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09203" w14:textId="77777777" w:rsidR="00C34CA0" w:rsidRPr="006B40CA" w:rsidRDefault="00C34CA0" w:rsidP="00C34CA0">
      <w:pPr>
        <w:rPr>
          <w:sz w:val="16"/>
          <w:szCs w:val="16"/>
        </w:rPr>
      </w:pP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6B40CA">
        <w:rPr>
          <w:sz w:val="16"/>
          <w:szCs w:val="16"/>
        </w:rPr>
        <w:t>)</w:t>
      </w:r>
    </w:p>
    <w:p w14:paraId="59E2D0DB" w14:textId="42065E2F" w:rsidR="00E052A7" w:rsidRDefault="00C70E1D" w:rsidP="0089365D">
      <w:pPr>
        <w:pStyle w:val="Heading1"/>
        <w:spacing w:before="300"/>
        <w:ind w:left="0" w:firstLine="0"/>
        <w:jc w:val="center"/>
      </w:pPr>
      <w:r w:rsidRPr="00C70E1D">
        <w:t>Règles relatives à</w:t>
      </w:r>
      <w:r>
        <w:t xml:space="preserve"> la</w:t>
      </w:r>
    </w:p>
    <w:p w14:paraId="6D735A6A" w14:textId="01441EE2" w:rsidR="00E052A7" w:rsidRDefault="00C70E1D">
      <w:pPr>
        <w:pStyle w:val="Heading2"/>
        <w:ind w:left="0" w:firstLine="0"/>
        <w:jc w:val="center"/>
      </w:pPr>
      <w:r w:rsidRPr="00C70E1D">
        <w:t xml:space="preserve">RÉSOLUTION </w:t>
      </w:r>
      <w:r w:rsidR="005F1E1A">
        <w:rPr>
          <w:rStyle w:val="href2"/>
        </w:rPr>
        <w:t>121</w:t>
      </w:r>
      <w:r w:rsidR="00E052A7">
        <w:t xml:space="preserve"> (</w:t>
      </w:r>
      <w:r>
        <w:t>CMR</w:t>
      </w:r>
      <w:r w:rsidR="00E052A7">
        <w:t>-</w:t>
      </w:r>
      <w:r w:rsidR="005F1E1A">
        <w:t>23</w:t>
      </w:r>
      <w:r w:rsidR="00E052A7">
        <w:t>)</w:t>
      </w:r>
    </w:p>
    <w:p w14:paraId="7020F17F" w14:textId="1E1257AA" w:rsidR="00C70E1D" w:rsidRPr="00C70E1D" w:rsidRDefault="00C70E1D" w:rsidP="00C70E1D">
      <w:pPr>
        <w:keepNext/>
        <w:keepLines/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before="360"/>
        <w:jc w:val="center"/>
        <w:rPr>
          <w:rFonts w:eastAsiaTheme="minorEastAsia"/>
          <w:b/>
          <w:sz w:val="28"/>
          <w:lang w:val="fr-FR"/>
        </w:rPr>
      </w:pPr>
      <w:bookmarkStart w:id="0" w:name="_Hlk184196044"/>
      <w:r w:rsidRPr="00C70E1D">
        <w:rPr>
          <w:rFonts w:eastAsiaTheme="minorEastAsia"/>
          <w:b/>
          <w:sz w:val="28"/>
          <w:lang w:val="fr-FR"/>
        </w:rPr>
        <w:t xml:space="preserve">Utilisation de la bande de fréquences 12,75-13,25 GHz par les stations terriennes </w:t>
      </w:r>
      <w:bookmarkEnd w:id="0"/>
      <w:r w:rsidRPr="00C70E1D">
        <w:rPr>
          <w:rFonts w:eastAsiaTheme="minorEastAsia"/>
          <w:b/>
          <w:sz w:val="28"/>
          <w:lang w:val="fr-FR"/>
        </w:rPr>
        <w:t>en mouvement à bord d'aéronefs et de navires communiquant avec des stations spatiales géostationnaires du service fixe par satellite</w:t>
      </w:r>
    </w:p>
    <w:p w14:paraId="79796C29" w14:textId="08BFF76A" w:rsidR="00AD5DE6" w:rsidRPr="00282EDE" w:rsidRDefault="00C70E1D" w:rsidP="00AD5DE6">
      <w:pPr>
        <w:pStyle w:val="AnnexNo"/>
        <w:keepNext w:val="0"/>
      </w:pPr>
      <w:r w:rsidRPr="00C70E1D">
        <w:t xml:space="preserve">ANNEXE 1 DE LA RÉSOLUTION </w:t>
      </w:r>
      <w:r w:rsidR="00AD5DE6">
        <w:t>121</w:t>
      </w:r>
      <w:r w:rsidR="00AD5DE6" w:rsidRPr="00282EDE">
        <w:t xml:space="preserve"> (</w:t>
      </w:r>
      <w:r>
        <w:t>cmr</w:t>
      </w:r>
      <w:r w:rsidR="00AD5DE6" w:rsidRPr="00282EDE">
        <w:t>-23)</w:t>
      </w:r>
    </w:p>
    <w:p w14:paraId="42374E84" w14:textId="40262014" w:rsidR="00AD5DE6" w:rsidRPr="00282EDE" w:rsidRDefault="00AD5DE6" w:rsidP="00C70E1D">
      <w:pPr>
        <w:pStyle w:val="PartNo"/>
        <w:keepNext w:val="0"/>
        <w:spacing w:before="360"/>
      </w:pPr>
      <w:r w:rsidRPr="00282EDE">
        <w:t>PART</w:t>
      </w:r>
      <w:r w:rsidR="00C70E1D">
        <w:t>IE</w:t>
      </w:r>
      <w:r w:rsidRPr="00282EDE">
        <w:t xml:space="preserve"> I</w:t>
      </w:r>
    </w:p>
    <w:p w14:paraId="57E7E4F5" w14:textId="1F33B2F9" w:rsidR="00C70E1D" w:rsidRPr="00C70E1D" w:rsidRDefault="00C70E1D" w:rsidP="00C70E1D">
      <w:pPr>
        <w:pStyle w:val="AnnexNoTitle"/>
        <w:spacing w:before="480"/>
        <w:rPr>
          <w:rFonts w:ascii="Times New Roman" w:eastAsiaTheme="minorEastAsia" w:hAnsi="Times New Roman" w:cs="Times New Roman"/>
          <w:sz w:val="28"/>
          <w:szCs w:val="28"/>
          <w:lang w:val="fr-FR"/>
        </w:rPr>
      </w:pPr>
      <w:r w:rsidRPr="00C70E1D">
        <w:rPr>
          <w:rFonts w:ascii="Times New Roman" w:eastAsiaTheme="minorEastAsia" w:hAnsi="Times New Roman" w:cs="Times New Roman"/>
          <w:sz w:val="28"/>
          <w:szCs w:val="28"/>
          <w:lang w:val="fr-FR"/>
        </w:rPr>
        <w:t>Procédure à suivre par les administrations et le Bureau pour la soumission des stations terriennes en mouvement à bord d'aéronefs et de navires fonctionnant dans la bande de fréquences 12,75</w:t>
      </w:r>
      <w:r w:rsidRPr="00C70E1D">
        <w:rPr>
          <w:rFonts w:ascii="Times New Roman" w:eastAsiaTheme="minorEastAsia" w:hAnsi="Times New Roman" w:cs="Times New Roman"/>
          <w:sz w:val="28"/>
          <w:szCs w:val="28"/>
          <w:lang w:val="fr-FR"/>
        </w:rPr>
        <w:noBreakHyphen/>
        <w:t xml:space="preserve">13,25 GHz (Terre vers espace) et pour la protection des allotissements dans le Plan, des assignations dans la Liste de l'Appendice 30B et des assignations </w:t>
      </w:r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br/>
      </w:r>
      <w:r w:rsidRPr="00C70E1D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soumises au titre des Articles 6 et 7 de l'Appendice 30B </w:t>
      </w:r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br/>
      </w:r>
      <w:r w:rsidRPr="00C70E1D">
        <w:rPr>
          <w:rFonts w:ascii="Times New Roman" w:eastAsiaTheme="minorEastAsia" w:hAnsi="Times New Roman" w:cs="Times New Roman"/>
          <w:sz w:val="28"/>
          <w:szCs w:val="28"/>
          <w:lang w:val="fr-FR"/>
        </w:rPr>
        <w:t>ainsi qu'au titre de la Résolution 170 (Rév.CMR-23)</w:t>
      </w:r>
    </w:p>
    <w:p w14:paraId="1E4248C3" w14:textId="77777777" w:rsidR="00C70E1D" w:rsidRPr="00C70E1D" w:rsidRDefault="00C70E1D" w:rsidP="00C70E1D">
      <w:pPr>
        <w:keepNext/>
        <w:keepLines/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before="480" w:after="280"/>
        <w:jc w:val="center"/>
        <w:rPr>
          <w:rFonts w:eastAsiaTheme="minorEastAsia"/>
          <w:b/>
          <w:szCs w:val="24"/>
          <w:lang w:val="fr-FR"/>
        </w:rPr>
      </w:pPr>
      <w:r w:rsidRPr="00C70E1D">
        <w:rPr>
          <w:rFonts w:eastAsiaTheme="minorEastAsia"/>
          <w:b/>
          <w:szCs w:val="24"/>
          <w:lang w:val="fr-FR"/>
        </w:rPr>
        <w:t>Section A – Procédure d'inscription des assignations aux stations terriennes</w:t>
      </w:r>
      <w:r w:rsidRPr="00C70E1D">
        <w:rPr>
          <w:rFonts w:eastAsiaTheme="minorEastAsia"/>
          <w:b/>
          <w:szCs w:val="24"/>
          <w:lang w:val="fr-FR"/>
        </w:rPr>
        <w:br/>
        <w:t>en mouvement à bord d'aéronefs et de navires dans la Liste des</w:t>
      </w:r>
      <w:r w:rsidRPr="00C70E1D">
        <w:rPr>
          <w:rFonts w:eastAsiaTheme="minorEastAsia"/>
          <w:b/>
          <w:szCs w:val="24"/>
          <w:lang w:val="fr-FR"/>
        </w:rPr>
        <w:br/>
        <w:t>assignations aux stations ESIM de l'Appendice 30B</w:t>
      </w:r>
    </w:p>
    <w:p w14:paraId="0B18535C" w14:textId="347386F3" w:rsidR="000E2988" w:rsidRPr="00114820" w:rsidRDefault="000E2988" w:rsidP="0030730A">
      <w:pPr>
        <w:pStyle w:val="Heading8"/>
      </w:pPr>
      <w:r w:rsidRPr="00114820">
        <w:t>§ </w:t>
      </w:r>
      <w:r>
        <w:t>3</w:t>
      </w:r>
      <w:r w:rsidRPr="00114820">
        <w:t xml:space="preserve"> </w:t>
      </w:r>
      <w:r w:rsidRPr="00114820">
        <w:rPr>
          <w:i/>
          <w:iCs/>
        </w:rPr>
        <w:t>a)</w:t>
      </w:r>
      <w:r w:rsidRPr="00114820">
        <w:t xml:space="preserve"> </w:t>
      </w:r>
    </w:p>
    <w:p w14:paraId="06862255" w14:textId="77777777" w:rsidR="00C70E1D" w:rsidRPr="00C70E1D" w:rsidRDefault="00C70E1D" w:rsidP="00C70E1D">
      <w:pPr>
        <w:spacing w:before="120"/>
        <w:rPr>
          <w:lang w:val="fr-FR"/>
        </w:rPr>
      </w:pPr>
      <w:r w:rsidRPr="00C70E1D">
        <w:rPr>
          <w:lang w:val="fr-FR"/>
        </w:rPr>
        <w:t>Le Comité a noté qu'en vertu des notes de bas de page relatives aux § 3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et 4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de la Section A et au § 6.1 de la Section B, les</w:t>
      </w:r>
      <w:proofErr w:type="gramStart"/>
      <w:r w:rsidRPr="00C70E1D">
        <w:rPr>
          <w:lang w:val="fr-FR"/>
        </w:rPr>
        <w:t xml:space="preserve"> «</w:t>
      </w:r>
      <w:r w:rsidRPr="00C70E1D">
        <w:rPr>
          <w:i/>
          <w:iCs/>
          <w:lang w:val="fr-FR"/>
        </w:rPr>
        <w:t>autres</w:t>
      </w:r>
      <w:proofErr w:type="gramEnd"/>
      <w:r w:rsidRPr="00C70E1D">
        <w:rPr>
          <w:i/>
          <w:iCs/>
          <w:lang w:val="fr-FR"/>
        </w:rPr>
        <w:t xml:space="preserve"> dispositions</w:t>
      </w:r>
      <w:r w:rsidRPr="00C70E1D">
        <w:rPr>
          <w:lang w:val="fr-FR"/>
        </w:rPr>
        <w:t>» visées dans ces dispositions doivent être définies et incorporées dans les Règles de procédure. Étant donné que les stations terriennes en mouvement à bord d'aéronefs et de navires fonctionnant dans la bande de fréquences 12,75</w:t>
      </w:r>
      <w:r w:rsidRPr="00C70E1D">
        <w:rPr>
          <w:lang w:val="fr-FR"/>
        </w:rPr>
        <w:noBreakHyphen/>
        <w:t>13,25 GHz devraient être exploitées dans les limites de l'enveloppe des assignations de fréquence d'appui figurant dans la Liste de l'Appendice </w:t>
      </w:r>
      <w:r w:rsidRPr="00C70E1D">
        <w:rPr>
          <w:b/>
          <w:bCs/>
          <w:lang w:val="fr-FR"/>
        </w:rPr>
        <w:t>30B</w:t>
      </w:r>
      <w:r w:rsidRPr="00C70E1D">
        <w:rPr>
          <w:lang w:val="fr-FR"/>
        </w:rPr>
        <w:t>, les</w:t>
      </w:r>
      <w:proofErr w:type="gramStart"/>
      <w:r w:rsidRPr="00C70E1D">
        <w:rPr>
          <w:lang w:val="fr-FR"/>
        </w:rPr>
        <w:t xml:space="preserve"> «</w:t>
      </w:r>
      <w:r w:rsidRPr="00C70E1D">
        <w:rPr>
          <w:i/>
          <w:iCs/>
          <w:lang w:val="fr-FR"/>
        </w:rPr>
        <w:t>autres</w:t>
      </w:r>
      <w:proofErr w:type="gramEnd"/>
      <w:r w:rsidRPr="00C70E1D">
        <w:rPr>
          <w:i/>
          <w:iCs/>
          <w:lang w:val="fr-FR"/>
        </w:rPr>
        <w:t xml:space="preserve"> dispositions</w:t>
      </w:r>
      <w:r w:rsidRPr="00C70E1D">
        <w:rPr>
          <w:lang w:val="fr-FR"/>
        </w:rPr>
        <w:t>» devraient être les mêmes que celles appliquées lors de l'examen d'une fiche de notification au titre de l'Appendice </w:t>
      </w:r>
      <w:r w:rsidRPr="00C70E1D">
        <w:rPr>
          <w:b/>
          <w:bCs/>
          <w:lang w:val="fr-FR"/>
        </w:rPr>
        <w:t>30B</w:t>
      </w:r>
      <w:r w:rsidRPr="00C70E1D">
        <w:rPr>
          <w:lang w:val="fr-FR"/>
        </w:rPr>
        <w:t>.</w:t>
      </w:r>
    </w:p>
    <w:p w14:paraId="796A7A8C" w14:textId="2FCED22C" w:rsidR="0030730A" w:rsidRDefault="00C70E1D" w:rsidP="00C70E1D">
      <w:pPr>
        <w:spacing w:before="120"/>
        <w:rPr>
          <w:rFonts w:asciiTheme="majorBidi" w:hAnsiTheme="majorBidi" w:cstheme="majorBidi"/>
          <w:szCs w:val="24"/>
        </w:rPr>
      </w:pPr>
      <w:r w:rsidRPr="00C70E1D">
        <w:rPr>
          <w:lang w:val="fr-FR"/>
        </w:rPr>
        <w:t>À cet égard, les Règles de procédure relatives au § 6.3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de l'Appendice </w:t>
      </w:r>
      <w:r w:rsidRPr="00C70E1D">
        <w:rPr>
          <w:b/>
          <w:bCs/>
          <w:lang w:val="fr-FR"/>
        </w:rPr>
        <w:t>30B</w:t>
      </w:r>
      <w:r w:rsidRPr="00C70E1D">
        <w:rPr>
          <w:lang w:val="fr-FR"/>
        </w:rPr>
        <w:t xml:space="preserve"> énumèrent les «</w:t>
      </w:r>
      <w:r w:rsidRPr="00C70E1D">
        <w:rPr>
          <w:i/>
          <w:iCs/>
          <w:lang w:val="fr-FR"/>
        </w:rPr>
        <w:t>autres dispositions</w:t>
      </w:r>
      <w:r w:rsidRPr="00C70E1D">
        <w:rPr>
          <w:lang w:val="fr-FR"/>
        </w:rPr>
        <w:t>» visées dans les Articles </w:t>
      </w:r>
      <w:r w:rsidRPr="00C70E1D">
        <w:rPr>
          <w:b/>
          <w:bCs/>
          <w:lang w:val="fr-FR"/>
        </w:rPr>
        <w:t>21</w:t>
      </w:r>
      <w:r w:rsidRPr="00C70E1D">
        <w:rPr>
          <w:lang w:val="fr-FR"/>
        </w:rPr>
        <w:t xml:space="preserve"> et </w:t>
      </w:r>
      <w:r w:rsidRPr="00C70E1D">
        <w:rPr>
          <w:b/>
          <w:bCs/>
          <w:lang w:val="fr-FR"/>
        </w:rPr>
        <w:t>22</w:t>
      </w:r>
      <w:r w:rsidRPr="00C70E1D">
        <w:rPr>
          <w:lang w:val="fr-FR"/>
        </w:rPr>
        <w:t xml:space="preserve"> du Règlement des radiocommunications, relativement auxquelles les fiches de notification au titre de l'Appendice </w:t>
      </w:r>
      <w:r w:rsidRPr="00C70E1D">
        <w:rPr>
          <w:b/>
          <w:bCs/>
          <w:lang w:val="fr-FR"/>
        </w:rPr>
        <w:t>30B</w:t>
      </w:r>
      <w:r w:rsidRPr="00C70E1D">
        <w:rPr>
          <w:lang w:val="fr-FR"/>
        </w:rPr>
        <w:t xml:space="preserve"> sont examinées conformément aux § 6.3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>, 6.19 </w:t>
      </w:r>
      <w:r w:rsidRPr="00C70E1D">
        <w:rPr>
          <w:i/>
          <w:iCs/>
          <w:lang w:val="fr-FR"/>
        </w:rPr>
        <w:t>b)</w:t>
      </w:r>
      <w:r w:rsidRPr="00C70E1D">
        <w:rPr>
          <w:lang w:val="fr-FR"/>
        </w:rPr>
        <w:t>, 7.5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ou 8.8 de l'Appendice </w:t>
      </w:r>
      <w:r w:rsidRPr="00C70E1D">
        <w:rPr>
          <w:b/>
          <w:bCs/>
          <w:lang w:val="fr-FR"/>
        </w:rPr>
        <w:t xml:space="preserve">30B, </w:t>
      </w:r>
      <w:r w:rsidRPr="00C70E1D">
        <w:rPr>
          <w:lang w:val="fr-FR"/>
        </w:rPr>
        <w:t>y compris la «</w:t>
      </w:r>
      <w:r w:rsidRPr="00C70E1D">
        <w:rPr>
          <w:i/>
          <w:iCs/>
          <w:lang w:val="fr-FR"/>
        </w:rPr>
        <w:t>conformité aux limites de puissance applicables aux stations terriennes, telles qu'elles sont prescrites dans les dispositions des numéros </w:t>
      </w:r>
      <w:r w:rsidRPr="00C70E1D">
        <w:rPr>
          <w:b/>
          <w:bCs/>
          <w:i/>
          <w:iCs/>
          <w:lang w:val="fr-FR"/>
        </w:rPr>
        <w:t>21.8</w:t>
      </w:r>
      <w:r w:rsidRPr="00C70E1D">
        <w:rPr>
          <w:i/>
          <w:iCs/>
          <w:lang w:val="fr-FR"/>
        </w:rPr>
        <w:t xml:space="preserve"> et </w:t>
      </w:r>
      <w:r w:rsidRPr="00C70E1D">
        <w:rPr>
          <w:b/>
          <w:bCs/>
          <w:i/>
          <w:iCs/>
          <w:lang w:val="fr-FR"/>
        </w:rPr>
        <w:t>21.12</w:t>
      </w:r>
      <w:r w:rsidRPr="00C70E1D">
        <w:rPr>
          <w:i/>
          <w:iCs/>
          <w:lang w:val="fr-FR"/>
        </w:rPr>
        <w:t xml:space="preserve">, compte tenu des dispositions des numéros </w:t>
      </w:r>
      <w:r w:rsidRPr="00C70E1D">
        <w:rPr>
          <w:b/>
          <w:bCs/>
          <w:i/>
          <w:iCs/>
          <w:lang w:val="fr-FR"/>
        </w:rPr>
        <w:t>21.9</w:t>
      </w:r>
      <w:r w:rsidRPr="00C70E1D">
        <w:rPr>
          <w:i/>
          <w:iCs/>
          <w:lang w:val="fr-FR"/>
        </w:rPr>
        <w:t xml:space="preserve"> et </w:t>
      </w:r>
      <w:r w:rsidRPr="00C70E1D">
        <w:rPr>
          <w:b/>
          <w:bCs/>
          <w:i/>
          <w:iCs/>
          <w:lang w:val="fr-FR"/>
        </w:rPr>
        <w:t>21.11</w:t>
      </w:r>
      <w:r w:rsidRPr="00C70E1D">
        <w:rPr>
          <w:lang w:val="fr-FR"/>
        </w:rPr>
        <w:t>» et la «</w:t>
      </w:r>
      <w:r w:rsidRPr="00C70E1D">
        <w:rPr>
          <w:i/>
          <w:iCs/>
          <w:lang w:val="fr-FR"/>
        </w:rPr>
        <w:t>conformité à l'angle minimal d'élévation des stations terriennes, comme indiqué au numéro </w:t>
      </w:r>
      <w:r w:rsidRPr="00C70E1D">
        <w:rPr>
          <w:b/>
          <w:bCs/>
          <w:i/>
          <w:iCs/>
          <w:lang w:val="fr-FR"/>
        </w:rPr>
        <w:t>21.14</w:t>
      </w:r>
      <w:r w:rsidRPr="00C70E1D">
        <w:rPr>
          <w:lang w:val="fr-FR"/>
        </w:rPr>
        <w:t>».</w:t>
      </w:r>
      <w:r w:rsidR="0030730A">
        <w:rPr>
          <w:rFonts w:asciiTheme="majorBidi" w:hAnsiTheme="majorBidi" w:cstheme="majorBidi"/>
          <w:szCs w:val="24"/>
        </w:rPr>
        <w:br w:type="page"/>
      </w:r>
    </w:p>
    <w:p w14:paraId="4AB50A0D" w14:textId="77777777" w:rsidR="00C70E1D" w:rsidRPr="00C70E1D" w:rsidRDefault="00C70E1D" w:rsidP="00C70E1D">
      <w:pPr>
        <w:rPr>
          <w:lang w:val="fr-FR"/>
        </w:rPr>
      </w:pPr>
      <w:r w:rsidRPr="00C70E1D">
        <w:rPr>
          <w:lang w:val="fr-FR"/>
        </w:rPr>
        <w:lastRenderedPageBreak/>
        <w:t>Toutefois, le Comité a noté que les numéros </w:t>
      </w:r>
      <w:r w:rsidRPr="00C70E1D">
        <w:rPr>
          <w:b/>
          <w:bCs/>
          <w:lang w:val="fr-FR"/>
        </w:rPr>
        <w:t xml:space="preserve">21.8 </w:t>
      </w:r>
      <w:r w:rsidRPr="00C70E1D">
        <w:rPr>
          <w:lang w:val="fr-FR"/>
        </w:rPr>
        <w:t>et </w:t>
      </w:r>
      <w:r w:rsidRPr="00C70E1D">
        <w:rPr>
          <w:b/>
          <w:bCs/>
          <w:lang w:val="fr-FR"/>
        </w:rPr>
        <w:t>21.12</w:t>
      </w:r>
      <w:r w:rsidRPr="00C70E1D">
        <w:rPr>
          <w:lang w:val="fr-FR"/>
        </w:rPr>
        <w:t xml:space="preserve"> du Règlement des radiocommunications et l'Annexe 2 de la Résolution </w:t>
      </w:r>
      <w:r w:rsidRPr="00C70E1D">
        <w:rPr>
          <w:b/>
          <w:bCs/>
          <w:lang w:val="fr-FR"/>
        </w:rPr>
        <w:t>121 (CMR</w:t>
      </w:r>
      <w:r w:rsidRPr="00C70E1D">
        <w:rPr>
          <w:b/>
          <w:bCs/>
          <w:lang w:val="fr-FR"/>
        </w:rPr>
        <w:noBreakHyphen/>
        <w:t>23)</w:t>
      </w:r>
      <w:r w:rsidRPr="00C70E1D">
        <w:rPr>
          <w:lang w:val="fr-FR"/>
        </w:rPr>
        <w:t xml:space="preserve"> visent à protéger les services de Terre. Étant donné que les limites indiquées au numéro </w:t>
      </w:r>
      <w:r w:rsidRPr="00C70E1D">
        <w:rPr>
          <w:b/>
          <w:bCs/>
          <w:lang w:val="fr-FR"/>
        </w:rPr>
        <w:t>21.8</w:t>
      </w:r>
      <w:r w:rsidRPr="00C70E1D">
        <w:rPr>
          <w:lang w:val="fr-FR"/>
        </w:rPr>
        <w:t xml:space="preserve"> sont moins strictes que celles indiquées dans l'Annexe 2 de la Résolution </w:t>
      </w:r>
      <w:r w:rsidRPr="00C70E1D">
        <w:rPr>
          <w:b/>
          <w:bCs/>
          <w:lang w:val="fr-FR"/>
        </w:rPr>
        <w:t>121 (CMR</w:t>
      </w:r>
      <w:r w:rsidRPr="00C70E1D">
        <w:rPr>
          <w:b/>
          <w:bCs/>
          <w:lang w:val="fr-FR"/>
        </w:rPr>
        <w:noBreakHyphen/>
        <w:t>23)</w:t>
      </w:r>
      <w:r w:rsidRPr="00C70E1D">
        <w:rPr>
          <w:lang w:val="fr-FR"/>
        </w:rPr>
        <w:t>, le Comité a conclu que l'examen au titre du numéro </w:t>
      </w:r>
      <w:r w:rsidRPr="00C70E1D">
        <w:rPr>
          <w:b/>
          <w:bCs/>
          <w:lang w:val="fr-FR"/>
        </w:rPr>
        <w:t>21.8</w:t>
      </w:r>
      <w:r w:rsidRPr="00C70E1D">
        <w:rPr>
          <w:lang w:val="fr-FR"/>
        </w:rPr>
        <w:t xml:space="preserve"> n'est pas nécessaire. En outre, notant la nature des stations terriennes en mouvement à bord d'aéronefs et de navires, qui sont des stations types, et compte tenu de la décision de la CMR</w:t>
      </w:r>
      <w:r w:rsidRPr="00C70E1D">
        <w:rPr>
          <w:lang w:val="fr-FR"/>
        </w:rPr>
        <w:noBreakHyphen/>
        <w:t>15 concernant le numéro </w:t>
      </w:r>
      <w:r w:rsidRPr="00C70E1D">
        <w:rPr>
          <w:b/>
          <w:bCs/>
          <w:lang w:val="fr-FR"/>
        </w:rPr>
        <w:t>21.14</w:t>
      </w:r>
      <w:r w:rsidRPr="00C70E1D">
        <w:rPr>
          <w:lang w:val="fr-FR"/>
        </w:rPr>
        <w:t xml:space="preserve"> à l'effet de retirer la limite concernant la définition de points de la grille avec des angles d'élévation d'au moins 3°, le Comité a en outre conclu que l'examen au titre du numéro </w:t>
      </w:r>
      <w:r w:rsidRPr="00C70E1D">
        <w:rPr>
          <w:b/>
          <w:bCs/>
          <w:lang w:val="fr-FR"/>
        </w:rPr>
        <w:t>21.14</w:t>
      </w:r>
      <w:r w:rsidRPr="00C70E1D">
        <w:rPr>
          <w:lang w:val="fr-FR"/>
        </w:rPr>
        <w:t xml:space="preserve"> n'est pas nécessaire non plus.</w:t>
      </w:r>
    </w:p>
    <w:p w14:paraId="5D4834D3" w14:textId="77777777" w:rsidR="00C70E1D" w:rsidRPr="00C70E1D" w:rsidRDefault="00C70E1D" w:rsidP="00C70E1D">
      <w:pPr>
        <w:rPr>
          <w:lang w:val="fr-FR"/>
        </w:rPr>
      </w:pPr>
      <w:r w:rsidRPr="00C70E1D">
        <w:rPr>
          <w:lang w:val="fr-FR"/>
        </w:rPr>
        <w:t>Le Comité a également décidé que les</w:t>
      </w:r>
      <w:proofErr w:type="gramStart"/>
      <w:r w:rsidRPr="00C70E1D">
        <w:rPr>
          <w:lang w:val="fr-FR"/>
        </w:rPr>
        <w:t xml:space="preserve"> «autres</w:t>
      </w:r>
      <w:proofErr w:type="gramEnd"/>
      <w:r w:rsidRPr="00C70E1D">
        <w:rPr>
          <w:lang w:val="fr-FR"/>
        </w:rPr>
        <w:t xml:space="preserve"> dispositions» qui figurent dans l'Article </w:t>
      </w:r>
      <w:r w:rsidRPr="00C70E1D">
        <w:rPr>
          <w:b/>
          <w:bCs/>
          <w:lang w:val="fr-FR"/>
        </w:rPr>
        <w:t>22</w:t>
      </w:r>
      <w:r w:rsidRPr="00C70E1D">
        <w:rPr>
          <w:lang w:val="fr-FR"/>
        </w:rPr>
        <w:t xml:space="preserve"> et qui doivent être appliquées lors de l'examen au titre des § 3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et 14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de la Section A et du § 6.1 de la Section B étaient les suivantes:</w:t>
      </w:r>
    </w:p>
    <w:p w14:paraId="1A97024C" w14:textId="77777777" w:rsidR="00C70E1D" w:rsidRPr="00C70E1D" w:rsidRDefault="00C70E1D" w:rsidP="00C70E1D">
      <w:pPr>
        <w:pStyle w:val="enumlev1"/>
        <w:rPr>
          <w:lang w:val="fr-FR"/>
        </w:rPr>
      </w:pPr>
      <w:r w:rsidRPr="00C70E1D">
        <w:rPr>
          <w:lang w:val="fr-FR"/>
        </w:rPr>
        <w:t>–</w:t>
      </w:r>
      <w:r w:rsidRPr="00C70E1D">
        <w:rPr>
          <w:lang w:val="fr-FR"/>
        </w:rPr>
        <w:tab/>
        <w:t>conformité aux limites de puissance applicables aux stations terriennes en mouvement à bord d'aéronefs et de navires, telles qu'elles sont prescrites dans les dispositions du numéro </w:t>
      </w:r>
      <w:r w:rsidRPr="00C70E1D">
        <w:rPr>
          <w:b/>
          <w:bCs/>
          <w:lang w:val="fr-FR"/>
        </w:rPr>
        <w:t>22.26</w:t>
      </w:r>
      <w:r w:rsidRPr="00C70E1D">
        <w:rPr>
          <w:lang w:val="fr-FR"/>
        </w:rPr>
        <w:t>, dans les conditions fixées dans les dispositions du numéro </w:t>
      </w:r>
      <w:r w:rsidRPr="00C70E1D">
        <w:rPr>
          <w:b/>
          <w:bCs/>
          <w:lang w:val="fr-FR"/>
        </w:rPr>
        <w:t>22.37</w:t>
      </w:r>
      <w:r w:rsidRPr="00C70E1D">
        <w:rPr>
          <w:lang w:val="fr-FR"/>
        </w:rPr>
        <w:t xml:space="preserve">, dans le cas où les stations terriennes en mouvement à bord d'aéronefs et de navires sont assujetties à ces limitations de </w:t>
      </w:r>
      <w:proofErr w:type="gramStart"/>
      <w:r w:rsidRPr="00C70E1D">
        <w:rPr>
          <w:lang w:val="fr-FR"/>
        </w:rPr>
        <w:t>puissance;</w:t>
      </w:r>
      <w:proofErr w:type="gramEnd"/>
      <w:r w:rsidRPr="00C70E1D">
        <w:rPr>
          <w:lang w:val="fr-FR"/>
        </w:rPr>
        <w:t xml:space="preserve"> et</w:t>
      </w:r>
    </w:p>
    <w:p w14:paraId="2E3FD163" w14:textId="77777777" w:rsidR="00C70E1D" w:rsidRPr="00C70E1D" w:rsidRDefault="00C70E1D" w:rsidP="00C70E1D">
      <w:pPr>
        <w:pStyle w:val="enumlev1"/>
        <w:rPr>
          <w:lang w:val="fr-FR"/>
        </w:rPr>
      </w:pPr>
      <w:r w:rsidRPr="00C70E1D">
        <w:rPr>
          <w:lang w:val="fr-FR"/>
        </w:rPr>
        <w:t>–</w:t>
      </w:r>
      <w:r w:rsidRPr="00C70E1D">
        <w:rPr>
          <w:lang w:val="fr-FR"/>
        </w:rPr>
        <w:tab/>
        <w:t>conformité à la limite prescrite dans les dispositions du numéro </w:t>
      </w:r>
      <w:r w:rsidRPr="00C70E1D">
        <w:rPr>
          <w:b/>
          <w:bCs/>
          <w:lang w:val="fr-FR"/>
        </w:rPr>
        <w:t>22.8</w:t>
      </w:r>
      <w:r w:rsidRPr="00C70E1D">
        <w:rPr>
          <w:lang w:val="fr-FR"/>
        </w:rPr>
        <w:t>.</w:t>
      </w:r>
    </w:p>
    <w:p w14:paraId="695E1EDC" w14:textId="77777777" w:rsidR="00C70E1D" w:rsidRPr="00C70E1D" w:rsidRDefault="00C70E1D" w:rsidP="00C70E1D">
      <w:pPr>
        <w:rPr>
          <w:lang w:val="fr-FR"/>
        </w:rPr>
      </w:pPr>
      <w:r w:rsidRPr="00C70E1D">
        <w:rPr>
          <w:lang w:val="fr-FR"/>
        </w:rPr>
        <w:t>Les autres dispositions des Articles</w:t>
      </w:r>
      <w:r w:rsidRPr="00C70E1D">
        <w:rPr>
          <w:b/>
          <w:bCs/>
          <w:lang w:val="fr-FR"/>
        </w:rPr>
        <w:t> 21</w:t>
      </w:r>
      <w:r w:rsidRPr="00C70E1D">
        <w:rPr>
          <w:lang w:val="fr-FR"/>
        </w:rPr>
        <w:t xml:space="preserve"> et </w:t>
      </w:r>
      <w:r w:rsidRPr="00C70E1D">
        <w:rPr>
          <w:b/>
          <w:bCs/>
          <w:lang w:val="fr-FR"/>
        </w:rPr>
        <w:t>22</w:t>
      </w:r>
      <w:r w:rsidRPr="00C70E1D">
        <w:rPr>
          <w:lang w:val="fr-FR"/>
        </w:rPr>
        <w:t xml:space="preserve"> ne seront pas prises en compte dans l'examen réglementaire effectué au titre des § 3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et 14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de la Section A et du § 6.1 de la Section B puisque le Comité considère que ces dispositions doivent être appliquées entre les administrations, selon qu'il conviendra.</w:t>
      </w:r>
    </w:p>
    <w:p w14:paraId="3AA25A21" w14:textId="77777777" w:rsidR="009B2AF4" w:rsidRPr="00114820" w:rsidRDefault="009B2AF4" w:rsidP="0030730A">
      <w:pPr>
        <w:pStyle w:val="Heading8"/>
      </w:pPr>
      <w:r w:rsidRPr="00114820">
        <w:t xml:space="preserve">§ 14 </w:t>
      </w:r>
      <w:r w:rsidRPr="00114820">
        <w:rPr>
          <w:i/>
          <w:iCs/>
        </w:rPr>
        <w:t>a)</w:t>
      </w:r>
      <w:r w:rsidRPr="00114820">
        <w:t xml:space="preserve"> </w:t>
      </w:r>
    </w:p>
    <w:p w14:paraId="071EFCAC" w14:textId="77777777" w:rsidR="00C70E1D" w:rsidRPr="00C70E1D" w:rsidRDefault="00C70E1D" w:rsidP="00C70E1D">
      <w:pPr>
        <w:rPr>
          <w:lang w:val="fr-FR"/>
        </w:rPr>
      </w:pPr>
      <w:r w:rsidRPr="00C70E1D">
        <w:rPr>
          <w:lang w:val="fr-FR"/>
        </w:rPr>
        <w:t xml:space="preserve">Voir les Règles de procédure relatives au § 3 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ci-dessus.</w:t>
      </w:r>
    </w:p>
    <w:p w14:paraId="059BB15C" w14:textId="63E14BEE" w:rsidR="00C70E1D" w:rsidRPr="00C70E1D" w:rsidRDefault="00C70E1D" w:rsidP="00C70E1D">
      <w:pPr>
        <w:keepNext/>
        <w:keepLines/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before="480" w:after="280"/>
        <w:jc w:val="center"/>
        <w:rPr>
          <w:rFonts w:eastAsiaTheme="minorEastAsia"/>
          <w:b/>
          <w:lang w:val="fr-FR"/>
        </w:rPr>
      </w:pPr>
      <w:r w:rsidRPr="00C70E1D">
        <w:rPr>
          <w:rFonts w:eastAsiaTheme="minorEastAsia"/>
          <w:b/>
          <w:lang w:val="fr-FR"/>
        </w:rPr>
        <w:t>Section B – Procédure de notification et d'inscription dans le Fichier de référence international des fréquences des assignations aux stations terriennes en mouvement à bord d'aéronefs et de navires traitées dans le cadre de la présente Résolution</w:t>
      </w:r>
    </w:p>
    <w:p w14:paraId="0155E40D" w14:textId="1C10BDB8" w:rsidR="00C160BD" w:rsidRPr="00114820" w:rsidRDefault="00C160BD" w:rsidP="0030730A">
      <w:pPr>
        <w:pStyle w:val="Heading8"/>
        <w:rPr>
          <w:rFonts w:asciiTheme="majorBidi" w:hAnsiTheme="majorBidi" w:cstheme="majorBidi"/>
          <w:b w:val="0"/>
          <w:color w:val="000000"/>
          <w:szCs w:val="24"/>
        </w:rPr>
      </w:pPr>
      <w:r w:rsidRPr="00114820">
        <w:rPr>
          <w:rFonts w:asciiTheme="majorBidi" w:hAnsiTheme="majorBidi" w:cstheme="majorBidi"/>
          <w:color w:val="000000"/>
          <w:szCs w:val="24"/>
        </w:rPr>
        <w:t>§ </w:t>
      </w:r>
      <w:r>
        <w:rPr>
          <w:rFonts w:asciiTheme="majorBidi" w:hAnsiTheme="majorBidi" w:cstheme="majorBidi"/>
          <w:color w:val="000000"/>
          <w:szCs w:val="24"/>
        </w:rPr>
        <w:t>6.1</w:t>
      </w:r>
    </w:p>
    <w:p w14:paraId="5D5AEC3B" w14:textId="77777777" w:rsidR="00C70E1D" w:rsidRPr="00C70E1D" w:rsidRDefault="00C70E1D" w:rsidP="00C70E1D">
      <w:pPr>
        <w:rPr>
          <w:lang w:val="fr-FR"/>
        </w:rPr>
      </w:pPr>
      <w:r w:rsidRPr="00C70E1D">
        <w:rPr>
          <w:lang w:val="fr-FR"/>
        </w:rPr>
        <w:t xml:space="preserve">Voir les Règles de procédure relatives au § 3 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de la Section A ci-dessus.</w:t>
      </w:r>
    </w:p>
    <w:p w14:paraId="1A8C89E1" w14:textId="77777777" w:rsidR="009B2AF4" w:rsidRPr="00390648" w:rsidRDefault="009B2AF4" w:rsidP="00390648"/>
    <w:p w14:paraId="02257F70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7396A8FA" w14:textId="77777777" w:rsidR="00E052A7" w:rsidRDefault="00E052A7" w:rsidP="0089365D"/>
    <w:p w14:paraId="445AFBC5" w14:textId="77777777" w:rsidR="00E052A7" w:rsidRDefault="00E052A7" w:rsidP="00E36ED1">
      <w:pPr>
        <w:rPr>
          <w:lang w:val="en-US"/>
        </w:rPr>
      </w:pPr>
    </w:p>
    <w:sectPr w:rsidR="00E052A7" w:rsidSect="0089365D">
      <w:headerReference w:type="even" r:id="rId6"/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805A4" w14:textId="77777777" w:rsidR="00EE2F0B" w:rsidRDefault="00EE2F0B">
      <w:r>
        <w:separator/>
      </w:r>
    </w:p>
  </w:endnote>
  <w:endnote w:type="continuationSeparator" w:id="0">
    <w:p w14:paraId="26672FC0" w14:textId="77777777" w:rsidR="00EE2F0B" w:rsidRDefault="00EE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629A6" w14:textId="77777777" w:rsidR="00EE2F0B" w:rsidRDefault="00EE2F0B">
      <w:r>
        <w:rPr>
          <w:b/>
        </w:rPr>
        <w:t>_______________</w:t>
      </w:r>
    </w:p>
  </w:footnote>
  <w:footnote w:type="continuationSeparator" w:id="0">
    <w:p w14:paraId="0986B9A7" w14:textId="77777777" w:rsidR="00EE2F0B" w:rsidRDefault="00EE2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0730A" w14:paraId="0A407421" w14:textId="77777777" w:rsidTr="0030730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5CEEF8" w14:textId="7D6E6697" w:rsidR="0030730A" w:rsidRDefault="0030730A" w:rsidP="0030730A">
          <w:pPr>
            <w:pStyle w:val="HeaderRegProc"/>
          </w:pPr>
          <w:r>
            <w:t>Part</w:t>
          </w:r>
          <w:r w:rsidR="00C70E1D">
            <w:t>ie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489129" w14:textId="466E0705" w:rsidR="0030730A" w:rsidRDefault="0030730A" w:rsidP="0030730A">
          <w:pPr>
            <w:pStyle w:val="HeaderRegProc"/>
            <w:rPr>
              <w:lang w:val="fr-FR"/>
            </w:rPr>
          </w:pPr>
          <w:r>
            <w:t>R</w:t>
          </w:r>
          <w:r w:rsidR="00C70E1D">
            <w:t>É</w:t>
          </w:r>
          <w:r>
            <w:t>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51DCC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F5AF67" w14:textId="77777777" w:rsidR="0030730A" w:rsidRDefault="0030730A" w:rsidP="0030730A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56F6A3" w14:textId="27D9D367" w:rsidR="0030730A" w:rsidRDefault="0030730A" w:rsidP="0030730A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</w:t>
          </w:r>
          <w:r w:rsidR="00C70E1D">
            <w:rPr>
              <w:lang w:val="fr-CH"/>
            </w:rPr>
            <w:t>é</w:t>
          </w:r>
          <w:r>
            <w:rPr>
              <w:lang w:val="fr-CH"/>
            </w:rPr>
            <w:t>v</w:t>
          </w:r>
          <w:proofErr w:type="gramEnd"/>
          <w:r>
            <w:rPr>
              <w:lang w:val="fr-CH"/>
            </w:rPr>
            <w:t xml:space="preserve">. </w:t>
          </w:r>
          <w:r>
            <w:t>5</w:t>
          </w:r>
        </w:p>
      </w:tc>
    </w:tr>
  </w:tbl>
  <w:p w14:paraId="690C0240" w14:textId="77777777" w:rsidR="0030730A" w:rsidRDefault="00307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00715" w14:paraId="6EA4E789" w14:textId="77777777" w:rsidTr="00E766B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BD916C" w14:textId="1D4CFAC0" w:rsidR="00B00715" w:rsidRDefault="00B00715" w:rsidP="00B00715">
          <w:pPr>
            <w:pStyle w:val="HeaderRegProc"/>
          </w:pPr>
          <w:r>
            <w:t>Part</w:t>
          </w:r>
          <w:r w:rsidR="00C70E1D">
            <w:t>ie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8094A7" w14:textId="1964D8EC" w:rsidR="00B00715" w:rsidRDefault="00B00715" w:rsidP="00B00715">
          <w:pPr>
            <w:pStyle w:val="HeaderRegProc"/>
            <w:rPr>
              <w:lang w:val="fr-FR"/>
            </w:rPr>
          </w:pPr>
          <w:r>
            <w:t>R</w:t>
          </w:r>
          <w:r w:rsidR="00C70E1D">
            <w:t>É</w:t>
          </w:r>
          <w:r>
            <w:t>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51DCC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D3C241" w14:textId="77777777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D00D8E" w14:textId="5F14F0FA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</w:t>
          </w:r>
          <w:r w:rsidR="00C70E1D">
            <w:rPr>
              <w:lang w:val="fr-CH"/>
            </w:rPr>
            <w:t>é</w:t>
          </w:r>
          <w:r>
            <w:rPr>
              <w:lang w:val="fr-CH"/>
            </w:rPr>
            <w:t>v</w:t>
          </w:r>
          <w:proofErr w:type="gramEnd"/>
          <w:r>
            <w:rPr>
              <w:lang w:val="fr-CH"/>
            </w:rPr>
            <w:t xml:space="preserve">. </w:t>
          </w:r>
          <w:r w:rsidR="0030730A">
            <w:t>5</w:t>
          </w:r>
        </w:p>
      </w:tc>
    </w:tr>
  </w:tbl>
  <w:p w14:paraId="3CE4A68B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B1472"/>
    <w:rsid w:val="000B6CC5"/>
    <w:rsid w:val="000E2988"/>
    <w:rsid w:val="00114820"/>
    <w:rsid w:val="001B1E4D"/>
    <w:rsid w:val="001C7192"/>
    <w:rsid w:val="00204C1C"/>
    <w:rsid w:val="0023244B"/>
    <w:rsid w:val="002F6FCF"/>
    <w:rsid w:val="0030730A"/>
    <w:rsid w:val="00322597"/>
    <w:rsid w:val="00390648"/>
    <w:rsid w:val="00395F3E"/>
    <w:rsid w:val="003B35FA"/>
    <w:rsid w:val="003C1437"/>
    <w:rsid w:val="003F79CF"/>
    <w:rsid w:val="00483705"/>
    <w:rsid w:val="005930F7"/>
    <w:rsid w:val="005F1E1A"/>
    <w:rsid w:val="00636B1E"/>
    <w:rsid w:val="006B40CA"/>
    <w:rsid w:val="006C0C1E"/>
    <w:rsid w:val="00747EBF"/>
    <w:rsid w:val="007A181A"/>
    <w:rsid w:val="00803152"/>
    <w:rsid w:val="00824378"/>
    <w:rsid w:val="0089365D"/>
    <w:rsid w:val="00930FF8"/>
    <w:rsid w:val="009A5418"/>
    <w:rsid w:val="009B2AF4"/>
    <w:rsid w:val="00A70933"/>
    <w:rsid w:val="00AD5DE6"/>
    <w:rsid w:val="00B00715"/>
    <w:rsid w:val="00B2732B"/>
    <w:rsid w:val="00B472F8"/>
    <w:rsid w:val="00BA22BB"/>
    <w:rsid w:val="00C160BD"/>
    <w:rsid w:val="00C34CA0"/>
    <w:rsid w:val="00C51DCC"/>
    <w:rsid w:val="00C70E1D"/>
    <w:rsid w:val="00CC1BC0"/>
    <w:rsid w:val="00CC74FD"/>
    <w:rsid w:val="00D2060F"/>
    <w:rsid w:val="00D338FD"/>
    <w:rsid w:val="00DD28B6"/>
    <w:rsid w:val="00E052A7"/>
    <w:rsid w:val="00E36ED1"/>
    <w:rsid w:val="00E567A5"/>
    <w:rsid w:val="00E70951"/>
    <w:rsid w:val="00EE2F0B"/>
    <w:rsid w:val="00F04B48"/>
    <w:rsid w:val="00F7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AnnexNo">
    <w:name w:val="Annex_No"/>
    <w:basedOn w:val="Normal"/>
    <w:next w:val="Normal"/>
    <w:rsid w:val="00AD5DE6"/>
    <w:pPr>
      <w:keepNext/>
      <w:keepLines/>
      <w:spacing w:before="480" w:after="80"/>
      <w:jc w:val="center"/>
    </w:pPr>
    <w:rPr>
      <w:caps/>
      <w:sz w:val="28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AD5DE6"/>
    <w:rPr>
      <w:lang w:val="en-GB" w:eastAsia="en-US"/>
    </w:rPr>
  </w:style>
  <w:style w:type="paragraph" w:customStyle="1" w:styleId="Sectiontitle">
    <w:name w:val="Section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paragraph" w:customStyle="1" w:styleId="PartNo">
    <w:name w:val="Part_No"/>
    <w:basedOn w:val="AnnexNo"/>
    <w:next w:val="Normal"/>
    <w:rsid w:val="00AD5DE6"/>
  </w:style>
  <w:style w:type="paragraph" w:customStyle="1" w:styleId="Parttitle">
    <w:name w:val="Part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paragraph" w:customStyle="1" w:styleId="AnnexNoTitle">
    <w:name w:val="Annex_NoTitle"/>
    <w:basedOn w:val="Normal"/>
    <w:next w:val="Normal"/>
    <w:rsid w:val="00C70E1D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720" w:after="120" w:line="280" w:lineRule="exact"/>
      <w:jc w:val="center"/>
    </w:pPr>
    <w:rPr>
      <w:rFonts w:ascii="Calibri" w:eastAsia="SimSun" w:hAnsi="Calibri" w:cs="Calibri"/>
      <w:b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46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2021</dc:title>
  <dc:subject/>
  <dc:creator>Composition des Publications</dc:creator>
  <cp:keywords/>
  <dc:description/>
  <cp:lastModifiedBy>Saez Grau, Ricardo</cp:lastModifiedBy>
  <cp:revision>40</cp:revision>
  <cp:lastPrinted>2024-12-04T08:40:00Z</cp:lastPrinted>
  <dcterms:created xsi:type="dcterms:W3CDTF">2012-08-08T06:51:00Z</dcterms:created>
  <dcterms:modified xsi:type="dcterms:W3CDTF">2024-12-04T08:41:00Z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