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68D56" w14:textId="77777777" w:rsidR="003A718D" w:rsidRDefault="003A718D" w:rsidP="003A718D">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59E2D0DB" w14:textId="07EA69DC" w:rsidR="00E052A7" w:rsidRDefault="00B74D3B" w:rsidP="00B74D3B">
      <w:pPr>
        <w:pStyle w:val="Heading1"/>
        <w:spacing w:before="240"/>
        <w:ind w:left="0" w:firstLine="0"/>
        <w:jc w:val="center"/>
      </w:pPr>
      <w:r w:rsidRPr="00B74D3B">
        <w:t>Règles relatives à</w:t>
      </w:r>
      <w:r>
        <w:t xml:space="preserve"> la</w:t>
      </w:r>
    </w:p>
    <w:p w14:paraId="6D735A6A" w14:textId="64992619" w:rsidR="00E052A7" w:rsidRDefault="00B74D3B" w:rsidP="00B74D3B">
      <w:pPr>
        <w:pStyle w:val="Heading2"/>
        <w:spacing w:before="360"/>
        <w:ind w:left="0" w:firstLine="0"/>
        <w:jc w:val="center"/>
      </w:pPr>
      <w:r w:rsidRPr="00B74D3B">
        <w:t xml:space="preserve">RÉSOLUTION </w:t>
      </w:r>
      <w:r w:rsidR="004763F7">
        <w:rPr>
          <w:rStyle w:val="href2"/>
        </w:rPr>
        <w:t>8</w:t>
      </w:r>
      <w:r w:rsidR="00E052A7">
        <w:t xml:space="preserve"> (</w:t>
      </w:r>
      <w:r>
        <w:t>CMR</w:t>
      </w:r>
      <w:r w:rsidR="00E052A7">
        <w:t>-</w:t>
      </w:r>
      <w:r w:rsidR="004763F7">
        <w:t>23</w:t>
      </w:r>
      <w:r w:rsidR="00E052A7">
        <w:t>)</w:t>
      </w:r>
    </w:p>
    <w:p w14:paraId="7FEBEEF7" w14:textId="77777777" w:rsidR="00B74D3B" w:rsidRPr="00B74D3B" w:rsidRDefault="00B74D3B" w:rsidP="00EB7ED9">
      <w:pPr>
        <w:keepNext/>
        <w:keepLines/>
        <w:tabs>
          <w:tab w:val="clear" w:pos="1134"/>
          <w:tab w:val="clear" w:pos="1871"/>
          <w:tab w:val="clear" w:pos="2268"/>
          <w:tab w:val="left" w:pos="794"/>
          <w:tab w:val="left" w:pos="1191"/>
          <w:tab w:val="left" w:pos="1588"/>
          <w:tab w:val="left" w:pos="1985"/>
        </w:tabs>
        <w:jc w:val="center"/>
        <w:rPr>
          <w:rFonts w:eastAsiaTheme="minorEastAsia"/>
          <w:b/>
          <w:sz w:val="28"/>
          <w:lang w:val="fr-FR"/>
        </w:rPr>
      </w:pPr>
      <w:r w:rsidRPr="00B74D3B">
        <w:rPr>
          <w:rFonts w:eastAsiaTheme="minorEastAsia"/>
          <w:b/>
          <w:sz w:val="28"/>
          <w:lang w:val="fr-FR"/>
        </w:rPr>
        <w:t>Tolérances pour certaines caractéristiques orbitales des stations spatiales déployées dans le cadre de systèmes sur une orbite de satellites non géostationnaires du service fixe par satellite, du service</w:t>
      </w:r>
      <w:r w:rsidRPr="00B74D3B">
        <w:rPr>
          <w:rFonts w:eastAsiaTheme="minorEastAsia"/>
          <w:b/>
          <w:sz w:val="28"/>
          <w:lang w:val="fr-FR"/>
        </w:rPr>
        <w:br/>
        <w:t>de radiodiffusion par satellite ou du</w:t>
      </w:r>
      <w:r w:rsidRPr="00B74D3B">
        <w:rPr>
          <w:rFonts w:eastAsiaTheme="minorEastAsia"/>
          <w:b/>
          <w:sz w:val="28"/>
          <w:lang w:val="fr-FR"/>
        </w:rPr>
        <w:br/>
        <w:t>service mobile par satellite</w:t>
      </w:r>
    </w:p>
    <w:p w14:paraId="13C522DC" w14:textId="37C7F6E4" w:rsidR="00B74D3B" w:rsidRPr="00B74D3B" w:rsidRDefault="00B74D3B" w:rsidP="00EB7ED9">
      <w:pPr>
        <w:spacing w:before="240"/>
        <w:rPr>
          <w:lang w:val="fr-FR"/>
        </w:rPr>
      </w:pPr>
      <w:r w:rsidRPr="00B74D3B">
        <w:rPr>
          <w:lang w:val="fr-FR"/>
        </w:rPr>
        <w:t>1</w:t>
      </w:r>
      <w:r w:rsidRPr="00B74D3B">
        <w:rPr>
          <w:lang w:val="fr-FR"/>
        </w:rPr>
        <w:tab/>
        <w:t>Lorsque la modification d'une assignation de fréquence assujettie à la Section II de l'Article </w:t>
      </w:r>
      <w:r w:rsidRPr="00B74D3B">
        <w:rPr>
          <w:b/>
          <w:bCs/>
          <w:lang w:val="fr-FR"/>
        </w:rPr>
        <w:t>9</w:t>
      </w:r>
      <w:r w:rsidRPr="00B74D3B">
        <w:rPr>
          <w:lang w:val="fr-FR"/>
        </w:rPr>
        <w:t xml:space="preserve"> est soumise en application du point 9 du </w:t>
      </w:r>
      <w:r w:rsidRPr="00B74D3B">
        <w:rPr>
          <w:i/>
          <w:iCs/>
          <w:lang w:val="fr-FR"/>
        </w:rPr>
        <w:t xml:space="preserve">décide </w:t>
      </w:r>
      <w:r w:rsidRPr="00B74D3B">
        <w:rPr>
          <w:lang w:val="fr-FR"/>
        </w:rPr>
        <w:t>de la</w:t>
      </w:r>
      <w:r w:rsidRPr="00B74D3B">
        <w:rPr>
          <w:i/>
          <w:iCs/>
          <w:lang w:val="fr-FR"/>
        </w:rPr>
        <w:t xml:space="preserve"> </w:t>
      </w:r>
      <w:r w:rsidRPr="00B74D3B">
        <w:rPr>
          <w:lang w:val="fr-FR"/>
        </w:rPr>
        <w:t>Résolution </w:t>
      </w:r>
      <w:r w:rsidRPr="00B74D3B">
        <w:rPr>
          <w:b/>
          <w:bCs/>
          <w:lang w:val="fr-FR"/>
        </w:rPr>
        <w:t>8 (CMR</w:t>
      </w:r>
      <w:r w:rsidRPr="00B74D3B">
        <w:rPr>
          <w:b/>
          <w:bCs/>
          <w:lang w:val="fr-FR"/>
        </w:rPr>
        <w:noBreakHyphen/>
        <w:t>23)</w:t>
      </w:r>
      <w:r w:rsidRPr="00B74D3B">
        <w:rPr>
          <w:lang w:val="fr-FR"/>
        </w:rPr>
        <w:t>, elle doit être examinée au titre du numéro </w:t>
      </w:r>
      <w:r w:rsidRPr="00B74D3B">
        <w:rPr>
          <w:b/>
          <w:lang w:val="fr-FR"/>
        </w:rPr>
        <w:t>11.43A</w:t>
      </w:r>
      <w:r w:rsidRPr="00B74D3B">
        <w:rPr>
          <w:lang w:val="fr-FR"/>
        </w:rPr>
        <w:t xml:space="preserve"> de façon à déterminer si l'obligation de coordination reste inchangée à l'issue de la procédure indiquée au § 2 de la Règle de procédure relative au numéro </w:t>
      </w:r>
      <w:r w:rsidRPr="00B74D3B">
        <w:rPr>
          <w:b/>
          <w:bCs/>
          <w:lang w:val="fr-FR"/>
        </w:rPr>
        <w:t>11.43A</w:t>
      </w:r>
      <w:r w:rsidRPr="00B74D3B">
        <w:rPr>
          <w:lang w:val="fr-FR"/>
        </w:rPr>
        <w:t>. Si, en raison des modifications, de nouveaux besoins de coordination sont mis en évidence pour les assignations de fréquence qui sont assujetties à la Résolution </w:t>
      </w:r>
      <w:r w:rsidRPr="00B74D3B">
        <w:rPr>
          <w:b/>
          <w:bCs/>
          <w:lang w:val="fr-FR"/>
        </w:rPr>
        <w:t>35</w:t>
      </w:r>
      <w:r w:rsidRPr="00B74D3B">
        <w:rPr>
          <w:lang w:val="fr-FR"/>
        </w:rPr>
        <w:t xml:space="preserve"> </w:t>
      </w:r>
      <w:r w:rsidRPr="00B74D3B">
        <w:rPr>
          <w:b/>
          <w:bCs/>
          <w:lang w:val="fr-FR"/>
        </w:rPr>
        <w:t>(Rév.CMR</w:t>
      </w:r>
      <w:r w:rsidRPr="00B74D3B">
        <w:rPr>
          <w:b/>
          <w:bCs/>
          <w:lang w:val="fr-FR"/>
        </w:rPr>
        <w:noBreakHyphen/>
        <w:t>23)</w:t>
      </w:r>
      <w:r w:rsidRPr="00B74D3B">
        <w:rPr>
          <w:lang w:val="fr-FR"/>
        </w:rPr>
        <w:t xml:space="preserve"> ainsi qu'à la Résolution </w:t>
      </w:r>
      <w:r w:rsidRPr="00B74D3B">
        <w:rPr>
          <w:b/>
          <w:bCs/>
          <w:lang w:val="fr-FR"/>
        </w:rPr>
        <w:t>8 (CMR-23)</w:t>
      </w:r>
      <w:r w:rsidRPr="00EB7ED9">
        <w:rPr>
          <w:rStyle w:val="FootnoteReference"/>
          <w:lang w:val="fr-FR"/>
        </w:rPr>
        <w:footnoteReference w:customMarkFollows="1" w:id="1"/>
        <w:t>1</w:t>
      </w:r>
      <w:r w:rsidRPr="00B74D3B">
        <w:rPr>
          <w:lang w:val="fr-FR"/>
        </w:rPr>
        <w:t xml:space="preserve"> et associées à des stations spatiales présentant des écarts au niveau de l'altitude ou de l'inclinaison qui ont motivé ces modifications, le Comité a décidé que ces assignations de fréquence feraient l'objet d'une conclusion défavorable et seraient retournées à l'administration notificatrice.</w:t>
      </w:r>
    </w:p>
    <w:p w14:paraId="0CD71177" w14:textId="77777777" w:rsidR="00B74D3B" w:rsidRPr="00B74D3B" w:rsidRDefault="00B74D3B" w:rsidP="00EB7ED9">
      <w:pPr>
        <w:spacing w:before="80"/>
        <w:rPr>
          <w:lang w:val="fr-FR"/>
        </w:rPr>
      </w:pPr>
      <w:r w:rsidRPr="00B74D3B">
        <w:rPr>
          <w:lang w:val="fr-FR"/>
        </w:rPr>
        <w:t>2</w:t>
      </w:r>
      <w:r w:rsidRPr="00B74D3B">
        <w:rPr>
          <w:lang w:val="fr-FR"/>
        </w:rPr>
        <w:tab/>
        <w:t xml:space="preserve">Lors de l'application du point 9 du </w:t>
      </w:r>
      <w:r w:rsidRPr="00B74D3B">
        <w:rPr>
          <w:i/>
          <w:iCs/>
          <w:lang w:val="fr-FR"/>
        </w:rPr>
        <w:t>décide</w:t>
      </w:r>
      <w:r w:rsidRPr="00B74D3B">
        <w:rPr>
          <w:lang w:val="fr-FR"/>
        </w:rPr>
        <w:t xml:space="preserve"> et afin de démontrer une non-augmentation des brouillages et, par voie de conséquence, une non-augmentation des besoins de coordination conformément à la méthode décrite au § 2 de la Règle de procédure relative au numéro </w:t>
      </w:r>
      <w:r w:rsidRPr="00B74D3B">
        <w:rPr>
          <w:b/>
          <w:bCs/>
          <w:lang w:val="fr-FR"/>
        </w:rPr>
        <w:t>11.43A</w:t>
      </w:r>
      <w:r w:rsidRPr="00B74D3B">
        <w:rPr>
          <w:lang w:val="fr-FR"/>
        </w:rPr>
        <w:t xml:space="preserve"> et en l'absence de critères ou de méthodes de calcul appropriés, le Comité a décidé que l'administration notificatrice pouvait fournir des justificatifs techniques reposant sur des évaluations des brouillages dynamiques prenant la forme d'une fonction de distribution cumulative du niveau de brouillage causé aux systèmes à satellites non géostationnaires (non OSG) ou aux réseaux à satellite géostationnaire (OSG) notifiés ultérieurement par le système non-OSG existant sur la base de leurs caractéristiques initiales et de leurs caractéristiques modifiées respectivement, exprimé en tant que rapport brouillage/bruit (</w:t>
      </w:r>
      <w:r w:rsidRPr="00B74D3B">
        <w:rPr>
          <w:i/>
          <w:iCs/>
          <w:lang w:val="fr-FR"/>
        </w:rPr>
        <w:t>I</w:t>
      </w:r>
      <w:r w:rsidRPr="00B74D3B">
        <w:rPr>
          <w:lang w:val="fr-FR"/>
        </w:rPr>
        <w:t>/</w:t>
      </w:r>
      <w:r w:rsidRPr="00B74D3B">
        <w:rPr>
          <w:i/>
          <w:iCs/>
          <w:lang w:val="fr-FR"/>
        </w:rPr>
        <w:t>N</w:t>
      </w:r>
      <w:r w:rsidRPr="00B74D3B">
        <w:rPr>
          <w:lang w:val="fr-FR"/>
        </w:rPr>
        <w:t xml:space="preserve">) pour différents emplacements et pourcentages de temps. Le Bureau étudiera de manière approfondie les justifications techniques communiquées par l'administration notificatrice pour formuler ses conclusions au titre du numéro </w:t>
      </w:r>
      <w:r w:rsidRPr="00B74D3B">
        <w:rPr>
          <w:b/>
          <w:bCs/>
          <w:lang w:val="fr-FR"/>
        </w:rPr>
        <w:t>11.43B</w:t>
      </w:r>
      <w:r w:rsidRPr="00B74D3B">
        <w:rPr>
          <w:lang w:val="fr-FR"/>
        </w:rPr>
        <w:t>.</w:t>
      </w:r>
    </w:p>
    <w:p w14:paraId="699790FB" w14:textId="37C92DC5" w:rsidR="00B73C1B" w:rsidRDefault="00B74D3B" w:rsidP="00EB7ED9">
      <w:pPr>
        <w:spacing w:before="80"/>
        <w:rPr>
          <w:rFonts w:asciiTheme="majorBidi" w:hAnsiTheme="majorBidi" w:cstheme="majorBidi"/>
          <w:szCs w:val="22"/>
          <w:lang w:eastAsia="ar-SA"/>
        </w:rPr>
      </w:pPr>
      <w:r w:rsidRPr="00B74D3B">
        <w:rPr>
          <w:lang w:val="fr-FR"/>
        </w:rPr>
        <w:t>3</w:t>
      </w:r>
      <w:r w:rsidRPr="00B74D3B">
        <w:rPr>
          <w:lang w:val="fr-FR"/>
        </w:rPr>
        <w:tab/>
        <w:t xml:space="preserve">Le Comité a noté que le point 16 du </w:t>
      </w:r>
      <w:r w:rsidRPr="00B74D3B">
        <w:rPr>
          <w:i/>
          <w:iCs/>
          <w:lang w:val="fr-FR"/>
        </w:rPr>
        <w:t xml:space="preserve">décide </w:t>
      </w:r>
      <w:r w:rsidRPr="00B74D3B">
        <w:rPr>
          <w:lang w:val="fr-FR"/>
        </w:rPr>
        <w:t>de la</w:t>
      </w:r>
      <w:r w:rsidRPr="00B74D3B">
        <w:rPr>
          <w:i/>
          <w:iCs/>
          <w:lang w:val="fr-FR"/>
        </w:rPr>
        <w:t xml:space="preserve"> </w:t>
      </w:r>
      <w:r w:rsidRPr="00B74D3B">
        <w:rPr>
          <w:lang w:val="fr-FR"/>
        </w:rPr>
        <w:t>Résolution </w:t>
      </w:r>
      <w:r w:rsidRPr="00B74D3B">
        <w:rPr>
          <w:b/>
          <w:bCs/>
          <w:lang w:val="fr-FR"/>
        </w:rPr>
        <w:t>8 (CMR</w:t>
      </w:r>
      <w:r w:rsidRPr="00B74D3B">
        <w:rPr>
          <w:b/>
          <w:bCs/>
          <w:lang w:val="fr-FR"/>
        </w:rPr>
        <w:noBreakHyphen/>
        <w:t>23)</w:t>
      </w:r>
      <w:r w:rsidRPr="00B74D3B">
        <w:rPr>
          <w:lang w:val="fr-FR"/>
        </w:rPr>
        <w:t xml:space="preserve"> limite les modifications à soumettre au titre du </w:t>
      </w:r>
      <w:r w:rsidRPr="00B74D3B">
        <w:rPr>
          <w:i/>
          <w:iCs/>
          <w:lang w:val="fr-FR"/>
        </w:rPr>
        <w:t>décide</w:t>
      </w:r>
      <w:r w:rsidRPr="00B74D3B">
        <w:rPr>
          <w:lang w:val="fr-FR"/>
        </w:rPr>
        <w:t xml:space="preserve"> aux sous-éléments de l'élément de donnée A.4.b.4</w:t>
      </w:r>
      <w:r w:rsidRPr="00B74D3B">
        <w:rPr>
          <w:rFonts w:eastAsia="SimSun"/>
          <w:lang w:val="fr-FR" w:eastAsia="ar-SA"/>
        </w:rPr>
        <w:t xml:space="preserve"> de l'Appendice</w:t>
      </w:r>
      <w:r w:rsidRPr="00B74D3B">
        <w:rPr>
          <w:rFonts w:eastAsia="SimSun"/>
          <w:lang w:val="fr-FR"/>
        </w:rPr>
        <w:t> </w:t>
      </w:r>
      <w:r w:rsidRPr="00B74D3B">
        <w:rPr>
          <w:rFonts w:eastAsia="SimSun"/>
          <w:b/>
          <w:bCs/>
          <w:lang w:val="fr-FR"/>
        </w:rPr>
        <w:t>4</w:t>
      </w:r>
      <w:r w:rsidRPr="00B74D3B">
        <w:rPr>
          <w:rFonts w:eastAsia="SimSun"/>
          <w:lang w:val="fr-FR" w:eastAsia="ar-SA"/>
        </w:rPr>
        <w:t>, à l'exception de l'élément de données A.4.b.4.b (nombre de satellites dans le plan orbital) et aux sous-éléments des éléments de données</w:t>
      </w:r>
      <w:r w:rsidRPr="00B74D3B">
        <w:rPr>
          <w:lang w:val="fr-FR" w:eastAsia="ko-KR"/>
        </w:rPr>
        <w:t xml:space="preserve"> A.14, A.4.b.6.a et A.4.b.7</w:t>
      </w:r>
      <w:r w:rsidRPr="00B74D3B">
        <w:rPr>
          <w:lang w:val="fr-FR"/>
        </w:rPr>
        <w:t xml:space="preserve">. Les modifications impliquant le changement de l'élément de données </w:t>
      </w:r>
      <w:r w:rsidRPr="00B74D3B">
        <w:rPr>
          <w:rFonts w:eastAsia="SimSun"/>
          <w:lang w:val="fr-FR" w:eastAsia="ar-SA"/>
        </w:rPr>
        <w:t>A.4.b.4.b de l'Appendice</w:t>
      </w:r>
      <w:r w:rsidRPr="00B74D3B">
        <w:rPr>
          <w:rFonts w:eastAsia="SimSun"/>
          <w:lang w:val="fr-FR"/>
        </w:rPr>
        <w:t> </w:t>
      </w:r>
      <w:r w:rsidRPr="00B74D3B">
        <w:rPr>
          <w:rFonts w:eastAsia="SimSun"/>
          <w:b/>
          <w:bCs/>
          <w:lang w:val="fr-FR"/>
        </w:rPr>
        <w:t>4</w:t>
      </w:r>
      <w:r w:rsidRPr="00B74D3B">
        <w:rPr>
          <w:rFonts w:eastAsia="SimSun"/>
          <w:lang w:val="fr-FR" w:eastAsia="ar-SA"/>
        </w:rPr>
        <w:t xml:space="preserve"> (c'est-à-dire une diminution du nombre de satellites dans le plan orbital) doivent être soumises conformément au point 11 </w:t>
      </w:r>
      <w:r w:rsidRPr="00B74D3B">
        <w:rPr>
          <w:rFonts w:eastAsia="SimSun"/>
          <w:i/>
          <w:iCs/>
          <w:lang w:val="fr-FR" w:eastAsia="ar-SA"/>
        </w:rPr>
        <w:t xml:space="preserve">c) </w:t>
      </w:r>
      <w:r w:rsidRPr="00B74D3B">
        <w:rPr>
          <w:rFonts w:eastAsia="SimSun"/>
          <w:lang w:val="fr-FR" w:eastAsia="ar-SA"/>
        </w:rPr>
        <w:t>du</w:t>
      </w:r>
      <w:r w:rsidRPr="00B74D3B">
        <w:rPr>
          <w:rFonts w:eastAsia="SimSun"/>
          <w:i/>
          <w:iCs/>
          <w:lang w:val="fr-FR" w:eastAsia="ar-SA"/>
        </w:rPr>
        <w:t xml:space="preserve"> décide </w:t>
      </w:r>
      <w:r w:rsidRPr="00B74D3B">
        <w:rPr>
          <w:rFonts w:eastAsia="SimSun"/>
          <w:lang w:val="fr-FR" w:eastAsia="ar-SA"/>
        </w:rPr>
        <w:t>de la Résolution </w:t>
      </w:r>
      <w:r w:rsidRPr="00B74D3B">
        <w:rPr>
          <w:rFonts w:eastAsia="SimSun"/>
          <w:b/>
          <w:bCs/>
          <w:lang w:val="fr-FR" w:eastAsia="ar-SA"/>
        </w:rPr>
        <w:t>35</w:t>
      </w:r>
      <w:r w:rsidRPr="00B74D3B">
        <w:rPr>
          <w:rFonts w:eastAsia="SimSun"/>
          <w:lang w:val="fr-FR" w:eastAsia="ar-SA"/>
        </w:rPr>
        <w:t xml:space="preserve"> </w:t>
      </w:r>
      <w:r w:rsidRPr="00B74D3B">
        <w:rPr>
          <w:rFonts w:eastAsia="SimSun"/>
          <w:b/>
          <w:bCs/>
          <w:lang w:val="fr-FR" w:eastAsia="ar-SA"/>
        </w:rPr>
        <w:t>(Rév.CMR</w:t>
      </w:r>
      <w:r w:rsidRPr="00B74D3B">
        <w:rPr>
          <w:rFonts w:eastAsia="SimSun"/>
          <w:b/>
          <w:bCs/>
          <w:lang w:val="fr-FR" w:eastAsia="ar-SA"/>
        </w:rPr>
        <w:noBreakHyphen/>
        <w:t>23)</w:t>
      </w:r>
      <w:r w:rsidRPr="00B74D3B">
        <w:rPr>
          <w:rFonts w:eastAsia="SimSun"/>
          <w:lang w:val="fr-FR" w:eastAsia="ar-SA"/>
        </w:rPr>
        <w:t>.</w:t>
      </w:r>
      <w:r w:rsidR="00B73C1B">
        <w:rPr>
          <w:rFonts w:asciiTheme="majorBidi" w:hAnsiTheme="majorBidi" w:cstheme="majorBidi"/>
          <w:szCs w:val="22"/>
          <w:lang w:eastAsia="ar-SA"/>
        </w:rPr>
        <w:br w:type="page"/>
      </w:r>
    </w:p>
    <w:p w14:paraId="5DDDDB32" w14:textId="29DCB412" w:rsidR="00B74D3B" w:rsidRPr="00B74D3B" w:rsidRDefault="00B74D3B" w:rsidP="00B74D3B">
      <w:pPr>
        <w:rPr>
          <w:rFonts w:eastAsia="SimSun"/>
          <w:lang w:val="fr-FR"/>
        </w:rPr>
      </w:pPr>
      <w:r w:rsidRPr="00B74D3B">
        <w:rPr>
          <w:rFonts w:eastAsia="SimSun"/>
          <w:lang w:val="fr-FR" w:eastAsia="ar-SA"/>
        </w:rPr>
        <w:lastRenderedPageBreak/>
        <w:t>Toutefois, notant la condition pour formuler une conclusion favorable conformément au numéro </w:t>
      </w:r>
      <w:r w:rsidRPr="00B74D3B">
        <w:rPr>
          <w:rFonts w:eastAsia="SimSun"/>
          <w:b/>
          <w:bCs/>
          <w:lang w:val="fr-FR" w:eastAsia="ar-SA"/>
        </w:rPr>
        <w:t xml:space="preserve">11.43B </w:t>
      </w:r>
      <w:r w:rsidRPr="00B74D3B">
        <w:rPr>
          <w:rFonts w:eastAsia="SimSun"/>
          <w:lang w:val="fr-FR" w:eastAsia="ar-SA"/>
        </w:rPr>
        <w:t>décrite au point 14 </w:t>
      </w:r>
      <w:r w:rsidRPr="00B74D3B">
        <w:rPr>
          <w:rFonts w:eastAsia="SimSun"/>
          <w:i/>
          <w:iCs/>
          <w:lang w:val="fr-FR" w:eastAsia="ar-SA"/>
        </w:rPr>
        <w:t>c)</w:t>
      </w:r>
      <w:r w:rsidRPr="00B74D3B">
        <w:rPr>
          <w:rFonts w:eastAsia="SimSun"/>
          <w:lang w:val="fr-FR" w:eastAsia="ar-SA"/>
        </w:rPr>
        <w:t> ii)</w:t>
      </w:r>
      <w:r w:rsidRPr="00B74D3B">
        <w:rPr>
          <w:rFonts w:eastAsia="SimSun"/>
          <w:i/>
          <w:iCs/>
          <w:lang w:val="fr-FR" w:eastAsia="ar-SA"/>
        </w:rPr>
        <w:t xml:space="preserve"> </w:t>
      </w:r>
      <w:r w:rsidRPr="00B74D3B">
        <w:rPr>
          <w:rFonts w:eastAsia="SimSun"/>
          <w:lang w:val="fr-FR" w:eastAsia="ar-SA"/>
        </w:rPr>
        <w:t xml:space="preserve">du </w:t>
      </w:r>
      <w:r w:rsidRPr="00B74D3B">
        <w:rPr>
          <w:rFonts w:eastAsia="SimSun"/>
          <w:i/>
          <w:iCs/>
          <w:lang w:val="fr-FR" w:eastAsia="ar-SA"/>
        </w:rPr>
        <w:t>décide</w:t>
      </w:r>
      <w:r w:rsidRPr="00B74D3B">
        <w:rPr>
          <w:rFonts w:eastAsia="SimSun"/>
          <w:lang w:val="fr-FR" w:eastAsia="ar-SA"/>
        </w:rPr>
        <w:t xml:space="preserve"> de la Résolution</w:t>
      </w:r>
      <w:r w:rsidRPr="00B74D3B">
        <w:rPr>
          <w:rFonts w:eastAsia="SimSun"/>
          <w:b/>
          <w:bCs/>
          <w:lang w:val="fr-FR" w:eastAsia="ar-SA"/>
        </w:rPr>
        <w:t> 35 (Rév.CMR</w:t>
      </w:r>
      <w:r w:rsidRPr="00B74D3B">
        <w:rPr>
          <w:rFonts w:eastAsia="SimSun"/>
          <w:b/>
          <w:bCs/>
          <w:lang w:val="fr-FR" w:eastAsia="ar-SA"/>
        </w:rPr>
        <w:noBreakHyphen/>
        <w:t>23)</w:t>
      </w:r>
      <w:r w:rsidR="00EB7ED9">
        <w:rPr>
          <w:rStyle w:val="FootnoteReference"/>
          <w:rFonts w:eastAsia="SimSun"/>
          <w:lang w:val="fr-FR" w:eastAsia="ar-SA"/>
        </w:rPr>
        <w:footnoteReference w:customMarkFollows="1" w:id="2"/>
        <w:t>2</w:t>
      </w:r>
      <w:r w:rsidRPr="00B74D3B">
        <w:rPr>
          <w:rFonts w:eastAsia="SimSun"/>
          <w:lang w:val="fr-FR" w:eastAsia="ar-SA"/>
        </w:rPr>
        <w:t xml:space="preserve">, le Comité a décidé qu'une modification soumise au titre du point 10 du </w:t>
      </w:r>
      <w:r w:rsidRPr="00B74D3B">
        <w:rPr>
          <w:rFonts w:eastAsia="SimSun"/>
          <w:i/>
          <w:iCs/>
          <w:lang w:val="fr-FR" w:eastAsia="ar-SA"/>
        </w:rPr>
        <w:t>décide</w:t>
      </w:r>
      <w:r w:rsidRPr="00B74D3B">
        <w:rPr>
          <w:rFonts w:eastAsia="SimSun"/>
          <w:lang w:val="fr-FR" w:eastAsia="ar-SA"/>
        </w:rPr>
        <w:t xml:space="preserve"> de la Résolution </w:t>
      </w:r>
      <w:r w:rsidRPr="00B74D3B">
        <w:rPr>
          <w:rFonts w:eastAsia="SimSun"/>
          <w:b/>
          <w:bCs/>
          <w:lang w:val="fr-FR" w:eastAsia="ar-SA"/>
        </w:rPr>
        <w:t>8</w:t>
      </w:r>
      <w:r w:rsidRPr="00B74D3B">
        <w:rPr>
          <w:rFonts w:eastAsia="SimSun"/>
          <w:lang w:val="fr-FR" w:eastAsia="ar-SA"/>
        </w:rPr>
        <w:t xml:space="preserve"> </w:t>
      </w:r>
      <w:r w:rsidRPr="00B74D3B">
        <w:rPr>
          <w:rFonts w:eastAsia="SimSun"/>
          <w:b/>
          <w:bCs/>
          <w:lang w:val="fr-FR" w:eastAsia="ar-SA"/>
        </w:rPr>
        <w:t>(CMR</w:t>
      </w:r>
      <w:r w:rsidRPr="00B74D3B">
        <w:rPr>
          <w:rFonts w:eastAsia="SimSun"/>
          <w:b/>
          <w:bCs/>
          <w:lang w:val="fr-FR" w:eastAsia="ar-SA"/>
        </w:rPr>
        <w:noBreakHyphen/>
        <w:t>23)</w:t>
      </w:r>
      <w:r w:rsidRPr="00B74D3B">
        <w:rPr>
          <w:rFonts w:eastAsia="SimSun"/>
          <w:lang w:val="fr-FR" w:eastAsia="ar-SA"/>
        </w:rPr>
        <w:t xml:space="preserve"> supposant la modification de l'élément de données A.4.b.4.b sera traitée comme respectant la condition énoncée au point 16 </w:t>
      </w:r>
      <w:r w:rsidRPr="00B74D3B">
        <w:rPr>
          <w:rFonts w:eastAsia="SimSun"/>
          <w:i/>
          <w:iCs/>
          <w:lang w:val="fr-FR" w:eastAsia="ar-SA"/>
        </w:rPr>
        <w:t>c)</w:t>
      </w:r>
      <w:r w:rsidRPr="00B74D3B">
        <w:rPr>
          <w:rFonts w:eastAsia="SimSun"/>
          <w:lang w:val="fr-FR" w:eastAsia="ar-SA"/>
        </w:rPr>
        <w:t xml:space="preserve"> ii) du </w:t>
      </w:r>
      <w:r w:rsidRPr="00B74D3B">
        <w:rPr>
          <w:rFonts w:eastAsia="SimSun"/>
          <w:i/>
          <w:iCs/>
          <w:lang w:val="fr-FR" w:eastAsia="ar-SA"/>
        </w:rPr>
        <w:t>décide</w:t>
      </w:r>
      <w:r w:rsidRPr="00B74D3B">
        <w:rPr>
          <w:rFonts w:eastAsia="SimSun"/>
          <w:lang w:val="fr-FR" w:eastAsia="ar-SA"/>
        </w:rPr>
        <w:t>,</w:t>
      </w:r>
      <w:r w:rsidRPr="00B74D3B">
        <w:rPr>
          <w:rFonts w:eastAsia="SimSun"/>
          <w:i/>
          <w:iCs/>
          <w:lang w:val="fr-FR" w:eastAsia="ar-SA"/>
        </w:rPr>
        <w:t xml:space="preserve"> </w:t>
      </w:r>
      <w:r w:rsidRPr="00B74D3B">
        <w:rPr>
          <w:rFonts w:eastAsia="SimSun"/>
          <w:lang w:val="fr-FR" w:eastAsia="ar-SA"/>
        </w:rPr>
        <w:t xml:space="preserve">sous réserve que l'administration notificatrice indique que la modification est soumise en application simultanée du point 11 du </w:t>
      </w:r>
      <w:r w:rsidRPr="00B74D3B">
        <w:rPr>
          <w:rFonts w:eastAsia="SimSun"/>
          <w:i/>
          <w:iCs/>
          <w:lang w:val="fr-FR" w:eastAsia="ar-SA"/>
        </w:rPr>
        <w:t>décide</w:t>
      </w:r>
      <w:r w:rsidRPr="00B74D3B">
        <w:rPr>
          <w:rFonts w:eastAsia="SimSun"/>
          <w:lang w:val="fr-FR" w:eastAsia="ar-SA"/>
        </w:rPr>
        <w:t xml:space="preserve"> de la</w:t>
      </w:r>
      <w:r w:rsidRPr="00B74D3B">
        <w:rPr>
          <w:rFonts w:eastAsia="SimSun"/>
          <w:i/>
          <w:iCs/>
          <w:lang w:val="fr-FR" w:eastAsia="ar-SA"/>
        </w:rPr>
        <w:t xml:space="preserve"> </w:t>
      </w:r>
      <w:r w:rsidRPr="00B74D3B">
        <w:rPr>
          <w:rFonts w:eastAsia="SimSun"/>
          <w:lang w:val="fr-FR" w:eastAsia="ar-SA"/>
        </w:rPr>
        <w:t>Résolution </w:t>
      </w:r>
      <w:r w:rsidRPr="00B74D3B">
        <w:rPr>
          <w:rFonts w:eastAsia="SimSun"/>
          <w:b/>
          <w:bCs/>
          <w:lang w:val="fr-FR" w:eastAsia="ar-SA"/>
        </w:rPr>
        <w:t>35</w:t>
      </w:r>
      <w:r w:rsidRPr="00B74D3B">
        <w:rPr>
          <w:rFonts w:eastAsia="SimSun"/>
          <w:lang w:val="fr-FR" w:eastAsia="ar-SA"/>
        </w:rPr>
        <w:t xml:space="preserve"> </w:t>
      </w:r>
      <w:r w:rsidRPr="00B74D3B">
        <w:rPr>
          <w:rFonts w:eastAsia="SimSun"/>
          <w:b/>
          <w:bCs/>
          <w:lang w:val="fr-FR" w:eastAsia="ar-SA"/>
        </w:rPr>
        <w:t>(Rév.CMR</w:t>
      </w:r>
      <w:r w:rsidRPr="00B74D3B">
        <w:rPr>
          <w:rFonts w:eastAsia="SimSun"/>
          <w:b/>
          <w:bCs/>
          <w:lang w:val="fr-FR" w:eastAsia="ar-SA"/>
        </w:rPr>
        <w:noBreakHyphen/>
        <w:t>23</w:t>
      </w:r>
      <w:r w:rsidRPr="00B74D3B">
        <w:rPr>
          <w:rFonts w:eastAsia="SimSun"/>
          <w:lang w:val="fr-FR" w:eastAsia="ar-SA"/>
        </w:rPr>
        <w:t xml:space="preserve">) et du point 10 du </w:t>
      </w:r>
      <w:r w:rsidRPr="00B74D3B">
        <w:rPr>
          <w:rFonts w:eastAsia="SimSun"/>
          <w:i/>
          <w:iCs/>
          <w:lang w:val="fr-FR" w:eastAsia="ar-SA"/>
        </w:rPr>
        <w:t>décide</w:t>
      </w:r>
      <w:r w:rsidRPr="00B74D3B">
        <w:rPr>
          <w:rFonts w:eastAsia="SimSun"/>
          <w:lang w:val="fr-FR" w:eastAsia="ar-SA"/>
        </w:rPr>
        <w:t xml:space="preserve"> de la Résolution</w:t>
      </w:r>
      <w:r w:rsidRPr="00B74D3B">
        <w:rPr>
          <w:rFonts w:eastAsia="SimSun"/>
          <w:i/>
          <w:iCs/>
          <w:lang w:val="fr-FR" w:eastAsia="ar-SA"/>
        </w:rPr>
        <w:t> </w:t>
      </w:r>
      <w:r w:rsidRPr="00B74D3B">
        <w:rPr>
          <w:rFonts w:eastAsia="SimSun"/>
          <w:b/>
          <w:bCs/>
          <w:lang w:val="fr-FR" w:eastAsia="ar-SA"/>
        </w:rPr>
        <w:t>8</w:t>
      </w:r>
      <w:r w:rsidRPr="00B74D3B">
        <w:rPr>
          <w:rFonts w:eastAsia="SimSun"/>
          <w:lang w:val="fr-FR" w:eastAsia="ar-SA"/>
        </w:rPr>
        <w:t xml:space="preserve"> </w:t>
      </w:r>
      <w:r w:rsidRPr="00B74D3B">
        <w:rPr>
          <w:rFonts w:eastAsia="SimSun"/>
          <w:b/>
          <w:bCs/>
          <w:lang w:val="fr-FR" w:eastAsia="ar-SA"/>
        </w:rPr>
        <w:t>(CMR</w:t>
      </w:r>
      <w:r w:rsidRPr="00B74D3B">
        <w:rPr>
          <w:rFonts w:eastAsia="SimSun"/>
          <w:b/>
          <w:bCs/>
          <w:lang w:val="fr-FR" w:eastAsia="ar-SA"/>
        </w:rPr>
        <w:noBreakHyphen/>
        <w:t>23)</w:t>
      </w:r>
      <w:r w:rsidRPr="00B74D3B">
        <w:rPr>
          <w:rFonts w:eastAsia="SimSun"/>
          <w:lang w:val="fr-FR" w:eastAsia="ar-SA"/>
        </w:rPr>
        <w:t>. De même, cette modification peut être traitée comme respectant la condition énoncée au point</w:t>
      </w:r>
      <w:r w:rsidRPr="00B74D3B">
        <w:rPr>
          <w:rFonts w:eastAsia="SimSun"/>
          <w:i/>
          <w:iCs/>
          <w:lang w:val="fr-FR" w:eastAsia="ar-SA"/>
        </w:rPr>
        <w:t> </w:t>
      </w:r>
      <w:r w:rsidRPr="00B74D3B">
        <w:rPr>
          <w:rFonts w:eastAsia="SimSun"/>
          <w:lang w:val="fr-FR" w:eastAsia="ar-SA"/>
        </w:rPr>
        <w:t>14</w:t>
      </w:r>
      <w:r w:rsidRPr="00B74D3B">
        <w:rPr>
          <w:rFonts w:eastAsia="SimSun"/>
          <w:i/>
          <w:iCs/>
          <w:lang w:val="fr-FR" w:eastAsia="ar-SA"/>
        </w:rPr>
        <w:t> c)</w:t>
      </w:r>
      <w:r w:rsidRPr="00B74D3B">
        <w:rPr>
          <w:rFonts w:eastAsia="SimSun"/>
          <w:lang w:val="fr-FR" w:eastAsia="ar-SA"/>
        </w:rPr>
        <w:t> ii)</w:t>
      </w:r>
      <w:r w:rsidRPr="00B74D3B">
        <w:rPr>
          <w:rFonts w:eastAsia="SimSun"/>
          <w:i/>
          <w:iCs/>
          <w:lang w:val="fr-FR" w:eastAsia="ar-SA"/>
        </w:rPr>
        <w:t xml:space="preserve"> </w:t>
      </w:r>
      <w:r w:rsidRPr="00B74D3B">
        <w:rPr>
          <w:rFonts w:eastAsia="SimSun"/>
          <w:lang w:val="fr-FR" w:eastAsia="ar-SA"/>
        </w:rPr>
        <w:t xml:space="preserve">du </w:t>
      </w:r>
      <w:r w:rsidRPr="00B74D3B">
        <w:rPr>
          <w:rFonts w:eastAsia="SimSun"/>
          <w:i/>
          <w:iCs/>
          <w:lang w:val="fr-FR" w:eastAsia="ar-SA"/>
        </w:rPr>
        <w:t>décide</w:t>
      </w:r>
      <w:r w:rsidRPr="00B74D3B">
        <w:rPr>
          <w:rFonts w:eastAsia="SimSun"/>
          <w:lang w:val="fr-FR" w:eastAsia="ar-SA"/>
        </w:rPr>
        <w:t xml:space="preserve"> de la Résolution</w:t>
      </w:r>
      <w:r w:rsidRPr="00B74D3B">
        <w:rPr>
          <w:rFonts w:eastAsia="SimSun"/>
          <w:i/>
          <w:iCs/>
          <w:lang w:val="fr-FR" w:eastAsia="ar-SA"/>
        </w:rPr>
        <w:t> </w:t>
      </w:r>
      <w:r w:rsidRPr="00B74D3B">
        <w:rPr>
          <w:rFonts w:eastAsia="SimSun"/>
          <w:b/>
          <w:bCs/>
          <w:lang w:val="fr-FR" w:eastAsia="ar-SA"/>
        </w:rPr>
        <w:t>35 (Rév.CMR</w:t>
      </w:r>
      <w:r w:rsidRPr="00B74D3B">
        <w:rPr>
          <w:rFonts w:eastAsia="SimSun"/>
          <w:b/>
          <w:bCs/>
          <w:lang w:val="fr-FR" w:eastAsia="ar-SA"/>
        </w:rPr>
        <w:noBreakHyphen/>
        <w:t>23)</w:t>
      </w:r>
      <w:r w:rsidRPr="00B74D3B">
        <w:rPr>
          <w:rFonts w:eastAsia="SimSun"/>
          <w:lang w:val="fr-FR" w:eastAsia="ar-SA"/>
        </w:rPr>
        <w:t xml:space="preserve"> si cela implique de modifier un quelconque sous-élément de l'élément de données A.4.b n'étant pas énuméré au point 14 </w:t>
      </w:r>
      <w:r w:rsidRPr="00B74D3B">
        <w:rPr>
          <w:rFonts w:eastAsia="SimSun"/>
          <w:i/>
          <w:iCs/>
          <w:lang w:val="fr-FR" w:eastAsia="ar-SA"/>
        </w:rPr>
        <w:t>c)</w:t>
      </w:r>
      <w:r w:rsidRPr="00B74D3B">
        <w:rPr>
          <w:rFonts w:eastAsia="SimSun"/>
          <w:lang w:val="fr-FR" w:eastAsia="ar-SA"/>
        </w:rPr>
        <w:t> ii)</w:t>
      </w:r>
      <w:r w:rsidRPr="00B74D3B">
        <w:rPr>
          <w:rFonts w:eastAsia="SimSun"/>
          <w:i/>
          <w:iCs/>
          <w:lang w:val="fr-FR" w:eastAsia="ar-SA"/>
        </w:rPr>
        <w:t xml:space="preserve"> </w:t>
      </w:r>
      <w:r w:rsidRPr="00B74D3B">
        <w:rPr>
          <w:rFonts w:eastAsia="SimSun"/>
          <w:lang w:val="fr-FR" w:eastAsia="ar-SA"/>
        </w:rPr>
        <w:t xml:space="preserve">du </w:t>
      </w:r>
      <w:r w:rsidRPr="00B74D3B">
        <w:rPr>
          <w:rFonts w:eastAsia="SimSun"/>
          <w:i/>
          <w:iCs/>
          <w:lang w:val="fr-FR" w:eastAsia="ar-SA"/>
        </w:rPr>
        <w:t>décide</w:t>
      </w:r>
      <w:r w:rsidRPr="00B74D3B">
        <w:rPr>
          <w:rFonts w:eastAsia="SimSun"/>
          <w:lang w:val="fr-FR" w:eastAsia="ar-SA"/>
        </w:rPr>
        <w:t xml:space="preserve"> de la Résolution </w:t>
      </w:r>
      <w:r w:rsidRPr="00B74D3B">
        <w:rPr>
          <w:rFonts w:eastAsia="SimSun"/>
          <w:b/>
          <w:bCs/>
          <w:lang w:val="fr-FR" w:eastAsia="ar-SA"/>
        </w:rPr>
        <w:t>35 (Rév.CMR</w:t>
      </w:r>
      <w:r w:rsidRPr="00B74D3B">
        <w:rPr>
          <w:rFonts w:eastAsia="SimSun"/>
          <w:b/>
          <w:bCs/>
          <w:lang w:val="fr-FR" w:eastAsia="ar-SA"/>
        </w:rPr>
        <w:noBreakHyphen/>
        <w:t>23)</w:t>
      </w:r>
      <w:r w:rsidRPr="00B74D3B">
        <w:rPr>
          <w:rFonts w:eastAsia="SimSun"/>
          <w:lang w:val="fr-FR" w:eastAsia="ar-SA"/>
        </w:rPr>
        <w:t xml:space="preserve"> lorsque cette modification est associée à l'application du point</w:t>
      </w:r>
      <w:r w:rsidRPr="00B74D3B">
        <w:rPr>
          <w:rFonts w:eastAsia="SimSun"/>
          <w:i/>
          <w:iCs/>
          <w:lang w:val="fr-FR" w:eastAsia="ar-SA"/>
        </w:rPr>
        <w:t> </w:t>
      </w:r>
      <w:r w:rsidRPr="00B74D3B">
        <w:rPr>
          <w:rFonts w:eastAsia="SimSun"/>
          <w:lang w:val="fr-FR" w:eastAsia="ar-SA"/>
        </w:rPr>
        <w:t xml:space="preserve">10 du </w:t>
      </w:r>
      <w:r w:rsidRPr="00B74D3B">
        <w:rPr>
          <w:rFonts w:eastAsia="SimSun"/>
          <w:i/>
          <w:iCs/>
          <w:lang w:val="fr-FR" w:eastAsia="ar-SA"/>
        </w:rPr>
        <w:t>décide</w:t>
      </w:r>
      <w:r w:rsidRPr="00B74D3B">
        <w:rPr>
          <w:rFonts w:eastAsia="SimSun"/>
          <w:lang w:val="fr-FR" w:eastAsia="ar-SA"/>
        </w:rPr>
        <w:t xml:space="preserve"> de la Résolution </w:t>
      </w:r>
      <w:r w:rsidRPr="00B74D3B">
        <w:rPr>
          <w:rFonts w:eastAsia="SimSun"/>
          <w:b/>
          <w:bCs/>
          <w:lang w:val="fr-FR" w:eastAsia="ar-SA"/>
        </w:rPr>
        <w:t>8 (CMR</w:t>
      </w:r>
      <w:r w:rsidRPr="00B74D3B">
        <w:rPr>
          <w:rFonts w:eastAsia="SimSun"/>
          <w:b/>
          <w:bCs/>
          <w:lang w:val="fr-FR" w:eastAsia="ar-SA"/>
        </w:rPr>
        <w:noBreakHyphen/>
        <w:t>23)</w:t>
      </w:r>
      <w:r w:rsidRPr="00B74D3B">
        <w:rPr>
          <w:rFonts w:eastAsia="SimSun"/>
          <w:lang w:val="fr-FR" w:eastAsia="ar-SA"/>
        </w:rPr>
        <w:t>.</w:t>
      </w:r>
    </w:p>
    <w:p w14:paraId="232EF11F" w14:textId="77777777" w:rsidR="00B74D3B" w:rsidRPr="00B74D3B" w:rsidRDefault="00B74D3B" w:rsidP="00B74D3B">
      <w:pPr>
        <w:rPr>
          <w:color w:val="000000"/>
          <w:lang w:val="fr-FR"/>
        </w:rPr>
      </w:pPr>
      <w:r w:rsidRPr="00B74D3B">
        <w:rPr>
          <w:color w:val="000000"/>
          <w:lang w:val="fr-FR"/>
        </w:rPr>
        <w:t>Si, en raison de modifications, l'une quelconque des conditions contenues aux points</w:t>
      </w:r>
      <w:r w:rsidRPr="00B74D3B">
        <w:rPr>
          <w:i/>
          <w:iCs/>
          <w:lang w:val="fr-FR"/>
        </w:rPr>
        <w:t> </w:t>
      </w:r>
      <w:r w:rsidRPr="00B74D3B">
        <w:rPr>
          <w:lang w:val="fr-FR"/>
        </w:rPr>
        <w:t>16 </w:t>
      </w:r>
      <w:r w:rsidRPr="00B74D3B">
        <w:rPr>
          <w:i/>
          <w:iCs/>
          <w:lang w:val="fr-FR"/>
        </w:rPr>
        <w:t>c)</w:t>
      </w:r>
      <w:r w:rsidRPr="00B74D3B">
        <w:rPr>
          <w:lang w:val="fr-FR"/>
        </w:rPr>
        <w:t> i), 16 </w:t>
      </w:r>
      <w:r w:rsidRPr="00B74D3B">
        <w:rPr>
          <w:i/>
          <w:iCs/>
          <w:lang w:val="fr-FR"/>
        </w:rPr>
        <w:t>c)</w:t>
      </w:r>
      <w:r w:rsidRPr="00B74D3B">
        <w:rPr>
          <w:lang w:val="fr-FR"/>
        </w:rPr>
        <w:t> ii) ou 16 </w:t>
      </w:r>
      <w:r w:rsidRPr="00B74D3B">
        <w:rPr>
          <w:i/>
          <w:iCs/>
          <w:lang w:val="fr-FR"/>
        </w:rPr>
        <w:t>c)</w:t>
      </w:r>
      <w:r w:rsidRPr="00B74D3B">
        <w:rPr>
          <w:lang w:val="fr-FR"/>
        </w:rPr>
        <w:t xml:space="preserve"> iii) du </w:t>
      </w:r>
      <w:r w:rsidRPr="00B74D3B">
        <w:rPr>
          <w:i/>
          <w:iCs/>
          <w:lang w:val="fr-FR"/>
        </w:rPr>
        <w:t>décide</w:t>
      </w:r>
      <w:r w:rsidRPr="00B74D3B">
        <w:rPr>
          <w:lang w:val="fr-FR"/>
        </w:rPr>
        <w:t xml:space="preserve"> n'est pas respectée, sauf lorsque seule la condition au titre du point 16 </w:t>
      </w:r>
      <w:r w:rsidRPr="00B74D3B">
        <w:rPr>
          <w:i/>
          <w:iCs/>
          <w:lang w:val="fr-FR"/>
        </w:rPr>
        <w:t>c)</w:t>
      </w:r>
      <w:r w:rsidRPr="00B74D3B">
        <w:rPr>
          <w:lang w:val="fr-FR"/>
        </w:rPr>
        <w:t xml:space="preserve"> ii) du </w:t>
      </w:r>
      <w:r w:rsidRPr="00B74D3B">
        <w:rPr>
          <w:i/>
          <w:iCs/>
          <w:lang w:val="fr-FR"/>
        </w:rPr>
        <w:t>décide</w:t>
      </w:r>
      <w:r w:rsidRPr="00B74D3B">
        <w:rPr>
          <w:lang w:val="fr-FR"/>
        </w:rPr>
        <w:t xml:space="preserve"> n'est pas respectée du fait que le nombre de satellites indiqué dans l'élément de données </w:t>
      </w:r>
      <w:r w:rsidRPr="00B74D3B">
        <w:rPr>
          <w:rFonts w:eastAsia="SimSun"/>
          <w:lang w:val="fr-FR" w:eastAsia="ar-SA"/>
        </w:rPr>
        <w:t xml:space="preserve">A.4.b.4.b est réduit en raison d'une application simultanée du point 11 du </w:t>
      </w:r>
      <w:r w:rsidRPr="00B74D3B">
        <w:rPr>
          <w:rFonts w:eastAsia="SimSun"/>
          <w:i/>
          <w:iCs/>
          <w:lang w:val="fr-FR" w:eastAsia="ar-SA"/>
        </w:rPr>
        <w:t>décide</w:t>
      </w:r>
      <w:r w:rsidRPr="00B74D3B">
        <w:rPr>
          <w:rFonts w:eastAsia="SimSun"/>
          <w:lang w:val="fr-FR" w:eastAsia="ar-SA"/>
        </w:rPr>
        <w:t xml:space="preserve"> de la Résolution </w:t>
      </w:r>
      <w:r w:rsidRPr="00B74D3B">
        <w:rPr>
          <w:rFonts w:eastAsia="SimSun"/>
          <w:b/>
          <w:bCs/>
          <w:lang w:val="fr-FR" w:eastAsia="ar-SA"/>
        </w:rPr>
        <w:t>35</w:t>
      </w:r>
      <w:r w:rsidRPr="00B74D3B">
        <w:rPr>
          <w:rFonts w:eastAsia="SimSun"/>
          <w:lang w:val="fr-FR" w:eastAsia="ar-SA"/>
        </w:rPr>
        <w:t xml:space="preserve"> </w:t>
      </w:r>
      <w:r w:rsidRPr="00B74D3B">
        <w:rPr>
          <w:rFonts w:eastAsia="SimSun"/>
          <w:b/>
          <w:bCs/>
          <w:lang w:val="fr-FR" w:eastAsia="ar-SA"/>
        </w:rPr>
        <w:t>(Rév.CMR</w:t>
      </w:r>
      <w:r w:rsidRPr="00B74D3B">
        <w:rPr>
          <w:rFonts w:eastAsia="SimSun"/>
          <w:b/>
          <w:bCs/>
          <w:lang w:val="fr-FR" w:eastAsia="ar-SA"/>
        </w:rPr>
        <w:noBreakHyphen/>
        <w:t>23)</w:t>
      </w:r>
      <w:r w:rsidRPr="00B74D3B">
        <w:rPr>
          <w:rFonts w:eastAsia="SimSun"/>
          <w:lang w:val="fr-FR" w:eastAsia="ar-SA"/>
        </w:rPr>
        <w:t xml:space="preserve"> et du point 10 du </w:t>
      </w:r>
      <w:r w:rsidRPr="00B74D3B">
        <w:rPr>
          <w:rFonts w:eastAsia="SimSun"/>
          <w:i/>
          <w:iCs/>
          <w:lang w:val="fr-FR" w:eastAsia="ar-SA"/>
        </w:rPr>
        <w:t>décide</w:t>
      </w:r>
      <w:r w:rsidRPr="00B74D3B">
        <w:rPr>
          <w:rFonts w:eastAsia="SimSun"/>
          <w:lang w:val="fr-FR" w:eastAsia="ar-SA"/>
        </w:rPr>
        <w:t xml:space="preserve"> de la Résolution </w:t>
      </w:r>
      <w:r w:rsidRPr="00B74D3B">
        <w:rPr>
          <w:rFonts w:eastAsia="SimSun"/>
          <w:b/>
          <w:bCs/>
          <w:lang w:val="fr-FR" w:eastAsia="ar-SA"/>
        </w:rPr>
        <w:t>8</w:t>
      </w:r>
      <w:r w:rsidRPr="00B74D3B">
        <w:rPr>
          <w:rFonts w:eastAsia="SimSun"/>
          <w:lang w:val="fr-FR" w:eastAsia="ar-SA"/>
        </w:rPr>
        <w:t xml:space="preserve"> </w:t>
      </w:r>
      <w:r w:rsidRPr="00B74D3B">
        <w:rPr>
          <w:rFonts w:eastAsia="SimSun"/>
          <w:b/>
          <w:bCs/>
          <w:lang w:val="fr-FR" w:eastAsia="ar-SA"/>
        </w:rPr>
        <w:t>(CMR</w:t>
      </w:r>
      <w:r w:rsidRPr="00B74D3B">
        <w:rPr>
          <w:rFonts w:eastAsia="SimSun"/>
          <w:b/>
          <w:bCs/>
          <w:lang w:val="fr-FR" w:eastAsia="ar-SA"/>
        </w:rPr>
        <w:noBreakHyphen/>
        <w:t>23)</w:t>
      </w:r>
      <w:r w:rsidRPr="00B74D3B">
        <w:rPr>
          <w:color w:val="000000"/>
          <w:lang w:val="fr-FR"/>
        </w:rPr>
        <w:t>, le Comité a en outre décidé que toutes les assignations de fréquence modifiées assujetties à la Résolution </w:t>
      </w:r>
      <w:r w:rsidRPr="00B74D3B">
        <w:rPr>
          <w:b/>
          <w:bCs/>
          <w:color w:val="000000"/>
          <w:lang w:val="fr-FR"/>
        </w:rPr>
        <w:t>35</w:t>
      </w:r>
      <w:r w:rsidRPr="00B74D3B">
        <w:rPr>
          <w:color w:val="000000"/>
          <w:lang w:val="fr-FR"/>
        </w:rPr>
        <w:t xml:space="preserve"> </w:t>
      </w:r>
      <w:r w:rsidRPr="00B74D3B">
        <w:rPr>
          <w:b/>
          <w:bCs/>
          <w:color w:val="000000"/>
          <w:lang w:val="fr-FR"/>
        </w:rPr>
        <w:t>(Rév.CMR</w:t>
      </w:r>
      <w:r w:rsidRPr="00B74D3B">
        <w:rPr>
          <w:b/>
          <w:bCs/>
          <w:color w:val="000000"/>
          <w:lang w:val="fr-FR"/>
        </w:rPr>
        <w:noBreakHyphen/>
        <w:t>23)</w:t>
      </w:r>
      <w:r w:rsidRPr="00B74D3B">
        <w:rPr>
          <w:color w:val="000000"/>
          <w:lang w:val="fr-FR"/>
        </w:rPr>
        <w:t xml:space="preserve"> feraient l'objet d'une conclusion défavorable </w:t>
      </w:r>
      <w:r w:rsidRPr="00B74D3B">
        <w:rPr>
          <w:lang w:val="fr-FR"/>
        </w:rPr>
        <w:t>et seraient retournées à l'administration notificatrice</w:t>
      </w:r>
      <w:r w:rsidRPr="00B74D3B">
        <w:rPr>
          <w:color w:val="000000"/>
          <w:lang w:val="fr-FR"/>
        </w:rPr>
        <w:t>.</w:t>
      </w:r>
    </w:p>
    <w:p w14:paraId="5AE4F193" w14:textId="77777777" w:rsidR="00B74D3B" w:rsidRPr="00B74D3B" w:rsidRDefault="00B74D3B" w:rsidP="00B74D3B">
      <w:pPr>
        <w:rPr>
          <w:color w:val="000000"/>
          <w:szCs w:val="24"/>
          <w:lang w:val="fr-FR"/>
        </w:rPr>
      </w:pPr>
      <w:r w:rsidRPr="00B74D3B">
        <w:rPr>
          <w:color w:val="000000"/>
          <w:szCs w:val="24"/>
          <w:lang w:val="fr-FR"/>
        </w:rPr>
        <w:t>4</w:t>
      </w:r>
      <w:r w:rsidRPr="00B74D3B">
        <w:rPr>
          <w:color w:val="000000"/>
          <w:szCs w:val="24"/>
          <w:lang w:val="fr-FR"/>
        </w:rPr>
        <w:tab/>
        <w:t>L'administration notificatrice sera invitée à appliquer la Section II de l'Article </w:t>
      </w:r>
      <w:r w:rsidRPr="00B74D3B">
        <w:rPr>
          <w:b/>
          <w:color w:val="000000"/>
          <w:szCs w:val="24"/>
          <w:lang w:val="fr-FR"/>
        </w:rPr>
        <w:t>9</w:t>
      </w:r>
      <w:r w:rsidRPr="00B74D3B">
        <w:rPr>
          <w:bCs/>
          <w:color w:val="000000"/>
          <w:szCs w:val="24"/>
          <w:lang w:val="fr-FR"/>
        </w:rPr>
        <w:t xml:space="preserve"> pour toutes les assignations de fréquence faisant l'objet de conclusions défavorables au titre des § 1 et 3 ci</w:t>
      </w:r>
      <w:r w:rsidRPr="00B74D3B">
        <w:rPr>
          <w:bCs/>
          <w:color w:val="000000"/>
          <w:szCs w:val="24"/>
          <w:lang w:val="fr-FR"/>
        </w:rPr>
        <w:noBreakHyphen/>
        <w:t>dessus</w:t>
      </w:r>
      <w:r w:rsidRPr="00B74D3B">
        <w:rPr>
          <w:color w:val="000000"/>
          <w:szCs w:val="24"/>
          <w:lang w:val="fr-FR"/>
        </w:rPr>
        <w:t>.</w:t>
      </w:r>
    </w:p>
    <w:p w14:paraId="65C13D44" w14:textId="03CE8385" w:rsidR="00E052A7" w:rsidRDefault="00E052A7" w:rsidP="00555E8E"/>
    <w:p w14:paraId="3B749283" w14:textId="77777777" w:rsidR="00E052A7" w:rsidRDefault="00E052A7" w:rsidP="0089365D">
      <w:pPr>
        <w:rPr>
          <w:lang w:val="en-US"/>
        </w:rPr>
      </w:pPr>
    </w:p>
    <w:p w14:paraId="02257F70" w14:textId="77777777" w:rsidR="00E052A7" w:rsidRDefault="00E052A7">
      <w:pPr>
        <w:jc w:val="center"/>
        <w:rPr>
          <w:color w:val="000000"/>
        </w:rPr>
      </w:pPr>
      <w:r>
        <w:rPr>
          <w:color w:val="000000"/>
        </w:rPr>
        <w:t>____________________</w:t>
      </w:r>
    </w:p>
    <w:p w14:paraId="7396A8FA" w14:textId="77777777" w:rsidR="00E052A7" w:rsidRDefault="00E052A7" w:rsidP="0089365D"/>
    <w:p w14:paraId="75DD6EFD" w14:textId="77777777" w:rsidR="00E052A7" w:rsidRDefault="00E052A7" w:rsidP="0089365D">
      <w:pPr>
        <w:rPr>
          <w:lang w:val="en-US"/>
        </w:rPr>
      </w:pPr>
    </w:p>
    <w:p w14:paraId="4AF7CD88" w14:textId="77777777" w:rsidR="00E052A7" w:rsidRDefault="00E052A7" w:rsidP="0089365D">
      <w:pPr>
        <w:rPr>
          <w:lang w:val="en-US"/>
        </w:rPr>
      </w:pPr>
    </w:p>
    <w:p w14:paraId="1F94AA5B" w14:textId="77777777" w:rsidR="00E052A7" w:rsidRDefault="00E052A7" w:rsidP="0089365D">
      <w:pPr>
        <w:rPr>
          <w:lang w:val="en-US"/>
        </w:rPr>
      </w:pPr>
    </w:p>
    <w:p w14:paraId="255837A2"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445AFBC5"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A3ACC" w14:textId="77777777" w:rsidR="00F846F1" w:rsidRDefault="00F846F1">
      <w:r>
        <w:separator/>
      </w:r>
    </w:p>
  </w:endnote>
  <w:endnote w:type="continuationSeparator" w:id="0">
    <w:p w14:paraId="42327F97" w14:textId="77777777" w:rsidR="00F846F1" w:rsidRDefault="00F8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676F4" w14:textId="77777777" w:rsidR="00F846F1" w:rsidRDefault="00F846F1">
      <w:r>
        <w:rPr>
          <w:b/>
        </w:rPr>
        <w:t>_______________</w:t>
      </w:r>
    </w:p>
  </w:footnote>
  <w:footnote w:type="continuationSeparator" w:id="0">
    <w:p w14:paraId="16A795FE" w14:textId="77777777" w:rsidR="00F846F1" w:rsidRDefault="00F846F1">
      <w:r>
        <w:continuationSeparator/>
      </w:r>
    </w:p>
  </w:footnote>
  <w:footnote w:id="1">
    <w:p w14:paraId="2608B9AD" w14:textId="249026E2" w:rsidR="00B74D3B" w:rsidRPr="00B74D3B" w:rsidRDefault="00B74D3B" w:rsidP="00B74D3B">
      <w:pPr>
        <w:pStyle w:val="FootnoteText"/>
        <w:rPr>
          <w:sz w:val="22"/>
          <w:szCs w:val="22"/>
        </w:rPr>
      </w:pPr>
      <w:r w:rsidRPr="00EB7ED9">
        <w:rPr>
          <w:rStyle w:val="FootnoteReference"/>
          <w:szCs w:val="16"/>
        </w:rPr>
        <w:t>1</w:t>
      </w:r>
      <w:r w:rsidRPr="00B74D3B">
        <w:rPr>
          <w:sz w:val="22"/>
          <w:szCs w:val="22"/>
        </w:rPr>
        <w:tab/>
      </w:r>
      <w:r w:rsidRPr="00B74D3B">
        <w:rPr>
          <w:rStyle w:val="FootnoteTextChar"/>
          <w:sz w:val="22"/>
          <w:szCs w:val="22"/>
        </w:rPr>
        <w:t xml:space="preserve">Les assignations de fréquence assujetties à la Résolution </w:t>
      </w:r>
      <w:r w:rsidRPr="00B74D3B">
        <w:rPr>
          <w:rStyle w:val="FootnoteTextChar"/>
          <w:b/>
          <w:bCs/>
          <w:sz w:val="22"/>
          <w:szCs w:val="22"/>
        </w:rPr>
        <w:t>35 (Rév.CMR-23)</w:t>
      </w:r>
      <w:r w:rsidRPr="00B74D3B">
        <w:rPr>
          <w:rStyle w:val="FootnoteTextChar"/>
          <w:sz w:val="22"/>
          <w:szCs w:val="22"/>
        </w:rPr>
        <w:t xml:space="preserve"> correspondent aux assignations de fréquence à des systèmes non OSG fonctionnant dans les bandes de fréquences et dans les services énumérés dans le tableau figurant au point 1 du </w:t>
      </w:r>
      <w:r w:rsidRPr="00B74D3B">
        <w:rPr>
          <w:rStyle w:val="FootnoteTextChar"/>
          <w:i/>
          <w:iCs/>
          <w:sz w:val="22"/>
          <w:szCs w:val="22"/>
        </w:rPr>
        <w:t>décide</w:t>
      </w:r>
      <w:r w:rsidRPr="00B74D3B">
        <w:rPr>
          <w:rStyle w:val="FootnoteTextChar"/>
          <w:sz w:val="22"/>
          <w:szCs w:val="22"/>
        </w:rPr>
        <w:t xml:space="preserve"> de la Résolution </w:t>
      </w:r>
      <w:r w:rsidRPr="00B74D3B">
        <w:rPr>
          <w:rStyle w:val="FootnoteTextChar"/>
          <w:b/>
          <w:bCs/>
          <w:sz w:val="22"/>
          <w:szCs w:val="22"/>
        </w:rPr>
        <w:t>35 (Rév.CMR</w:t>
      </w:r>
      <w:r>
        <w:rPr>
          <w:rStyle w:val="FootnoteTextChar"/>
          <w:b/>
          <w:bCs/>
          <w:sz w:val="22"/>
          <w:szCs w:val="22"/>
        </w:rPr>
        <w:noBreakHyphen/>
      </w:r>
      <w:r w:rsidRPr="00B74D3B">
        <w:rPr>
          <w:rStyle w:val="FootnoteTextChar"/>
          <w:b/>
          <w:bCs/>
          <w:sz w:val="22"/>
          <w:szCs w:val="22"/>
        </w:rPr>
        <w:t>23)</w:t>
      </w:r>
      <w:r w:rsidRPr="00B74D3B">
        <w:rPr>
          <w:rStyle w:val="FootnoteTextChar"/>
          <w:sz w:val="22"/>
          <w:szCs w:val="22"/>
        </w:rPr>
        <w:t>.</w:t>
      </w:r>
    </w:p>
  </w:footnote>
  <w:footnote w:id="2">
    <w:p w14:paraId="609C07AC" w14:textId="77777777" w:rsidR="00EB7ED9" w:rsidRPr="00B74D3B" w:rsidRDefault="00EB7ED9" w:rsidP="00EB7ED9">
      <w:pPr>
        <w:pStyle w:val="FootnoteText"/>
        <w:rPr>
          <w:sz w:val="22"/>
          <w:szCs w:val="22"/>
        </w:rPr>
      </w:pPr>
      <w:r>
        <w:rPr>
          <w:rStyle w:val="FootnoteReference"/>
        </w:rPr>
        <w:t>2</w:t>
      </w:r>
      <w:r>
        <w:t xml:space="preserve"> </w:t>
      </w:r>
      <w:r w:rsidRPr="00B74D3B">
        <w:rPr>
          <w:sz w:val="22"/>
          <w:szCs w:val="22"/>
        </w:rPr>
        <w:tab/>
      </w:r>
      <w:r w:rsidRPr="00B74D3B">
        <w:rPr>
          <w:rFonts w:eastAsia="SimSun"/>
          <w:sz w:val="22"/>
          <w:szCs w:val="22"/>
          <w:lang w:eastAsia="ar-SA"/>
        </w:rPr>
        <w:t xml:space="preserve">Les modifications sont limitées à la réduction du nombre de plans orbitaux (élément de données A.4.b.2 de l'Appendice </w:t>
      </w:r>
      <w:r w:rsidRPr="00B74D3B">
        <w:rPr>
          <w:rFonts w:eastAsia="SimSun"/>
          <w:b/>
          <w:bCs/>
          <w:sz w:val="22"/>
          <w:szCs w:val="22"/>
          <w:lang w:eastAsia="ar-SA"/>
        </w:rPr>
        <w:t>4</w:t>
      </w:r>
      <w:r w:rsidRPr="00B74D3B">
        <w:rPr>
          <w:rFonts w:eastAsia="SimSun"/>
          <w:sz w:val="22"/>
          <w:szCs w:val="22"/>
          <w:lang w:eastAsia="ar-SA"/>
        </w:rPr>
        <w:t xml:space="preserve">) et aux modifications de la longitude du nœud ascendant (élément de données A.4.b.4.j) de l'Appendice </w:t>
      </w:r>
      <w:r w:rsidRPr="00B74D3B">
        <w:rPr>
          <w:rFonts w:eastAsia="SimSun"/>
          <w:b/>
          <w:bCs/>
          <w:sz w:val="22"/>
          <w:szCs w:val="22"/>
          <w:lang w:eastAsia="ar-SA"/>
        </w:rPr>
        <w:t>4</w:t>
      </w:r>
      <w:r w:rsidRPr="00B74D3B">
        <w:rPr>
          <w:rFonts w:eastAsia="SimSun"/>
          <w:sz w:val="22"/>
          <w:szCs w:val="22"/>
          <w:lang w:eastAsia="ar-SA"/>
        </w:rPr>
        <w:t xml:space="preserve">) associées aux plans orbitaux restants, ou à la réduction du nombre de stations spatiales par plan (élément de données A.4.b.4.b de l'Appendice </w:t>
      </w:r>
      <w:r w:rsidRPr="00B74D3B">
        <w:rPr>
          <w:rFonts w:eastAsia="SimSun"/>
          <w:b/>
          <w:bCs/>
          <w:sz w:val="22"/>
          <w:szCs w:val="22"/>
          <w:lang w:eastAsia="ar-SA"/>
        </w:rPr>
        <w:t>4</w:t>
      </w:r>
      <w:r w:rsidRPr="00B74D3B">
        <w:rPr>
          <w:rFonts w:eastAsia="SimSun"/>
          <w:sz w:val="22"/>
          <w:szCs w:val="22"/>
          <w:lang w:eastAsia="ar-SA"/>
        </w:rPr>
        <w:t xml:space="preserve">) ainsi qu'aux modifications de l'angle de phase initial des stations spatiales (élément de données A.4.b.4.h de l'Appendice </w:t>
      </w:r>
      <w:r w:rsidRPr="00B74D3B">
        <w:rPr>
          <w:rFonts w:eastAsia="SimSun"/>
          <w:b/>
          <w:bCs/>
          <w:sz w:val="22"/>
          <w:szCs w:val="22"/>
          <w:lang w:eastAsia="ar-SA"/>
        </w:rPr>
        <w:t>4</w:t>
      </w:r>
      <w:r w:rsidRPr="00B74D3B">
        <w:rPr>
          <w:rFonts w:eastAsia="SimSun"/>
          <w:sz w:val="22"/>
          <w:szCs w:val="22"/>
          <w:lang w:eastAsia="ar-SA"/>
        </w:rPr>
        <w:t>) à l'intérieur des plans.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50AE536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5477A22" w14:textId="5343013C" w:rsidR="00E052A7" w:rsidRDefault="00E052A7">
          <w:pPr>
            <w:pStyle w:val="HeaderRegProc"/>
          </w:pPr>
          <w:r>
            <w:t>Part</w:t>
          </w:r>
          <w:r w:rsidR="00B74D3B">
            <w:t>ie</w:t>
          </w:r>
          <w:r>
            <w:t xml:space="preserve"> A</w:t>
          </w:r>
          <w:r w:rsidR="00B74D3B">
            <w:t>1</w:t>
          </w:r>
        </w:p>
      </w:tc>
      <w:tc>
        <w:tcPr>
          <w:tcW w:w="1701" w:type="dxa"/>
          <w:tcBorders>
            <w:top w:val="single" w:sz="6" w:space="0" w:color="auto"/>
            <w:left w:val="single" w:sz="6" w:space="0" w:color="auto"/>
            <w:bottom w:val="single" w:sz="6" w:space="0" w:color="auto"/>
            <w:right w:val="single" w:sz="6" w:space="0" w:color="auto"/>
          </w:tcBorders>
        </w:tcPr>
        <w:p w14:paraId="02256324" w14:textId="38AB38DE" w:rsidR="00E052A7" w:rsidRDefault="00E052A7">
          <w:pPr>
            <w:pStyle w:val="HeaderRegProc"/>
            <w:rPr>
              <w:lang w:val="fr-FR"/>
            </w:rPr>
          </w:pPr>
          <w:r>
            <w:t>R</w:t>
          </w:r>
          <w:r w:rsidR="00B74D3B">
            <w:t>É</w:t>
          </w:r>
          <w:r>
            <w:t>S</w:t>
          </w:r>
          <w:r w:rsidR="00204C1C">
            <w:fldChar w:fldCharType="begin"/>
          </w:r>
          <w:r w:rsidR="00204C1C">
            <w:instrText>styleref href2</w:instrText>
          </w:r>
          <w:r w:rsidR="00204C1C">
            <w:fldChar w:fldCharType="separate"/>
          </w:r>
          <w:r w:rsidR="00F53A5E">
            <w:rPr>
              <w:noProof/>
            </w:rPr>
            <w:t>8</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59080F" w14:textId="77777777" w:rsidR="00E052A7" w:rsidRDefault="00E052A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C1BC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971931" w14:textId="6AA79AC3" w:rsidR="00E052A7" w:rsidRDefault="00E052A7">
          <w:pPr>
            <w:pStyle w:val="HeaderRegProc"/>
            <w:rPr>
              <w:lang w:val="fr-CH"/>
            </w:rPr>
          </w:pPr>
          <w:proofErr w:type="gramStart"/>
          <w:r>
            <w:rPr>
              <w:lang w:val="fr-CH"/>
            </w:rPr>
            <w:t>r</w:t>
          </w:r>
          <w:r w:rsidR="00B74D3B">
            <w:rPr>
              <w:lang w:val="fr-CH"/>
            </w:rPr>
            <w:t>é</w:t>
          </w:r>
          <w:r>
            <w:rPr>
              <w:lang w:val="fr-CH"/>
            </w:rPr>
            <w:t>v</w:t>
          </w:r>
          <w:proofErr w:type="gramEnd"/>
          <w:r>
            <w:rPr>
              <w:lang w:val="fr-CH"/>
            </w:rPr>
            <w:t>.</w:t>
          </w:r>
          <w:r w:rsidR="00F73346">
            <w:rPr>
              <w:lang w:val="fr-CH"/>
            </w:rPr>
            <w:t xml:space="preserve"> </w:t>
          </w:r>
          <w:r w:rsidR="0091274D">
            <w:t>5</w:t>
          </w:r>
        </w:p>
      </w:tc>
    </w:tr>
  </w:tbl>
  <w:p w14:paraId="4AC17D44" w14:textId="77777777" w:rsidR="00E052A7" w:rsidRDefault="00E052A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350A0A3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9DFF46" w14:textId="6D159C96" w:rsidR="00E052A7" w:rsidRDefault="00E052A7">
          <w:pPr>
            <w:pStyle w:val="HeaderRegProc"/>
          </w:pPr>
          <w:r>
            <w:t>Part</w:t>
          </w:r>
          <w:r w:rsidR="00B74D3B">
            <w:t xml:space="preserve">ie </w:t>
          </w:r>
          <w:r>
            <w:t>A</w:t>
          </w:r>
          <w:r w:rsidR="00B74D3B">
            <w:t>1</w:t>
          </w:r>
        </w:p>
      </w:tc>
      <w:tc>
        <w:tcPr>
          <w:tcW w:w="1701" w:type="dxa"/>
          <w:tcBorders>
            <w:top w:val="single" w:sz="6" w:space="0" w:color="auto"/>
            <w:left w:val="single" w:sz="6" w:space="0" w:color="auto"/>
            <w:bottom w:val="single" w:sz="6" w:space="0" w:color="auto"/>
            <w:right w:val="single" w:sz="6" w:space="0" w:color="auto"/>
          </w:tcBorders>
        </w:tcPr>
        <w:p w14:paraId="0A56FB79" w14:textId="016E00F8" w:rsidR="00E052A7" w:rsidRDefault="00E052A7">
          <w:pPr>
            <w:pStyle w:val="HeaderRegProc"/>
            <w:rPr>
              <w:lang w:val="fr-FR"/>
            </w:rPr>
          </w:pPr>
          <w:r>
            <w:t>R</w:t>
          </w:r>
          <w:r w:rsidR="00B74D3B">
            <w:t>É</w:t>
          </w:r>
          <w:r>
            <w:t>S</w:t>
          </w:r>
          <w:r w:rsidR="00204C1C">
            <w:fldChar w:fldCharType="begin"/>
          </w:r>
          <w:r w:rsidR="00204C1C">
            <w:instrText>styleref href2</w:instrText>
          </w:r>
          <w:r w:rsidR="00204C1C">
            <w:fldChar w:fldCharType="separate"/>
          </w:r>
          <w:r w:rsidR="00F53A5E">
            <w:rPr>
              <w:noProof/>
            </w:rPr>
            <w:t>8</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F9F8AB" w14:textId="77777777" w:rsidR="00E052A7" w:rsidRDefault="00E052A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C1BC0">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C59C4D" w14:textId="550E2965" w:rsidR="00E052A7" w:rsidRDefault="00E052A7">
          <w:pPr>
            <w:pStyle w:val="HeaderRegProc"/>
            <w:rPr>
              <w:lang w:val="fr-CH"/>
            </w:rPr>
          </w:pPr>
          <w:proofErr w:type="gramStart"/>
          <w:r>
            <w:rPr>
              <w:lang w:val="fr-CH"/>
            </w:rPr>
            <w:t>r</w:t>
          </w:r>
          <w:r w:rsidR="00B74D3B">
            <w:rPr>
              <w:lang w:val="fr-CH"/>
            </w:rPr>
            <w:t>é</w:t>
          </w:r>
          <w:r>
            <w:rPr>
              <w:lang w:val="fr-CH"/>
            </w:rPr>
            <w:t>v</w:t>
          </w:r>
          <w:proofErr w:type="gramEnd"/>
          <w:r>
            <w:rPr>
              <w:lang w:val="fr-CH"/>
            </w:rPr>
            <w:t>.</w:t>
          </w:r>
          <w:r w:rsidR="00F73346">
            <w:rPr>
              <w:lang w:val="fr-CH"/>
            </w:rPr>
            <w:t xml:space="preserve"> </w:t>
          </w:r>
          <w:r w:rsidR="0091274D">
            <w:t>5</w:t>
          </w:r>
        </w:p>
      </w:tc>
    </w:tr>
  </w:tbl>
  <w:p w14:paraId="5D35D9EF"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54891"/>
    <w:rsid w:val="00107893"/>
    <w:rsid w:val="001F2CF3"/>
    <w:rsid w:val="00204C1C"/>
    <w:rsid w:val="0023244B"/>
    <w:rsid w:val="002F5713"/>
    <w:rsid w:val="002F6FCF"/>
    <w:rsid w:val="00322F1D"/>
    <w:rsid w:val="003A718D"/>
    <w:rsid w:val="003C4187"/>
    <w:rsid w:val="004763F7"/>
    <w:rsid w:val="00483705"/>
    <w:rsid w:val="00555E8E"/>
    <w:rsid w:val="005D7E79"/>
    <w:rsid w:val="00605B8C"/>
    <w:rsid w:val="0072419A"/>
    <w:rsid w:val="007A69D4"/>
    <w:rsid w:val="007D1381"/>
    <w:rsid w:val="007F06B5"/>
    <w:rsid w:val="00824378"/>
    <w:rsid w:val="00842E52"/>
    <w:rsid w:val="00854410"/>
    <w:rsid w:val="0089365D"/>
    <w:rsid w:val="0091274D"/>
    <w:rsid w:val="00916230"/>
    <w:rsid w:val="009660A1"/>
    <w:rsid w:val="00A21DD6"/>
    <w:rsid w:val="00A70933"/>
    <w:rsid w:val="00AE4A05"/>
    <w:rsid w:val="00B73C1B"/>
    <w:rsid w:val="00B74D3B"/>
    <w:rsid w:val="00C279F5"/>
    <w:rsid w:val="00CC1BC0"/>
    <w:rsid w:val="00E052A7"/>
    <w:rsid w:val="00E45E6B"/>
    <w:rsid w:val="00E70951"/>
    <w:rsid w:val="00E729C9"/>
    <w:rsid w:val="00EB555F"/>
    <w:rsid w:val="00EB7ED9"/>
    <w:rsid w:val="00ED66E9"/>
    <w:rsid w:val="00F53A5E"/>
    <w:rsid w:val="00F73346"/>
    <w:rsid w:val="00F846F1"/>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semiHidden/>
    <w:rsid w:val="00B74D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30</TotalTime>
  <Pages>3</Pages>
  <Words>744</Words>
  <Characters>4244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
  <dc:creator>Composition des Publications</dc:creator>
  <cp:keywords/>
  <dc:description/>
  <cp:lastModifiedBy>Saez Grau, Ricardo</cp:lastModifiedBy>
  <cp:revision>31</cp:revision>
  <cp:lastPrinted>2024-12-04T09:32:00Z</cp:lastPrinted>
  <dcterms:created xsi:type="dcterms:W3CDTF">2012-08-08T06:51:00Z</dcterms:created>
  <dcterms:modified xsi:type="dcterms:W3CDTF">2024-12-04T09:32:00Z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