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D96C8" w14:textId="77777777" w:rsidR="005E018E" w:rsidRPr="00CD09AC" w:rsidRDefault="005E018E" w:rsidP="005076E5">
      <w:pPr>
        <w:pStyle w:val="Heading1"/>
        <w:spacing w:before="300"/>
        <w:ind w:left="0" w:firstLine="0"/>
        <w:jc w:val="center"/>
        <w:rPr>
          <w:color w:val="000000"/>
          <w:lang w:val="fr-FR"/>
        </w:rPr>
      </w:pPr>
      <w:r w:rsidRPr="00CD09AC">
        <w:rPr>
          <w:color w:val="000000"/>
          <w:lang w:val="fr-FR"/>
        </w:rPr>
        <w:t>Règles relatives à</w:t>
      </w:r>
    </w:p>
    <w:p w14:paraId="036E4470" w14:textId="77777777" w:rsidR="005E018E" w:rsidRPr="00CD09AC" w:rsidRDefault="005E018E" w:rsidP="005E018E">
      <w:pPr>
        <w:pStyle w:val="Heading2"/>
        <w:spacing w:before="360"/>
        <w:jc w:val="center"/>
        <w:rPr>
          <w:color w:val="000000"/>
          <w:lang w:val="fr-FR"/>
        </w:rPr>
      </w:pPr>
      <w:proofErr w:type="gramStart"/>
      <w:r w:rsidRPr="00CD09AC">
        <w:rPr>
          <w:color w:val="000000"/>
          <w:lang w:val="fr-FR"/>
        </w:rPr>
        <w:t>l'APPENDICE</w:t>
      </w:r>
      <w:proofErr w:type="gramEnd"/>
      <w:r w:rsidRPr="00CD09AC">
        <w:rPr>
          <w:color w:val="000000"/>
          <w:lang w:val="fr-FR"/>
        </w:rPr>
        <w:t xml:space="preserve">  </w:t>
      </w:r>
      <w:r w:rsidRPr="00CD09AC">
        <w:rPr>
          <w:rStyle w:val="href2"/>
          <w:color w:val="000000"/>
          <w:lang w:val="fr-FR"/>
        </w:rPr>
        <w:t>30B</w:t>
      </w:r>
      <w:r w:rsidRPr="00CD09AC">
        <w:rPr>
          <w:color w:val="000000"/>
          <w:lang w:val="fr-FR"/>
        </w:rPr>
        <w:t xml:space="preserve"> du RR</w:t>
      </w:r>
    </w:p>
    <w:p w14:paraId="38441EA1" w14:textId="77777777" w:rsidR="005076E5" w:rsidRPr="00CD09AC" w:rsidRDefault="005076E5" w:rsidP="001E5E5A">
      <w:pPr>
        <w:rPr>
          <w:lang w:val="fr-FR"/>
        </w:rPr>
      </w:pPr>
    </w:p>
    <w:p w14:paraId="2857EB32" w14:textId="77777777" w:rsidR="005E018E" w:rsidRPr="00CD09AC" w:rsidRDefault="005E018E" w:rsidP="005076E5">
      <w:pPr>
        <w:pStyle w:val="Heading8"/>
        <w:rPr>
          <w:color w:val="000000"/>
          <w:lang w:val="fr-FR"/>
        </w:rPr>
      </w:pPr>
      <w:r w:rsidRPr="00CD09AC">
        <w:rPr>
          <w:color w:val="000000"/>
          <w:lang w:val="fr-FR"/>
        </w:rPr>
        <w:t>Art. 4</w:t>
      </w:r>
    </w:p>
    <w:p w14:paraId="4FE6956F" w14:textId="77777777" w:rsidR="00BD15E5" w:rsidRPr="00CD09AC" w:rsidRDefault="00BD15E5" w:rsidP="005076E5">
      <w:pPr>
        <w:pStyle w:val="Heading2"/>
        <w:jc w:val="center"/>
        <w:rPr>
          <w:color w:val="000000"/>
          <w:szCs w:val="26"/>
          <w:lang w:val="fr-FR"/>
        </w:rPr>
      </w:pPr>
      <w:r w:rsidRPr="00CD09AC">
        <w:rPr>
          <w:color w:val="000000"/>
          <w:szCs w:val="26"/>
          <w:lang w:val="fr-FR"/>
        </w:rPr>
        <w:t>Exécution des dispositions et du Plan associé</w:t>
      </w:r>
    </w:p>
    <w:p w14:paraId="5BFFACF9" w14:textId="77777777" w:rsidR="005E018E" w:rsidRPr="00CD09AC" w:rsidRDefault="005E018E" w:rsidP="005076E5">
      <w:pPr>
        <w:pStyle w:val="Heading8"/>
        <w:rPr>
          <w:color w:val="000000"/>
          <w:lang w:val="fr-FR"/>
        </w:rPr>
      </w:pPr>
      <w:r w:rsidRPr="00CD09AC">
        <w:rPr>
          <w:color w:val="000000"/>
          <w:lang w:val="fr-FR"/>
        </w:rPr>
        <w:t>4.</w:t>
      </w:r>
      <w:r w:rsidRPr="00CD09AC">
        <w:rPr>
          <w:rStyle w:val="href"/>
          <w:lang w:val="fr-FR"/>
        </w:rPr>
        <w:t>1</w:t>
      </w:r>
    </w:p>
    <w:p w14:paraId="7A9BAAA3" w14:textId="77777777" w:rsidR="00BD15E5" w:rsidRPr="00CD09AC" w:rsidRDefault="00BD15E5" w:rsidP="00BD15E5">
      <w:pPr>
        <w:pStyle w:val="Headingb"/>
        <w:spacing w:before="280"/>
        <w:rPr>
          <w:lang w:val="fr-FR"/>
        </w:rPr>
      </w:pPr>
      <w:r w:rsidRPr="00CD09AC">
        <w:rPr>
          <w:lang w:val="fr-FR"/>
        </w:rPr>
        <w:t>Attribution bidirectionnelle de certaines bandes</w:t>
      </w:r>
    </w:p>
    <w:p w14:paraId="40EE3BC8" w14:textId="77777777" w:rsidR="00BD15E5" w:rsidRPr="00CD09AC" w:rsidRDefault="00BD15E5" w:rsidP="009769D8">
      <w:pPr>
        <w:rPr>
          <w:lang w:val="fr-FR"/>
        </w:rPr>
      </w:pPr>
      <w:r w:rsidRPr="00CD09AC">
        <w:rPr>
          <w:lang w:val="fr-FR"/>
        </w:rPr>
        <w:t>1</w:t>
      </w:r>
      <w:r w:rsidRPr="00CD09AC">
        <w:rPr>
          <w:lang w:val="fr-FR"/>
        </w:rPr>
        <w:tab/>
        <w:t>Voir les commentaires concernant les Règles de procédure relatives au numéro </w:t>
      </w:r>
      <w:r w:rsidRPr="00CD09AC">
        <w:rPr>
          <w:rStyle w:val="Artref"/>
          <w:b/>
          <w:bCs/>
          <w:color w:val="000000"/>
          <w:lang w:val="fr-FR"/>
        </w:rPr>
        <w:t>5.441</w:t>
      </w:r>
      <w:r w:rsidRPr="00CD09AC">
        <w:rPr>
          <w:lang w:val="fr-FR"/>
        </w:rPr>
        <w:t>.</w:t>
      </w:r>
    </w:p>
    <w:p w14:paraId="0E783835" w14:textId="77777777" w:rsidR="005076E5" w:rsidRPr="00CD09AC" w:rsidRDefault="005076E5" w:rsidP="009720AC">
      <w:pPr>
        <w:spacing w:before="0"/>
        <w:rPr>
          <w:sz w:val="12"/>
          <w:szCs w:val="12"/>
          <w:lang w:val="fr-FR"/>
        </w:rPr>
      </w:pPr>
    </w:p>
    <w:p w14:paraId="351106D9" w14:textId="77777777" w:rsidR="005E018E" w:rsidRPr="00CD09AC" w:rsidRDefault="005E018E" w:rsidP="005076E5">
      <w:pPr>
        <w:pStyle w:val="Heading8"/>
        <w:rPr>
          <w:color w:val="000000"/>
          <w:lang w:val="fr-FR"/>
        </w:rPr>
      </w:pPr>
      <w:r w:rsidRPr="00CD09AC">
        <w:rPr>
          <w:color w:val="000000"/>
          <w:lang w:val="fr-FR"/>
        </w:rPr>
        <w:t>Art. 6</w:t>
      </w:r>
    </w:p>
    <w:p w14:paraId="69407225" w14:textId="77777777" w:rsidR="00BD15E5" w:rsidRPr="00CD09AC" w:rsidRDefault="00BD15E5" w:rsidP="005076E5">
      <w:pPr>
        <w:pStyle w:val="Heading2"/>
        <w:spacing w:before="360"/>
        <w:ind w:left="0" w:firstLine="0"/>
        <w:jc w:val="center"/>
        <w:rPr>
          <w:lang w:val="fr-FR"/>
        </w:rPr>
      </w:pPr>
      <w:r w:rsidRPr="00CD09AC">
        <w:rPr>
          <w:lang w:val="fr-FR"/>
        </w:rPr>
        <w:t>Procédures de conversion d'un allotissement en assignation pour</w:t>
      </w:r>
      <w:r w:rsidR="005076E5" w:rsidRPr="00CD09AC">
        <w:rPr>
          <w:lang w:val="fr-FR"/>
        </w:rPr>
        <w:t xml:space="preserve"> </w:t>
      </w:r>
      <w:r w:rsidRPr="00CD09AC">
        <w:rPr>
          <w:lang w:val="fr-FR"/>
        </w:rPr>
        <w:t>la mise</w:t>
      </w:r>
      <w:r w:rsidR="005076E5" w:rsidRPr="00CD09AC">
        <w:rPr>
          <w:lang w:val="fr-FR"/>
        </w:rPr>
        <w:br/>
      </w:r>
      <w:r w:rsidRPr="00CD09AC">
        <w:rPr>
          <w:lang w:val="fr-FR"/>
        </w:rPr>
        <w:t>en service d'un nouveau système ou pour</w:t>
      </w:r>
      <w:r w:rsidR="005076E5" w:rsidRPr="00CD09AC">
        <w:rPr>
          <w:lang w:val="fr-FR"/>
        </w:rPr>
        <w:t xml:space="preserve"> </w:t>
      </w:r>
      <w:r w:rsidRPr="00CD09AC">
        <w:rPr>
          <w:lang w:val="fr-FR"/>
        </w:rPr>
        <w:t>la modification</w:t>
      </w:r>
      <w:r w:rsidR="005076E5" w:rsidRPr="00CD09AC">
        <w:rPr>
          <w:lang w:val="fr-FR"/>
        </w:rPr>
        <w:br/>
      </w:r>
      <w:r w:rsidRPr="00CD09AC">
        <w:rPr>
          <w:lang w:val="fr-FR"/>
        </w:rPr>
        <w:t>d'une assignation</w:t>
      </w:r>
      <w:r w:rsidR="005076E5" w:rsidRPr="00CD09AC">
        <w:rPr>
          <w:lang w:val="fr-FR"/>
        </w:rPr>
        <w:t xml:space="preserve"> </w:t>
      </w:r>
      <w:r w:rsidRPr="00CD09AC">
        <w:rPr>
          <w:lang w:val="fr-FR"/>
        </w:rPr>
        <w:t>dans la Liste</w:t>
      </w:r>
    </w:p>
    <w:p w14:paraId="6867E1EF" w14:textId="77777777" w:rsidR="00B40E92" w:rsidRPr="00CD09AC" w:rsidRDefault="00B40E92" w:rsidP="00B40E92">
      <w:pPr>
        <w:pStyle w:val="Heading8"/>
        <w:rPr>
          <w:color w:val="000000"/>
          <w:lang w:val="fr-FR"/>
        </w:rPr>
      </w:pPr>
      <w:r w:rsidRPr="00CD09AC">
        <w:rPr>
          <w:color w:val="000000"/>
          <w:lang w:val="fr-FR"/>
        </w:rPr>
        <w:t>6.3</w:t>
      </w:r>
      <w:r w:rsidR="005076E5" w:rsidRPr="00CD09AC">
        <w:rPr>
          <w:color w:val="000000"/>
          <w:lang w:val="fr-FR"/>
        </w:rPr>
        <w:t xml:space="preserve"> </w:t>
      </w:r>
      <w:r w:rsidRPr="00CD09AC">
        <w:rPr>
          <w:i/>
          <w:iCs/>
          <w:color w:val="000000"/>
          <w:lang w:val="fr-FR"/>
        </w:rPr>
        <w:t>a)</w:t>
      </w:r>
    </w:p>
    <w:p w14:paraId="74538EA0" w14:textId="77777777" w:rsidR="00B40E92" w:rsidRPr="00CD09AC" w:rsidRDefault="00B40E92" w:rsidP="009769D8">
      <w:pPr>
        <w:rPr>
          <w:lang w:val="fr-FR"/>
        </w:rPr>
      </w:pPr>
      <w:r w:rsidRPr="00CD09AC">
        <w:rPr>
          <w:lang w:val="fr-FR"/>
        </w:rPr>
        <w:t>1</w:t>
      </w:r>
      <w:r w:rsidRPr="00CD09AC">
        <w:rPr>
          <w:lang w:val="fr-FR"/>
        </w:rPr>
        <w:tab/>
        <w:t>En vertu des notes de bas de page relatives aux § 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les</w:t>
      </w:r>
      <w:proofErr w:type="gramStart"/>
      <w:r w:rsidRPr="00CD09AC">
        <w:rPr>
          <w:lang w:val="fr-FR"/>
        </w:rPr>
        <w:t xml:space="preserve"> </w:t>
      </w:r>
      <w:r w:rsidRPr="00B36714">
        <w:rPr>
          <w:i/>
          <w:iCs/>
          <w:lang w:val="fr-FR"/>
        </w:rPr>
        <w:t>«autres</w:t>
      </w:r>
      <w:proofErr w:type="gramEnd"/>
      <w:r w:rsidRPr="00B36714">
        <w:rPr>
          <w:i/>
          <w:iCs/>
          <w:lang w:val="fr-FR"/>
        </w:rPr>
        <w:t xml:space="preserve"> dispositions»</w:t>
      </w:r>
      <w:r w:rsidRPr="00CD09AC">
        <w:rPr>
          <w:lang w:val="fr-FR"/>
        </w:rPr>
        <w:t xml:space="preserve"> visées dans ces dispositions doivent être définies et incorporées dans les Règles de procédure.</w:t>
      </w:r>
    </w:p>
    <w:p w14:paraId="4493732E" w14:textId="77777777" w:rsidR="00B40E92" w:rsidRPr="00CD09AC" w:rsidRDefault="00B40E92" w:rsidP="005076E5">
      <w:pPr>
        <w:rPr>
          <w:lang w:val="fr-FR"/>
        </w:rPr>
      </w:pPr>
      <w:r w:rsidRPr="00CD09AC">
        <w:rPr>
          <w:lang w:val="fr-FR"/>
        </w:rPr>
        <w:t>Les examens réglementaires relatifs aux §</w:t>
      </w:r>
      <w:r w:rsidR="005076E5" w:rsidRPr="00CD09AC">
        <w:rPr>
          <w:lang w:val="fr-FR"/>
        </w:rPr>
        <w:t> </w:t>
      </w:r>
      <w:r w:rsidRPr="00CD09AC">
        <w:rPr>
          <w:lang w:val="fr-FR"/>
        </w:rPr>
        <w:t>6.3 </w:t>
      </w:r>
      <w:r w:rsidRPr="00CD09AC">
        <w:rPr>
          <w:i/>
          <w:iCs/>
          <w:lang w:val="fr-FR"/>
        </w:rPr>
        <w:t>a)</w:t>
      </w:r>
      <w:r w:rsidRPr="00CD09AC">
        <w:rPr>
          <w:lang w:val="fr-FR"/>
        </w:rPr>
        <w:t>, 6.19 </w:t>
      </w:r>
      <w:r w:rsidRPr="00CD09AC">
        <w:rPr>
          <w:i/>
          <w:iCs/>
          <w:lang w:val="fr-FR"/>
        </w:rPr>
        <w:t>b)</w:t>
      </w:r>
      <w:r w:rsidRPr="00CD09AC">
        <w:rPr>
          <w:lang w:val="fr-FR"/>
        </w:rPr>
        <w:t>, 7.5 </w:t>
      </w:r>
      <w:r w:rsidRPr="00CD09AC">
        <w:rPr>
          <w:i/>
          <w:iCs/>
          <w:lang w:val="fr-FR"/>
        </w:rPr>
        <w:t>a)</w:t>
      </w:r>
      <w:r w:rsidRPr="00CD09AC">
        <w:rPr>
          <w:lang w:val="fr-FR"/>
        </w:rPr>
        <w:t xml:space="preserve"> et 8.8 comprennent:</w:t>
      </w:r>
    </w:p>
    <w:p w14:paraId="67B68AA5" w14:textId="77777777" w:rsidR="00B40E92" w:rsidRPr="00CD09AC" w:rsidRDefault="00B40E92" w:rsidP="00B40E92">
      <w:pPr>
        <w:pStyle w:val="enumlev1"/>
        <w:rPr>
          <w:lang w:val="fr-FR"/>
        </w:rPr>
      </w:pPr>
      <w:r w:rsidRPr="00CD09AC">
        <w:rPr>
          <w:lang w:val="fr-FR"/>
        </w:rPr>
        <w:t>–</w:t>
      </w:r>
      <w:r w:rsidRPr="00CD09AC">
        <w:rPr>
          <w:lang w:val="fr-FR"/>
        </w:rPr>
        <w:tab/>
        <w:t>la conformité au Tableau d'attribution des bandes de fréquences, ainsi que ses renvois et toute Résolution ou Recommandation citée dans les renvois;</w:t>
      </w:r>
    </w:p>
    <w:p w14:paraId="60F1BB19" w14:textId="77777777" w:rsidR="00B40E92" w:rsidRPr="00CD09AC" w:rsidRDefault="00B40E92" w:rsidP="00B40E92">
      <w:pPr>
        <w:pStyle w:val="enumlev1"/>
        <w:rPr>
          <w:lang w:val="fr-FR"/>
        </w:rPr>
      </w:pPr>
      <w:r w:rsidRPr="00CD09AC">
        <w:rPr>
          <w:lang w:val="fr-FR"/>
        </w:rPr>
        <w:t>–</w:t>
      </w:r>
      <w:r w:rsidRPr="00CD09AC">
        <w:rPr>
          <w:lang w:val="fr-FR"/>
        </w:rPr>
        <w:tab/>
        <w:t xml:space="preserve">toutes les </w:t>
      </w:r>
      <w:r w:rsidRPr="00B36714">
        <w:rPr>
          <w:i/>
          <w:iCs/>
          <w:lang w:val="fr-FR"/>
        </w:rPr>
        <w:t>«autres»</w:t>
      </w:r>
      <w:r w:rsidRPr="00CD09AC">
        <w:rPr>
          <w:lang w:val="fr-FR"/>
        </w:rPr>
        <w:t xml:space="preserve"> dispositions à caractère obligatoire figurant dans les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dans les Articles 3 et 4 de l'Appendice </w:t>
      </w:r>
      <w:r w:rsidRPr="00CD09AC">
        <w:rPr>
          <w:b/>
          <w:bCs/>
          <w:lang w:val="fr-FR"/>
        </w:rPr>
        <w:t>30B</w:t>
      </w:r>
      <w:r w:rsidRPr="00CD09AC">
        <w:rPr>
          <w:lang w:val="fr-FR"/>
        </w:rPr>
        <w:t xml:space="preserve"> du Règlement des radiocommunications et/ou dans les Résolutions applicables au service dans la bande de fréquences dans laquelle une station de ce service est exploitée.</w:t>
      </w:r>
    </w:p>
    <w:p w14:paraId="34A3A226" w14:textId="77777777" w:rsidR="001D098B" w:rsidRPr="00CD09AC" w:rsidRDefault="001D098B">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04904D25" w14:textId="77777777" w:rsidR="00B40E92" w:rsidRPr="00CD09AC" w:rsidRDefault="00B40E92" w:rsidP="007E47B5">
      <w:pPr>
        <w:spacing w:before="120"/>
        <w:rPr>
          <w:lang w:val="fr-FR"/>
        </w:rPr>
      </w:pPr>
      <w:r w:rsidRPr="00CD09AC">
        <w:rPr>
          <w:lang w:val="fr-FR"/>
        </w:rPr>
        <w:lastRenderedPageBreak/>
        <w:t>2</w:t>
      </w:r>
      <w:r w:rsidRPr="00CD09AC">
        <w:rPr>
          <w:lang w:val="fr-FR"/>
        </w:rPr>
        <w:tab/>
        <w:t xml:space="preserve">On trouvera ci-après la liste des </w:t>
      </w:r>
      <w:r w:rsidRPr="00B36714">
        <w:rPr>
          <w:i/>
          <w:iCs/>
          <w:lang w:val="fr-FR"/>
        </w:rPr>
        <w:t>«autres dispositions»</w:t>
      </w:r>
      <w:r w:rsidRPr="00CD09AC">
        <w:rPr>
          <w:lang w:val="fr-FR"/>
        </w:rPr>
        <w:t xml:space="preserve"> visées dans les Articles </w:t>
      </w:r>
      <w:r w:rsidRPr="00CD09AC">
        <w:rPr>
          <w:b/>
          <w:bCs/>
          <w:lang w:val="fr-FR"/>
        </w:rPr>
        <w:t>21</w:t>
      </w:r>
      <w:r w:rsidRPr="00CD09AC">
        <w:rPr>
          <w:lang w:val="fr-FR"/>
        </w:rPr>
        <w:t xml:space="preserve"> et</w:t>
      </w:r>
      <w:r w:rsidR="005076E5" w:rsidRPr="00CD09AC">
        <w:rPr>
          <w:lang w:val="fr-FR"/>
        </w:rPr>
        <w:t> </w:t>
      </w:r>
      <w:r w:rsidRPr="00CD09AC">
        <w:rPr>
          <w:b/>
          <w:bCs/>
          <w:lang w:val="fr-FR"/>
        </w:rPr>
        <w:t>22</w:t>
      </w:r>
      <w:r w:rsidRPr="00CD09AC">
        <w:rPr>
          <w:lang w:val="fr-FR"/>
        </w:rPr>
        <w:t>, relativement auxquelles les fiches de notification sont examinées:</w:t>
      </w:r>
    </w:p>
    <w:p w14:paraId="2EEC46E7" w14:textId="77777777" w:rsidR="00B40E92" w:rsidRPr="00CD09AC" w:rsidRDefault="00B40E92" w:rsidP="007E47B5">
      <w:pPr>
        <w:spacing w:before="120"/>
        <w:rPr>
          <w:lang w:val="fr-FR"/>
        </w:rPr>
      </w:pPr>
      <w:r w:rsidRPr="00CD09AC">
        <w:rPr>
          <w:lang w:val="fr-FR"/>
        </w:rPr>
        <w:t>2.1</w:t>
      </w:r>
      <w:r w:rsidRPr="00CD09AC">
        <w:rPr>
          <w:lang w:val="fr-FR"/>
        </w:rPr>
        <w:tab/>
        <w:t xml:space="preserve">Conformité aux limites de puissance applicables aux stations terriennes, telles qu'elles sont prescrites dans les dispositions des numéros </w:t>
      </w:r>
      <w:r w:rsidRPr="00CD09AC">
        <w:rPr>
          <w:b/>
          <w:bCs/>
          <w:lang w:val="fr-FR"/>
        </w:rPr>
        <w:t>21.8</w:t>
      </w:r>
      <w:r w:rsidRPr="00CD09AC">
        <w:rPr>
          <w:lang w:val="fr-FR"/>
        </w:rPr>
        <w:t xml:space="preserve"> et </w:t>
      </w:r>
      <w:r w:rsidRPr="00CD09AC">
        <w:rPr>
          <w:b/>
          <w:bCs/>
          <w:lang w:val="fr-FR"/>
        </w:rPr>
        <w:t>21.12</w:t>
      </w:r>
      <w:r w:rsidRPr="00CD09AC">
        <w:rPr>
          <w:lang w:val="fr-FR"/>
        </w:rPr>
        <w:t>, compte tenu des dispositions des numéros</w:t>
      </w:r>
      <w:r w:rsidR="005076E5" w:rsidRPr="00CD09AC">
        <w:rPr>
          <w:lang w:val="fr-FR"/>
        </w:rPr>
        <w:t xml:space="preserve"> </w:t>
      </w:r>
      <w:r w:rsidRPr="00CD09AC">
        <w:rPr>
          <w:b/>
          <w:bCs/>
          <w:lang w:val="fr-FR"/>
        </w:rPr>
        <w:t>21.9</w:t>
      </w:r>
      <w:r w:rsidRPr="00CD09AC">
        <w:rPr>
          <w:lang w:val="fr-FR"/>
        </w:rPr>
        <w:t xml:space="preserve"> et </w:t>
      </w:r>
      <w:r w:rsidRPr="00CD09AC">
        <w:rPr>
          <w:b/>
          <w:bCs/>
          <w:lang w:val="fr-FR"/>
        </w:rPr>
        <w:t>21.11</w:t>
      </w:r>
      <w:r w:rsidR="005076E5" w:rsidRPr="00CD09AC">
        <w:rPr>
          <w:rFonts w:ascii="Tms Rmn" w:hAnsi="Tms Rmn"/>
          <w:sz w:val="12"/>
          <w:lang w:val="fr-FR"/>
        </w:rPr>
        <w:t> </w:t>
      </w:r>
      <w:r w:rsidR="005076E5" w:rsidRPr="00CD09AC">
        <w:rPr>
          <w:rStyle w:val="FootnoteReference"/>
          <w:sz w:val="20"/>
          <w:lang w:val="fr-FR"/>
        </w:rPr>
        <w:footnoteReference w:customMarkFollows="1" w:id="1"/>
        <w:t>1</w:t>
      </w:r>
      <w:r w:rsidRPr="00CD09AC">
        <w:rPr>
          <w:lang w:val="fr-FR"/>
        </w:rPr>
        <w:t xml:space="preserve">, et dans les dispositions des numéros </w:t>
      </w:r>
      <w:r w:rsidRPr="00CD09AC">
        <w:rPr>
          <w:b/>
          <w:bCs/>
          <w:lang w:val="fr-FR"/>
        </w:rPr>
        <w:t>22.26</w:t>
      </w:r>
      <w:r w:rsidRPr="00CD09AC">
        <w:rPr>
          <w:lang w:val="fr-FR"/>
        </w:rPr>
        <w:t xml:space="preserve"> à </w:t>
      </w:r>
      <w:r w:rsidRPr="00CD09AC">
        <w:rPr>
          <w:b/>
          <w:bCs/>
          <w:lang w:val="fr-FR"/>
        </w:rPr>
        <w:t>22.29</w:t>
      </w:r>
      <w:r w:rsidRPr="00CD09AC">
        <w:rPr>
          <w:lang w:val="fr-FR"/>
        </w:rPr>
        <w:t xml:space="preserve">, dans les conditions fixées dans les dispositions des numéros </w:t>
      </w:r>
      <w:r w:rsidRPr="00CD09AC">
        <w:rPr>
          <w:b/>
          <w:bCs/>
          <w:lang w:val="fr-FR"/>
        </w:rPr>
        <w:t>22.30</w:t>
      </w:r>
      <w:r w:rsidRPr="00CD09AC">
        <w:rPr>
          <w:lang w:val="fr-FR"/>
        </w:rPr>
        <w:t xml:space="preserve">, </w:t>
      </w:r>
      <w:r w:rsidRPr="00CD09AC">
        <w:rPr>
          <w:b/>
          <w:bCs/>
          <w:lang w:val="fr-FR"/>
        </w:rPr>
        <w:t>22.31</w:t>
      </w:r>
      <w:r w:rsidRPr="00CD09AC">
        <w:rPr>
          <w:lang w:val="fr-FR"/>
        </w:rPr>
        <w:t xml:space="preserve"> et </w:t>
      </w:r>
      <w:r w:rsidRPr="00CD09AC">
        <w:rPr>
          <w:b/>
          <w:bCs/>
          <w:lang w:val="fr-FR"/>
        </w:rPr>
        <w:t>22.37</w:t>
      </w:r>
      <w:r w:rsidRPr="00CD09AC">
        <w:rPr>
          <w:lang w:val="fr-FR"/>
        </w:rPr>
        <w:t>, dans le cas où les stations terriennes sont assujetties à ces limitations de puissance.</w:t>
      </w:r>
    </w:p>
    <w:p w14:paraId="3968EA2E" w14:textId="77777777" w:rsidR="00B40E92" w:rsidRPr="00CD09AC" w:rsidRDefault="00B40E92" w:rsidP="007E47B5">
      <w:pPr>
        <w:spacing w:before="120"/>
        <w:rPr>
          <w:lang w:val="fr-FR"/>
        </w:rPr>
      </w:pPr>
      <w:r w:rsidRPr="00CD09AC">
        <w:rPr>
          <w:lang w:val="fr-FR"/>
        </w:rPr>
        <w:t>2.2</w:t>
      </w:r>
      <w:r w:rsidRPr="00CD09AC">
        <w:rPr>
          <w:lang w:val="fr-FR"/>
        </w:rPr>
        <w:tab/>
        <w:t>Conformité à l'angle minimal d'élévation des stations terriennes, comme indiqué au numéro </w:t>
      </w:r>
      <w:r w:rsidRPr="00CD09AC">
        <w:rPr>
          <w:b/>
          <w:bCs/>
          <w:lang w:val="fr-FR"/>
        </w:rPr>
        <w:t>21.14</w:t>
      </w:r>
      <w:r w:rsidR="005076E5" w:rsidRPr="00CD09AC">
        <w:rPr>
          <w:rFonts w:ascii="Tms Rmn" w:hAnsi="Tms Rmn"/>
          <w:sz w:val="12"/>
          <w:lang w:val="fr-FR"/>
        </w:rPr>
        <w:t> </w:t>
      </w:r>
      <w:r w:rsidR="005076E5" w:rsidRPr="00CD09AC">
        <w:rPr>
          <w:rStyle w:val="FootnoteReference"/>
          <w:sz w:val="20"/>
          <w:lang w:val="fr-FR"/>
        </w:rPr>
        <w:footnoteReference w:customMarkFollows="1" w:id="2"/>
        <w:t>2</w:t>
      </w:r>
      <w:r w:rsidRPr="00CD09AC">
        <w:rPr>
          <w:lang w:val="fr-FR"/>
        </w:rPr>
        <w:t>.</w:t>
      </w:r>
    </w:p>
    <w:p w14:paraId="08ECAD86" w14:textId="77777777" w:rsidR="00201618" w:rsidRPr="00CD09AC" w:rsidRDefault="00B40E92" w:rsidP="0041093A">
      <w:pPr>
        <w:spacing w:before="120"/>
        <w:rPr>
          <w:lang w:val="fr-FR"/>
        </w:rPr>
      </w:pPr>
      <w:r w:rsidRPr="00CD09AC">
        <w:rPr>
          <w:lang w:val="fr-FR"/>
        </w:rPr>
        <w:t>2.3</w:t>
      </w:r>
      <w:r w:rsidRPr="00CD09AC">
        <w:rPr>
          <w:lang w:val="fr-FR"/>
        </w:rPr>
        <w:tab/>
      </w:r>
      <w:r w:rsidR="00201618" w:rsidRPr="00CD09AC">
        <w:rPr>
          <w:lang w:val="fr-FR"/>
        </w:rPr>
        <w:t xml:space="preserve">Conformité aux limites de puissance surfacique produite à la surface de la Terre par les émissions d'une station spatiale, comme indiqué dans le Tableau </w:t>
      </w:r>
      <w:r w:rsidR="00201618" w:rsidRPr="00CD09AC">
        <w:rPr>
          <w:b/>
          <w:bCs/>
          <w:lang w:val="fr-FR"/>
        </w:rPr>
        <w:t>21-4</w:t>
      </w:r>
      <w:r w:rsidR="00201618" w:rsidRPr="00CD09AC">
        <w:rPr>
          <w:lang w:val="fr-FR"/>
        </w:rPr>
        <w:t xml:space="preserve"> (numéro </w:t>
      </w:r>
      <w:r w:rsidR="00201618" w:rsidRPr="00CD09AC">
        <w:rPr>
          <w:b/>
          <w:bCs/>
          <w:lang w:val="fr-FR"/>
        </w:rPr>
        <w:t>21.16</w:t>
      </w:r>
      <w:r w:rsidR="00201618" w:rsidRPr="00CD09AC">
        <w:rPr>
          <w:lang w:val="fr-FR"/>
        </w:rPr>
        <w:t>), compte tenu, selon le cas, du numéro </w:t>
      </w:r>
      <w:r w:rsidR="00201618" w:rsidRPr="00CD09AC">
        <w:rPr>
          <w:b/>
          <w:bCs/>
          <w:lang w:val="fr-FR"/>
        </w:rPr>
        <w:t>21.17</w:t>
      </w:r>
      <w:r w:rsidR="00201618" w:rsidRPr="00CD09AC">
        <w:rPr>
          <w:lang w:val="fr-FR"/>
        </w:rPr>
        <w:t xml:space="preserve">. </w:t>
      </w:r>
      <w:r w:rsidR="00201618" w:rsidRPr="00CD09AC">
        <w:rPr>
          <w:lang w:val="fr-FR" w:eastAsia="zh-CN"/>
        </w:rPr>
        <w:t xml:space="preserve">Toutefois, les Règles de procédure relatives au numéro </w:t>
      </w:r>
      <w:r w:rsidR="00201618" w:rsidRPr="00CD09AC">
        <w:rPr>
          <w:b/>
          <w:bCs/>
          <w:lang w:val="fr-FR" w:eastAsia="zh-CN"/>
        </w:rPr>
        <w:t>21.16</w:t>
      </w:r>
      <w:r w:rsidR="00201618" w:rsidRPr="00CD09AC">
        <w:rPr>
          <w:lang w:val="fr-FR" w:eastAsia="zh-CN"/>
        </w:rPr>
        <w:t xml:space="preserve"> concernant l'application des limites de puissance surfacique aux faisceaux orientables ne s'appliquent pas en pareil cas</w:t>
      </w:r>
      <w:r w:rsidR="003F13B1" w:rsidRPr="00CD09AC">
        <w:rPr>
          <w:lang w:val="fr-FR" w:eastAsia="zh-CN"/>
        </w:rPr>
        <w:t>.</w:t>
      </w:r>
    </w:p>
    <w:p w14:paraId="7AC993BD" w14:textId="77777777" w:rsidR="00B40E92" w:rsidRPr="00CD09AC" w:rsidRDefault="00B40E92" w:rsidP="007E47B5">
      <w:pPr>
        <w:spacing w:before="120"/>
        <w:rPr>
          <w:lang w:val="fr-FR"/>
        </w:rPr>
      </w:pPr>
      <w:r w:rsidRPr="00CD09AC">
        <w:rPr>
          <w:lang w:val="fr-FR"/>
        </w:rPr>
        <w:t>2.4</w:t>
      </w:r>
      <w:r w:rsidRPr="00CD09AC">
        <w:rPr>
          <w:lang w:val="fr-FR"/>
        </w:rPr>
        <w:tab/>
        <w:t>Conformité à la limite prescrite dans les dispositions des numéros</w:t>
      </w:r>
      <w:r w:rsidR="005076E5" w:rsidRPr="00CD09AC">
        <w:rPr>
          <w:lang w:val="fr-FR"/>
        </w:rPr>
        <w:t> </w:t>
      </w:r>
      <w:r w:rsidRPr="00CD09AC">
        <w:rPr>
          <w:b/>
          <w:bCs/>
          <w:lang w:val="fr-FR"/>
        </w:rPr>
        <w:t>22.8</w:t>
      </w:r>
      <w:r w:rsidRPr="00CD09AC">
        <w:rPr>
          <w:lang w:val="fr-FR"/>
        </w:rPr>
        <w:t xml:space="preserve"> et </w:t>
      </w:r>
      <w:r w:rsidRPr="00CD09AC">
        <w:rPr>
          <w:b/>
          <w:bCs/>
          <w:lang w:val="fr-FR"/>
        </w:rPr>
        <w:t>22.19</w:t>
      </w:r>
      <w:r w:rsidRPr="00CD09AC">
        <w:rPr>
          <w:lang w:val="fr-FR"/>
        </w:rPr>
        <w:t>.</w:t>
      </w:r>
    </w:p>
    <w:p w14:paraId="2235C45B" w14:textId="77777777" w:rsidR="00B40E92" w:rsidRPr="00CD09AC" w:rsidRDefault="00B40E92" w:rsidP="007E47B5">
      <w:pPr>
        <w:spacing w:before="120"/>
        <w:rPr>
          <w:lang w:val="fr-FR"/>
        </w:rPr>
      </w:pPr>
      <w:r w:rsidRPr="00CD09AC">
        <w:rPr>
          <w:lang w:val="fr-FR"/>
        </w:rPr>
        <w:t>2.5</w:t>
      </w:r>
      <w:r w:rsidRPr="00CD09AC">
        <w:rPr>
          <w:lang w:val="fr-FR"/>
        </w:rPr>
        <w:tab/>
        <w:t xml:space="preserve">Les autres dispositions des Articles </w:t>
      </w:r>
      <w:r w:rsidRPr="00CD09AC">
        <w:rPr>
          <w:b/>
          <w:bCs/>
          <w:lang w:val="fr-FR"/>
        </w:rPr>
        <w:t>21</w:t>
      </w:r>
      <w:r w:rsidRPr="00CD09AC">
        <w:rPr>
          <w:lang w:val="fr-FR"/>
        </w:rPr>
        <w:t xml:space="preserve"> et </w:t>
      </w:r>
      <w:r w:rsidRPr="00CD09AC">
        <w:rPr>
          <w:b/>
          <w:bCs/>
          <w:lang w:val="fr-FR"/>
        </w:rPr>
        <w:t>22</w:t>
      </w:r>
      <w:r w:rsidRPr="00CD09AC">
        <w:rPr>
          <w:lang w:val="fr-FR"/>
        </w:rPr>
        <w:t xml:space="preserve"> ne seront pas prises en compte dans l'examen réglementaire effectué au titre des §</w:t>
      </w:r>
      <w:r w:rsidR="005076E5" w:rsidRPr="00CD09AC">
        <w:rPr>
          <w:lang w:val="fr-FR"/>
        </w:rPr>
        <w:t> </w:t>
      </w:r>
      <w:r w:rsidRPr="00CD09AC">
        <w:rPr>
          <w:lang w:val="fr-FR"/>
        </w:rPr>
        <w:t>6.3</w:t>
      </w:r>
      <w:r w:rsidR="009769D8" w:rsidRPr="00CD09AC">
        <w:rPr>
          <w:lang w:val="fr-FR"/>
        </w:rPr>
        <w:t xml:space="preserve"> </w:t>
      </w:r>
      <w:r w:rsidRPr="00CD09AC">
        <w:rPr>
          <w:i/>
          <w:iCs/>
          <w:lang w:val="fr-FR"/>
        </w:rPr>
        <w:t>a)</w:t>
      </w:r>
      <w:r w:rsidRPr="00CD09AC">
        <w:rPr>
          <w:lang w:val="fr-FR"/>
        </w:rPr>
        <w:t>, 6.19</w:t>
      </w:r>
      <w:r w:rsidR="009769D8" w:rsidRPr="00CD09AC">
        <w:rPr>
          <w:lang w:val="fr-FR"/>
        </w:rPr>
        <w:t xml:space="preserve"> </w:t>
      </w:r>
      <w:r w:rsidRPr="00CD09AC">
        <w:rPr>
          <w:i/>
          <w:iCs/>
          <w:lang w:val="fr-FR"/>
        </w:rPr>
        <w:t>b)</w:t>
      </w:r>
      <w:r w:rsidRPr="00CD09AC">
        <w:rPr>
          <w:lang w:val="fr-FR"/>
        </w:rPr>
        <w:t>, 7.5</w:t>
      </w:r>
      <w:r w:rsidR="009769D8" w:rsidRPr="00CD09AC">
        <w:rPr>
          <w:lang w:val="fr-FR"/>
        </w:rPr>
        <w:t xml:space="preserve"> </w:t>
      </w:r>
      <w:r w:rsidRPr="00CD09AC">
        <w:rPr>
          <w:i/>
          <w:iCs/>
          <w:lang w:val="fr-FR"/>
        </w:rPr>
        <w:t>a)</w:t>
      </w:r>
      <w:r w:rsidRPr="00CD09AC">
        <w:rPr>
          <w:lang w:val="fr-FR"/>
        </w:rPr>
        <w:t xml:space="preserve"> et 8.8 et le Comité considère que ces dispositions doivent être appliquées entre les administrations, selon qu'il conviendra.</w:t>
      </w:r>
    </w:p>
    <w:p w14:paraId="03BA92EE" w14:textId="1D89AB37" w:rsidR="00B40E92" w:rsidRPr="00CD09AC" w:rsidRDefault="00B40E92" w:rsidP="00B40E92">
      <w:pPr>
        <w:pStyle w:val="Heading8"/>
        <w:rPr>
          <w:bCs/>
          <w:color w:val="000000"/>
          <w:sz w:val="18"/>
          <w:szCs w:val="18"/>
          <w:lang w:val="fr-FR"/>
        </w:rPr>
      </w:pPr>
      <w:r w:rsidRPr="00CD09AC">
        <w:rPr>
          <w:color w:val="000000"/>
          <w:lang w:val="fr-FR"/>
        </w:rPr>
        <w:t>6.5</w:t>
      </w:r>
    </w:p>
    <w:p w14:paraId="12B6EACF" w14:textId="0B13D31D" w:rsidR="00CD09AC" w:rsidRPr="00CD09AC" w:rsidRDefault="00CD09AC" w:rsidP="00CD09AC">
      <w:pPr>
        <w:rPr>
          <w:lang w:val="fr-FR"/>
        </w:rPr>
      </w:pPr>
      <w:r w:rsidRPr="00CD09AC">
        <w:rPr>
          <w:lang w:val="fr-FR"/>
        </w:rPr>
        <w:t>1</w:t>
      </w:r>
      <w:r w:rsidRPr="00CD09AC">
        <w:rPr>
          <w:lang w:val="fr-FR"/>
        </w:rPr>
        <w:tab/>
        <w:t>(Non utilisé)</w:t>
      </w:r>
    </w:p>
    <w:p w14:paraId="4397CB32" w14:textId="0383503A" w:rsidR="00B40E92" w:rsidRPr="00CD09AC" w:rsidRDefault="00CD09AC" w:rsidP="007E47B5">
      <w:pPr>
        <w:spacing w:before="120"/>
        <w:rPr>
          <w:lang w:val="fr-FR"/>
        </w:rPr>
      </w:pPr>
      <w:r w:rsidRPr="00CD09AC">
        <w:rPr>
          <w:lang w:val="fr-FR"/>
        </w:rPr>
        <w:t>2</w:t>
      </w:r>
      <w:r w:rsidRPr="00CD09AC">
        <w:rPr>
          <w:lang w:val="fr-FR"/>
        </w:rPr>
        <w:tab/>
        <w:t>Le Comité, après examen de la mise en œuvre des procédures réglementaires de l'Appendice </w:t>
      </w:r>
      <w:r w:rsidRPr="00CD09AC">
        <w:rPr>
          <w:b/>
          <w:bCs/>
          <w:lang w:val="fr-FR"/>
        </w:rPr>
        <w:t>30B</w:t>
      </w:r>
      <w:r w:rsidRPr="00CD09AC">
        <w:rPr>
          <w:lang w:val="fr-FR"/>
        </w:rPr>
        <w:t xml:space="preserve">, a noté qu'aucune disposition n'interdisait la mise en œuvre de transmissions non simultanées dans le contexte de cet Appendice. Le Comité a en outre noté que cette méthode était utilisée dans le contexte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avec l'utilisation du concept de groupe tel qu'il est défini dans les Articles 9 et 9A de l'Appendice </w:t>
      </w:r>
      <w:r w:rsidRPr="00CD09AC">
        <w:rPr>
          <w:b/>
          <w:bCs/>
          <w:lang w:val="fr-FR"/>
        </w:rPr>
        <w:t>30A</w:t>
      </w:r>
      <w:r w:rsidRPr="00CD09AC">
        <w:rPr>
          <w:lang w:val="fr-FR"/>
        </w:rPr>
        <w:t xml:space="preserve">, les Articles 10 et 11 de l'Appendice </w:t>
      </w:r>
      <w:r w:rsidRPr="00CD09AC">
        <w:rPr>
          <w:b/>
          <w:bCs/>
          <w:lang w:val="fr-FR"/>
        </w:rPr>
        <w:t>30</w:t>
      </w:r>
      <w:r w:rsidRPr="00CD09AC">
        <w:rPr>
          <w:lang w:val="fr-FR"/>
        </w:rPr>
        <w:t xml:space="preserve"> et dans les Règles de procédure relatives aux § 4.1.1 </w:t>
      </w:r>
      <w:r w:rsidRPr="00CD09AC">
        <w:rPr>
          <w:i/>
          <w:iCs/>
          <w:lang w:val="fr-FR"/>
        </w:rPr>
        <w:t>a)</w:t>
      </w:r>
      <w:r w:rsidRPr="00CD09AC">
        <w:rPr>
          <w:lang w:val="fr-FR"/>
        </w:rPr>
        <w:t xml:space="preserve"> et 4.1.1 </w:t>
      </w:r>
      <w:r w:rsidRPr="00CD09AC">
        <w:rPr>
          <w:i/>
          <w:iCs/>
          <w:lang w:val="fr-FR"/>
        </w:rPr>
        <w:t>b)</w:t>
      </w:r>
      <w:r w:rsidRPr="00CD09AC">
        <w:rPr>
          <w:lang w:val="fr-FR"/>
        </w:rPr>
        <w:t xml:space="preserve"> des Appendices </w:t>
      </w:r>
      <w:r w:rsidRPr="00CD09AC">
        <w:rPr>
          <w:b/>
          <w:bCs/>
          <w:lang w:val="fr-FR"/>
        </w:rPr>
        <w:t>30</w:t>
      </w:r>
      <w:r w:rsidRPr="00CD09AC">
        <w:rPr>
          <w:lang w:val="fr-FR"/>
        </w:rPr>
        <w:t xml:space="preserve"> et </w:t>
      </w:r>
      <w:r w:rsidRPr="00CD09AC">
        <w:rPr>
          <w:b/>
          <w:bCs/>
          <w:lang w:val="fr-FR"/>
        </w:rPr>
        <w:t>30A</w:t>
      </w:r>
      <w:r w:rsidRPr="00CD09AC">
        <w:rPr>
          <w:lang w:val="fr-FR"/>
        </w:rPr>
        <w:t xml:space="preserve">. </w:t>
      </w:r>
    </w:p>
    <w:p w14:paraId="76D05B00" w14:textId="77777777" w:rsidR="003C4C29" w:rsidRDefault="003C4C29" w:rsidP="00CD09AC">
      <w:pPr>
        <w:rPr>
          <w:lang w:val="fr-FR"/>
        </w:rPr>
      </w:pPr>
      <w:r>
        <w:rPr>
          <w:lang w:val="fr-FR"/>
        </w:rPr>
        <w:br w:type="page"/>
      </w:r>
    </w:p>
    <w:p w14:paraId="6D8A032B" w14:textId="7C57D48C" w:rsidR="00CD09AC" w:rsidRPr="00CD09AC" w:rsidRDefault="00CD09AC" w:rsidP="00CD09AC">
      <w:pPr>
        <w:rPr>
          <w:lang w:val="fr-FR"/>
        </w:rPr>
      </w:pPr>
      <w:r w:rsidRPr="00CD09AC">
        <w:rPr>
          <w:lang w:val="fr-FR"/>
        </w:rPr>
        <w:lastRenderedPageBreak/>
        <w:t>3</w:t>
      </w:r>
      <w:r w:rsidRPr="00CD09AC">
        <w:rPr>
          <w:lang w:val="fr-FR"/>
        </w:rPr>
        <w:tab/>
        <w:t xml:space="preserve">Compte tenu de ce qui précède, le Comité a décidé que ledit concept de groupe pouvait également s'appliquer dans le contexte des § 6.5, 6.21 et 6.22. Selon l'interprétation que le Comité se fait du concept de groupe, le calcul du brouillage causé aux inscriptions (allotissements ou assignations) qui font partie de ce groupe ne tient compte que des contributions au brouillage des allotissements ou assignations qui ne font pas partie de ce groupe. </w:t>
      </w:r>
      <w:proofErr w:type="gramStart"/>
      <w:r w:rsidRPr="00CD09AC">
        <w:rPr>
          <w:lang w:val="fr-FR"/>
        </w:rPr>
        <w:t>Par contre</w:t>
      </w:r>
      <w:proofErr w:type="gramEnd"/>
      <w:r w:rsidRPr="00CD09AC">
        <w:rPr>
          <w:lang w:val="fr-FR"/>
        </w:rPr>
        <w:t>, pour le calcul du brouillage causé par des allotissements ou assignations qui font partie d'un groupe à des allotissements ou assignations qui ne font pas partie du même groupe, on ne tient compte que de la contribution au brouillage la plus défavorable de ce groupe.</w:t>
      </w:r>
    </w:p>
    <w:p w14:paraId="62A86A67" w14:textId="77777777" w:rsidR="00CD09AC" w:rsidRPr="00CD09AC" w:rsidRDefault="00CD09AC" w:rsidP="00CD09AC">
      <w:pPr>
        <w:rPr>
          <w:lang w:val="fr-FR"/>
        </w:rPr>
      </w:pPr>
      <w:r w:rsidRPr="00CD09AC">
        <w:rPr>
          <w:lang w:val="fr-FR"/>
        </w:rPr>
        <w:t>4</w:t>
      </w:r>
      <w:r w:rsidRPr="00CD09AC">
        <w:rPr>
          <w:lang w:val="fr-FR"/>
        </w:rPr>
        <w:tab/>
        <w:t>Le Comité n'a pas trouvé de disposition réglementaire justifiant d'étendre l'utilisation de groupes faisant intervenir de multiples positions orbitales. Toutefois, le regroupement de réseaux occupant différentes positions orbitales peut être utilisé avant que les assignations soient inscrites dans la Liste pour modifier la position orbitale d'un réseau.</w:t>
      </w:r>
    </w:p>
    <w:p w14:paraId="7206CCE7" w14:textId="34B1F746" w:rsidR="00CD09AC" w:rsidRPr="00CD09AC" w:rsidRDefault="00CD09AC" w:rsidP="00CD09AC">
      <w:pPr>
        <w:rPr>
          <w:lang w:val="fr-FR"/>
        </w:rPr>
      </w:pPr>
      <w:r w:rsidRPr="00CD09AC">
        <w:rPr>
          <w:lang w:val="fr-FR"/>
        </w:rPr>
        <w:t>5</w:t>
      </w:r>
      <w:r w:rsidRPr="00CD09AC">
        <w:rPr>
          <w:lang w:val="fr-FR"/>
        </w:rPr>
        <w:tab/>
        <w:t xml:space="preserve">Le brouillage entre assignations aux </w:t>
      </w:r>
      <w:r w:rsidRPr="00B36714">
        <w:rPr>
          <w:i/>
          <w:iCs/>
          <w:lang w:val="fr-FR"/>
        </w:rPr>
        <w:t>«systèmes existants»</w:t>
      </w:r>
      <w:r w:rsidRPr="00CD09AC">
        <w:rPr>
          <w:lang w:val="fr-FR"/>
        </w:rPr>
        <w:t xml:space="preserve">, auquel il est fait référence aux points </w:t>
      </w:r>
      <w:r w:rsidRPr="00CD09AC">
        <w:rPr>
          <w:i/>
          <w:iCs/>
          <w:lang w:val="fr-FR"/>
        </w:rPr>
        <w:t>b)</w:t>
      </w:r>
      <w:r w:rsidRPr="00CD09AC">
        <w:rPr>
          <w:lang w:val="fr-FR"/>
        </w:rPr>
        <w:t xml:space="preserve"> et </w:t>
      </w:r>
      <w:r w:rsidRPr="00CD09AC">
        <w:rPr>
          <w:i/>
          <w:iCs/>
          <w:lang w:val="fr-FR"/>
        </w:rPr>
        <w:t>c)</w:t>
      </w:r>
      <w:r w:rsidRPr="00CD09AC">
        <w:rPr>
          <w:lang w:val="fr-FR"/>
        </w:rPr>
        <w:t xml:space="preserve"> de la Résolution </w:t>
      </w:r>
      <w:r w:rsidRPr="00CD09AC">
        <w:rPr>
          <w:b/>
          <w:bCs/>
          <w:lang w:val="fr-FR"/>
        </w:rPr>
        <w:t>148 (</w:t>
      </w:r>
      <w:r w:rsidR="00645077">
        <w:rPr>
          <w:b/>
          <w:bCs/>
          <w:lang w:val="fr-FR"/>
        </w:rPr>
        <w:t>Rév.</w:t>
      </w:r>
      <w:r w:rsidRPr="00CD09AC">
        <w:rPr>
          <w:b/>
          <w:bCs/>
          <w:lang w:val="fr-FR"/>
        </w:rPr>
        <w:t>CMR</w:t>
      </w:r>
      <w:r w:rsidRPr="00CD09AC">
        <w:rPr>
          <w:b/>
          <w:bCs/>
          <w:lang w:val="fr-FR"/>
        </w:rPr>
        <w:noBreakHyphen/>
        <w:t>15)</w:t>
      </w:r>
      <w:r w:rsidRPr="00CD09AC">
        <w:rPr>
          <w:lang w:val="fr-FR"/>
        </w:rPr>
        <w:t xml:space="preserve">, n'est pas pris en considération dans le calcul des brouillages dus à une source unique, pour assurer la cohérence de la mise en œuvre du point 2 du </w:t>
      </w:r>
      <w:r w:rsidRPr="00CD09AC">
        <w:rPr>
          <w:i/>
          <w:iCs/>
          <w:lang w:val="fr-FR"/>
        </w:rPr>
        <w:t>charge le Bureau des radiocommunications</w:t>
      </w:r>
      <w:r w:rsidRPr="00CD09AC">
        <w:rPr>
          <w:lang w:val="fr-FR"/>
        </w:rPr>
        <w:t xml:space="preserve"> de ladite Résolution.</w:t>
      </w:r>
    </w:p>
    <w:p w14:paraId="09EFB1CF" w14:textId="77777777" w:rsidR="00CD09AC" w:rsidRPr="00CD09AC" w:rsidRDefault="00CD09AC" w:rsidP="00CD09AC">
      <w:pPr>
        <w:rPr>
          <w:lang w:val="fr-FR"/>
        </w:rPr>
      </w:pPr>
      <w:r w:rsidRPr="00CD09AC">
        <w:rPr>
          <w:lang w:val="fr-FR"/>
        </w:rPr>
        <w:t>6</w:t>
      </w:r>
      <w:r w:rsidRPr="00CD09AC">
        <w:rPr>
          <w:lang w:val="fr-FR"/>
        </w:rPr>
        <w:tab/>
        <w:t xml:space="preserve">Voir également la Note du Secrétariat relative aux </w:t>
      </w:r>
      <w:r w:rsidRPr="00B36714">
        <w:rPr>
          <w:i/>
          <w:iCs/>
          <w:lang w:val="fr-FR"/>
        </w:rPr>
        <w:t>«réseaux à faisceaux multiples»</w:t>
      </w:r>
      <w:r w:rsidRPr="00CD09AC">
        <w:rPr>
          <w:lang w:val="fr-FR"/>
        </w:rPr>
        <w:t xml:space="preserve"> comme indiqué dans la colonne 10 des Tableaux de l'Article 10 de l'Appendice </w:t>
      </w:r>
      <w:r w:rsidRPr="00CD09AC">
        <w:rPr>
          <w:b/>
          <w:bCs/>
          <w:lang w:val="fr-FR"/>
        </w:rPr>
        <w:t>30B</w:t>
      </w:r>
      <w:r w:rsidRPr="00CD09AC">
        <w:rPr>
          <w:lang w:val="fr-FR"/>
        </w:rPr>
        <w:t>.</w:t>
      </w:r>
    </w:p>
    <w:p w14:paraId="1487E5D1" w14:textId="08EBEEB0" w:rsidR="00B97D6D" w:rsidRPr="00CD09AC" w:rsidRDefault="00B97D6D" w:rsidP="001D098B">
      <w:pPr>
        <w:pStyle w:val="Heading8"/>
        <w:rPr>
          <w:color w:val="000000"/>
          <w:lang w:val="fr-FR"/>
        </w:rPr>
      </w:pPr>
      <w:r w:rsidRPr="00CD09AC">
        <w:rPr>
          <w:color w:val="000000"/>
          <w:lang w:val="fr-FR"/>
        </w:rPr>
        <w:t>6.6</w:t>
      </w:r>
      <w:r w:rsidR="00CD09AC" w:rsidRPr="00CD09AC">
        <w:rPr>
          <w:color w:val="000000"/>
          <w:lang w:val="fr-FR"/>
        </w:rPr>
        <w:tab/>
      </w:r>
    </w:p>
    <w:p w14:paraId="3C8830B5" w14:textId="77777777" w:rsidR="00B97D6D" w:rsidRPr="00CD09AC" w:rsidRDefault="00B97D6D" w:rsidP="00B97D6D">
      <w:pPr>
        <w:rPr>
          <w:b/>
          <w:bCs/>
          <w:u w:val="single"/>
          <w:lang w:val="fr-FR"/>
        </w:rPr>
      </w:pPr>
      <w:r w:rsidRPr="00CD09AC">
        <w:rPr>
          <w:b/>
          <w:bCs/>
          <w:lang w:val="fr-FR"/>
        </w:rPr>
        <w:t xml:space="preserve">Accord d'une administration d'un pays dont le territoire est inclus, en tout ou partie, dans la zone de service d'une assignation </w:t>
      </w:r>
    </w:p>
    <w:p w14:paraId="18EF3216" w14:textId="77777777" w:rsidR="00CD09AC" w:rsidRPr="00CD09AC" w:rsidRDefault="00CD09AC" w:rsidP="00CD09AC">
      <w:pPr>
        <w:rPr>
          <w:color w:val="000000"/>
          <w:lang w:val="fr-FR"/>
        </w:rPr>
      </w:pPr>
      <w:r w:rsidRPr="00CD09AC">
        <w:rPr>
          <w:lang w:val="fr-FR"/>
        </w:rPr>
        <w:t xml:space="preserve">Le Comité a décidé que les accords administratifs des administrations des </w:t>
      </w:r>
      <w:r w:rsidRPr="00CD09AC">
        <w:rPr>
          <w:color w:val="000000"/>
          <w:lang w:val="fr-FR"/>
        </w:rPr>
        <w:t>pays dont le territoire est inclus, en tout ou partie,</w:t>
      </w:r>
      <w:r w:rsidRPr="00CD09AC">
        <w:rPr>
          <w:lang w:val="fr-FR"/>
        </w:rPr>
        <w:t xml:space="preserve"> dans la zone de service voulue d'une assignation à l'examen étaient expressément exigés et devaient être obtenus lors de l'inscription de l'assignation dans la Liste, que leurs allotissements figurant dans le Plan ou leurs assignations soient ou non identifiées comme étant affectées conformément au § 6.5. Si une administration identifiée ne formule pas d'observations ou ne répond pas à la demande de l'administration notificatrice </w:t>
      </w:r>
      <w:r w:rsidRPr="00CD09AC">
        <w:rPr>
          <w:color w:val="000000"/>
          <w:lang w:val="fr-FR"/>
        </w:rPr>
        <w:t>visant à obtenir un accord</w:t>
      </w:r>
      <w:r w:rsidRPr="00CD09AC">
        <w:rPr>
          <w:lang w:val="fr-FR"/>
        </w:rPr>
        <w:t xml:space="preserve"> au titre du § 6.6, l'administration identifiée sera réputée</w:t>
      </w:r>
      <w:r w:rsidRPr="00CD09AC">
        <w:rPr>
          <w:color w:val="000000"/>
          <w:lang w:val="fr-FR"/>
        </w:rPr>
        <w:t xml:space="preserve"> ne pas avoir donné son accord à l'inclusion de son territoire dans la zone de service voulue de l'assignation.</w:t>
      </w:r>
    </w:p>
    <w:p w14:paraId="2B613875" w14:textId="07199815" w:rsidR="00CD09AC" w:rsidRPr="00CD09AC" w:rsidRDefault="00CD09AC" w:rsidP="00CD09AC">
      <w:pPr>
        <w:rPr>
          <w:lang w:val="fr-FR"/>
        </w:rPr>
      </w:pPr>
      <w:r w:rsidRPr="00CD09AC">
        <w:rPr>
          <w:lang w:val="fr-FR"/>
        </w:rPr>
        <w:t xml:space="preserve">Lors de l'examen d'un réseau à satellite soumis au titre du § 6.17, si le Bureau conclut que le territoire d'une administration est inclus, en tout ou partie, dans la zone de service du réseau sans avoir obtenu l'accord exprès de cette administration avant la soumission au titre du § 6.17, il demandera à l'administration notificatrice d'exclure le territoire et les points de mesure associés de la zone de service. Si l'administration notificatrice insiste pour que la zone de service reste inchangée, la conclusion de l'examen au titre du § 6.19 a) sera </w:t>
      </w:r>
      <w:r>
        <w:rPr>
          <w:lang w:val="fr-FR"/>
        </w:rPr>
        <w:br/>
      </w:r>
      <w:r w:rsidRPr="00CD09AC">
        <w:rPr>
          <w:lang w:val="fr-FR"/>
        </w:rPr>
        <w:t>défavorable.</w:t>
      </w:r>
    </w:p>
    <w:p w14:paraId="0A0C39BF" w14:textId="4BBF9866" w:rsidR="00B97D6D" w:rsidRPr="00CD09AC" w:rsidRDefault="00CD09AC" w:rsidP="00CD09AC">
      <w:pPr>
        <w:rPr>
          <w:lang w:val="fr-FR"/>
        </w:rPr>
      </w:pPr>
      <w:r w:rsidRPr="00CD09AC">
        <w:rPr>
          <w:lang w:val="fr-FR"/>
        </w:rPr>
        <w:t>Une administration qui a donné son accord à l'inclusion de son territoire dans la zone de service d'une assignation peut à tout moment retirer son accord conformément au § 6.16.</w:t>
      </w:r>
    </w:p>
    <w:p w14:paraId="12101979" w14:textId="77777777" w:rsidR="00FC257D" w:rsidRPr="00CD09AC" w:rsidRDefault="00FC257D" w:rsidP="001D098B">
      <w:pPr>
        <w:pStyle w:val="Heading8"/>
        <w:rPr>
          <w:color w:val="000000"/>
          <w:lang w:val="fr-FR"/>
        </w:rPr>
      </w:pPr>
      <w:r w:rsidRPr="00CD09AC">
        <w:rPr>
          <w:color w:val="000000"/>
          <w:lang w:val="fr-FR"/>
        </w:rPr>
        <w:lastRenderedPageBreak/>
        <w:t>6.16</w:t>
      </w:r>
    </w:p>
    <w:p w14:paraId="0EADFC92" w14:textId="77777777" w:rsidR="000C32E3" w:rsidRPr="00CD09AC" w:rsidRDefault="000C32E3" w:rsidP="000C32E3">
      <w:pPr>
        <w:rPr>
          <w:lang w:val="fr-FR"/>
        </w:rPr>
      </w:pPr>
      <w:r w:rsidRPr="00CD09AC">
        <w:rPr>
          <w:lang w:val="fr-FR"/>
        </w:rPr>
        <w:t>1</w:t>
      </w:r>
      <w:r w:rsidRPr="00CD09AC">
        <w:rPr>
          <w:lang w:val="fr-FR"/>
        </w:rPr>
        <w:tab/>
        <w:t xml:space="preserve">Lorsque le Bureau reçoit de la part d'une administration une objection à être incluse dans la zone de service d'une assignation conformément au § 6.16 de l'Appendice </w:t>
      </w:r>
      <w:r w:rsidRPr="00CD09AC">
        <w:rPr>
          <w:b/>
          <w:bCs/>
          <w:lang w:val="fr-FR"/>
        </w:rPr>
        <w:t>30B</w:t>
      </w:r>
      <w:r w:rsidRPr="00CD09AC">
        <w:rPr>
          <w:lang w:val="fr-FR"/>
        </w:rPr>
        <w:t>, le Bureau publie la zone de service modifiée en vue d'exclure de la zone de service le territoire de cette administration, si l'assignation a déjà été inscrite dans la Liste. Si l'assignation se trouve au stade de la coordination et n'a pas encore été inscrite dans la Liste (c'est-à-dire qu'elle a été publiée dans une Section spéciale AP30B/A6A/-- seulement), le Bureau tient compte de cette objection lors de l'examen prévu au § 6.19 </w:t>
      </w:r>
      <w:r w:rsidRPr="00CD09AC">
        <w:rPr>
          <w:i/>
          <w:lang w:val="fr-FR"/>
        </w:rPr>
        <w:t>a)</w:t>
      </w:r>
      <w:r w:rsidRPr="00CD09AC">
        <w:rPr>
          <w:lang w:val="fr-FR"/>
        </w:rPr>
        <w:t>, lorsque l'assignation est soumise par l'administration notificatrice conformément au § 6.17. Les caractéristiques définitives de l'assignation figurant dans la Liste (c'est-à-dire celles qui ont été publiées dans une Section spéciale AP30B/A6B/--) n'incluent pas dans la zone de service le territoire et les points de mesure qui sont dans le territoire de l'administration ayant formulé l'objection.</w:t>
      </w:r>
    </w:p>
    <w:p w14:paraId="43BF16B3" w14:textId="77777777" w:rsidR="000C32E3" w:rsidRPr="00CD09AC" w:rsidRDefault="000C32E3" w:rsidP="000C32E3">
      <w:pPr>
        <w:rPr>
          <w:lang w:val="fr-FR"/>
        </w:rPr>
      </w:pPr>
      <w:r w:rsidRPr="00CD09AC">
        <w:rPr>
          <w:lang w:val="fr-FR"/>
        </w:rPr>
        <w:t>2</w:t>
      </w:r>
      <w:r w:rsidRPr="00CD09AC">
        <w:rPr>
          <w:lang w:val="fr-FR"/>
        </w:rPr>
        <w:tab/>
        <w:t xml:space="preserve">Toutefois, une administration peut formuler une objection à l'égard de l'inclusion de son territoire dans la zone de service d'une assignation d'autres administrations qui n'a pas encore été inscrite dans la Liste et demander expressément que cette objection soit prise en compte lors de l'examen de son propre réseau soumis conformément au § 6.17 de l'Appendice </w:t>
      </w:r>
      <w:r w:rsidRPr="00CD09AC">
        <w:rPr>
          <w:b/>
          <w:lang w:val="fr-FR"/>
        </w:rPr>
        <w:t>30B</w:t>
      </w:r>
      <w:r w:rsidRPr="00CD09AC">
        <w:rPr>
          <w:lang w:val="fr-FR"/>
        </w:rPr>
        <w:t xml:space="preserve">, afin de faciliter l'inclusion des assignations de son propre réseau dans la Liste. En pareil cas, l'objection devra être considérée comme définitive. Le Bureau exclut alors de la zone de service de l'assignation ayant donné lieu à l'objection, conformément au § 6.16 de l'Appendice </w:t>
      </w:r>
      <w:r w:rsidRPr="00CD09AC">
        <w:rPr>
          <w:b/>
          <w:lang w:val="fr-FR"/>
        </w:rPr>
        <w:t>30B</w:t>
      </w:r>
      <w:r w:rsidRPr="00CD09AC">
        <w:rPr>
          <w:lang w:val="fr-FR"/>
        </w:rPr>
        <w:t xml:space="preserve">, le territoire et les points de mesure qui sont dans le territoire de l'administration ayant formulé l'objection et publie la zone de service modifiée dans une modification apportée à la Section spéciale correspondante AP30B/A6A/--. La modification apportée à la zone de service et la suppression des points de mesure seront alors prises en considération lors des examens ultérieurs, y compris lors de ceux prévus aux § 6.21 et 6.22 de l'Appendice </w:t>
      </w:r>
      <w:r w:rsidRPr="00CD09AC">
        <w:rPr>
          <w:b/>
          <w:lang w:val="fr-FR"/>
        </w:rPr>
        <w:t>30B</w:t>
      </w:r>
      <w:r w:rsidRPr="00CD09AC">
        <w:rPr>
          <w:bCs/>
          <w:lang w:val="fr-FR"/>
        </w:rPr>
        <w:t xml:space="preserve">, </w:t>
      </w:r>
      <w:r w:rsidRPr="00CD09AC">
        <w:rPr>
          <w:lang w:val="fr-FR"/>
        </w:rPr>
        <w:t>relatifs au réseau soumis par l'administration ayant formulé l'objection au titre du § 6.17 de l'Appendice </w:t>
      </w:r>
      <w:r w:rsidRPr="00CD09AC">
        <w:rPr>
          <w:b/>
          <w:lang w:val="fr-FR"/>
        </w:rPr>
        <w:t>30B</w:t>
      </w:r>
      <w:r w:rsidRPr="00CD09AC">
        <w:rPr>
          <w:lang w:val="fr-FR"/>
        </w:rPr>
        <w:t>.</w:t>
      </w:r>
    </w:p>
    <w:p w14:paraId="14D6AA92" w14:textId="77777777" w:rsidR="00B40E92" w:rsidRPr="00CD09AC" w:rsidRDefault="00B40E92" w:rsidP="00B40E92">
      <w:pPr>
        <w:pStyle w:val="Heading8"/>
        <w:rPr>
          <w:lang w:val="fr-FR"/>
        </w:rPr>
      </w:pPr>
      <w:r w:rsidRPr="00CD09AC">
        <w:rPr>
          <w:lang w:val="fr-FR"/>
        </w:rPr>
        <w:t>6.19</w:t>
      </w:r>
      <w:r w:rsidR="005076E5" w:rsidRPr="00CD09AC">
        <w:rPr>
          <w:lang w:val="fr-FR"/>
        </w:rPr>
        <w:t xml:space="preserve"> </w:t>
      </w:r>
      <w:r w:rsidRPr="00CD09AC">
        <w:rPr>
          <w:i/>
          <w:iCs/>
          <w:lang w:val="fr-FR"/>
        </w:rPr>
        <w:t>b)</w:t>
      </w:r>
    </w:p>
    <w:p w14:paraId="0A5A58D7" w14:textId="77777777" w:rsidR="00B40E92" w:rsidRPr="00CD09AC" w:rsidRDefault="00B40E92" w:rsidP="005076E5">
      <w:pPr>
        <w:rPr>
          <w:lang w:val="fr-FR"/>
        </w:rPr>
      </w:pPr>
      <w:r w:rsidRPr="00CD09AC">
        <w:rPr>
          <w:lang w:val="fr-FR"/>
        </w:rPr>
        <w:t>Voir les Règles de procédure relatives au § 6.3</w:t>
      </w:r>
      <w:r w:rsidR="005076E5" w:rsidRPr="00CD09AC">
        <w:rPr>
          <w:lang w:val="fr-FR"/>
        </w:rPr>
        <w:t> </w:t>
      </w:r>
      <w:r w:rsidRPr="00CD09AC">
        <w:rPr>
          <w:i/>
          <w:iCs/>
          <w:lang w:val="fr-FR"/>
        </w:rPr>
        <w:t>a)</w:t>
      </w:r>
      <w:r w:rsidRPr="00CD09AC">
        <w:rPr>
          <w:lang w:val="fr-FR"/>
        </w:rPr>
        <w:t>.</w:t>
      </w:r>
    </w:p>
    <w:p w14:paraId="470EF39E" w14:textId="77777777" w:rsidR="00B40E92" w:rsidRPr="00CD09AC" w:rsidRDefault="00B40E92" w:rsidP="005076E5">
      <w:pPr>
        <w:pStyle w:val="Heading8"/>
        <w:rPr>
          <w:lang w:val="fr-FR"/>
        </w:rPr>
      </w:pPr>
      <w:r w:rsidRPr="00CD09AC">
        <w:rPr>
          <w:lang w:val="fr-FR"/>
        </w:rPr>
        <w:t>6.21</w:t>
      </w:r>
    </w:p>
    <w:p w14:paraId="23A4C121" w14:textId="77777777" w:rsidR="00B40E92" w:rsidRPr="00CD09AC" w:rsidRDefault="00B40E92" w:rsidP="00790474">
      <w:pPr>
        <w:rPr>
          <w:lang w:val="fr-FR"/>
        </w:rPr>
      </w:pPr>
      <w:r w:rsidRPr="00CD09AC">
        <w:rPr>
          <w:lang w:val="fr-FR"/>
        </w:rPr>
        <w:t>Voir les Règles de procédure relatives au § 6.5.</w:t>
      </w:r>
    </w:p>
    <w:p w14:paraId="0291C278" w14:textId="77777777" w:rsidR="004D6739" w:rsidRPr="00CD09AC" w:rsidRDefault="004D6739" w:rsidP="00790474">
      <w:pPr>
        <w:rPr>
          <w:lang w:val="fr-FR"/>
        </w:rPr>
      </w:pPr>
    </w:p>
    <w:p w14:paraId="1B76B3E0" w14:textId="77777777" w:rsidR="00113128" w:rsidRDefault="00113128" w:rsidP="00790474">
      <w:pPr>
        <w:rPr>
          <w:lang w:val="fr-FR"/>
        </w:rPr>
        <w:sectPr w:rsidR="00113128" w:rsidSect="003C4C29">
          <w:headerReference w:type="even" r:id="rId8"/>
          <w:headerReference w:type="default" r:id="rId9"/>
          <w:footnotePr>
            <w:pos w:val="beneathText"/>
          </w:footnotePr>
          <w:pgSz w:w="11907" w:h="16840" w:code="9"/>
          <w:pgMar w:top="1701" w:right="851" w:bottom="1134" w:left="1985" w:header="720" w:footer="482" w:gutter="0"/>
          <w:pgNumType w:start="1"/>
          <w:cols w:space="720"/>
          <w:vAlign w:val="both"/>
        </w:sectPr>
      </w:pPr>
    </w:p>
    <w:p w14:paraId="1F0816EE" w14:textId="77777777" w:rsidR="008D4B93" w:rsidRPr="00CD09AC" w:rsidRDefault="008D4B93" w:rsidP="0041093A">
      <w:pPr>
        <w:pStyle w:val="Heading8"/>
        <w:ind w:right="7655"/>
        <w:rPr>
          <w:color w:val="000000"/>
          <w:lang w:val="fr-FR"/>
        </w:rPr>
      </w:pPr>
      <w:r w:rsidRPr="00CD09AC">
        <w:rPr>
          <w:lang w:val="fr-FR"/>
        </w:rPr>
        <w:lastRenderedPageBreak/>
        <w:t>6.25 à 6.29</w:t>
      </w:r>
    </w:p>
    <w:p w14:paraId="14646B26" w14:textId="77777777" w:rsidR="008D4B93" w:rsidRPr="00CD09AC" w:rsidRDefault="008D4B93" w:rsidP="00113128">
      <w:pPr>
        <w:spacing w:before="40"/>
        <w:rPr>
          <w:lang w:val="fr-FR"/>
        </w:rPr>
      </w:pPr>
      <w:r w:rsidRPr="00CD09AC">
        <w:rPr>
          <w:b/>
          <w:bCs/>
          <w:lang w:val="fr-FR"/>
        </w:rPr>
        <w:t>Note</w:t>
      </w:r>
      <w:r w:rsidRPr="00CD09AC">
        <w:rPr>
          <w:lang w:val="fr-FR"/>
        </w:rPr>
        <w:t xml:space="preserve">: La CMR-15 a pris la décision suivante concernant l'inscription provisoire dans la Liste de l'Appendice </w:t>
      </w:r>
      <w:r w:rsidRPr="00CD09AC">
        <w:rPr>
          <w:b/>
          <w:bCs/>
          <w:lang w:val="fr-FR"/>
        </w:rPr>
        <w:t>30B</w:t>
      </w:r>
      <w:r w:rsidRPr="00CD09AC">
        <w:rPr>
          <w:lang w:val="fr-FR"/>
        </w:rPr>
        <w:t xml:space="preserve"> du RR d'une assignation résultant de la conversion d'un allotissement lors de la 8ème séance plénière, § 1.39 à 1.42 du Document 505 de la CMR</w:t>
      </w:r>
      <w:r w:rsidRPr="00CD09AC">
        <w:rPr>
          <w:lang w:val="fr-FR"/>
        </w:rPr>
        <w:noBreakHyphen/>
        <w:t>15 dans le cadre de l'approbation du Document 416 de la CMR</w:t>
      </w:r>
      <w:r w:rsidRPr="00CD09AC">
        <w:rPr>
          <w:lang w:val="fr-FR"/>
        </w:rPr>
        <w:noBreakHyphen/>
        <w:t>15 en ce qui concerne la section 3.2.7.1 du Document 4(Add.2)(Rév.1):</w:t>
      </w:r>
    </w:p>
    <w:p w14:paraId="6B6F5D9B" w14:textId="77777777" w:rsidR="008D4B93" w:rsidRPr="00CD09AC" w:rsidRDefault="008D4B93" w:rsidP="00113128">
      <w:pPr>
        <w:spacing w:before="40"/>
        <w:rPr>
          <w:rFonts w:eastAsia="Malgun Gothic"/>
          <w:i/>
          <w:iCs/>
          <w:lang w:val="fr-FR" w:eastAsia="ko-KR"/>
        </w:rPr>
      </w:pPr>
      <w:r w:rsidRPr="00CD09AC">
        <w:rPr>
          <w:rFonts w:eastAsia="Malgun Gothic"/>
          <w:i/>
          <w:iCs/>
          <w:lang w:val="fr-FR" w:eastAsia="ko-KR"/>
        </w:rPr>
        <w:t>«Dans la section 3.2.7.1 du Document 4(Add.2)(Rév.1), le Directeur a demandé à la Conférence de confirmer la marche à suivre ci</w:t>
      </w:r>
      <w:r w:rsidRPr="00CD09AC">
        <w:rPr>
          <w:rFonts w:eastAsia="Malgun Gothic"/>
          <w:i/>
          <w:iCs/>
          <w:lang w:val="fr-FR" w:eastAsia="ko-KR"/>
        </w:rPr>
        <w:noBreakHyphen/>
        <w:t>après:</w:t>
      </w:r>
    </w:p>
    <w:p w14:paraId="2A66E41E" w14:textId="77777777" w:rsidR="008D4B93" w:rsidRPr="00CD09AC" w:rsidRDefault="008D4B93" w:rsidP="00113128">
      <w:pPr>
        <w:spacing w:before="40"/>
        <w:rPr>
          <w:rFonts w:eastAsia="Malgun Gothic"/>
          <w:b/>
          <w:i/>
          <w:iCs/>
          <w:lang w:val="fr-FR" w:eastAsia="ko-KR"/>
        </w:rPr>
      </w:pPr>
      <w:r w:rsidRPr="00CD09AC">
        <w:rPr>
          <w:i/>
          <w:iCs/>
          <w:lang w:val="fr-FR" w:eastAsia="zh-CN"/>
        </w:rPr>
        <w:t>Lorsqu'une assignation résultant de la conversion d'un allotissement du Plan de l'Appendice </w:t>
      </w:r>
      <w:r w:rsidRPr="00CD09AC">
        <w:rPr>
          <w:b/>
          <w:i/>
          <w:iCs/>
          <w:lang w:val="fr-FR" w:eastAsia="zh-CN"/>
        </w:rPr>
        <w:t>30B</w:t>
      </w:r>
      <w:r w:rsidRPr="00CD09AC">
        <w:rPr>
          <w:i/>
          <w:iCs/>
          <w:lang w:val="fr-FR" w:eastAsia="zh-CN"/>
        </w:rPr>
        <w:t xml:space="preserve"> est inscrite provisoirement dans la Liste, l'allotissement initial ne sera pas supprimé du Plan tant que l'inscription de l'assignation dans la liste ne devient pas définitive. Lorsque l'assignation issue de la conversion est réintégrée, l'administration notificatrice devra choisir soit de conserver son allotissement initial dans le Plan, soit de le réintégrer avec les caractéristiques figurant dans la Liste, afin de remplacer l'allotissement initial. Dans le deuxième cas, les conditions décrites aux § 6.26 à 6.29 de l'Article </w:t>
      </w:r>
      <w:r w:rsidRPr="00CD09AC">
        <w:rPr>
          <w:bCs/>
          <w:i/>
          <w:iCs/>
          <w:lang w:val="fr-FR" w:eastAsia="zh-CN"/>
        </w:rPr>
        <w:t>6</w:t>
      </w:r>
      <w:r w:rsidRPr="00CD09AC">
        <w:rPr>
          <w:i/>
          <w:iCs/>
          <w:lang w:val="fr-FR" w:eastAsia="zh-CN"/>
        </w:rPr>
        <w:t xml:space="preserve"> de l'Appendice </w:t>
      </w:r>
      <w:r w:rsidRPr="00CD09AC">
        <w:rPr>
          <w:b/>
          <w:i/>
          <w:iCs/>
          <w:lang w:val="fr-FR" w:eastAsia="zh-CN"/>
        </w:rPr>
        <w:t>30B</w:t>
      </w:r>
      <w:r w:rsidRPr="00CD09AC">
        <w:rPr>
          <w:i/>
          <w:iCs/>
          <w:lang w:val="fr-FR" w:eastAsia="zh-CN"/>
        </w:rPr>
        <w:t xml:space="preserve"> continueront d'être appliquées à l'allotissement réintégré (c'est</w:t>
      </w:r>
      <w:r w:rsidRPr="00CD09AC">
        <w:rPr>
          <w:i/>
          <w:iCs/>
          <w:lang w:val="fr-FR" w:eastAsia="zh-CN"/>
        </w:rPr>
        <w:noBreakHyphen/>
        <w:t>à</w:t>
      </w:r>
      <w:r w:rsidRPr="00CD09AC">
        <w:rPr>
          <w:i/>
          <w:iCs/>
          <w:lang w:val="fr-FR" w:eastAsia="zh-CN"/>
        </w:rPr>
        <w:noBreakHyphen/>
        <w:t>dire que celui</w:t>
      </w:r>
      <w:r w:rsidRPr="00CD09AC">
        <w:rPr>
          <w:i/>
          <w:iCs/>
          <w:lang w:val="fr-FR" w:eastAsia="zh-CN"/>
        </w:rPr>
        <w:noBreakHyphen/>
        <w:t>ci aura le même statut que l'assignation supprimée)</w:t>
      </w:r>
      <w:r w:rsidRPr="00CD09AC">
        <w:rPr>
          <w:rFonts w:eastAsia="Malgun Gothic"/>
          <w:i/>
          <w:iCs/>
          <w:lang w:val="fr-FR" w:eastAsia="ko-KR"/>
        </w:rPr>
        <w:t>.</w:t>
      </w:r>
    </w:p>
    <w:p w14:paraId="484A2073" w14:textId="77777777" w:rsidR="008D4B93" w:rsidRDefault="008D4B93" w:rsidP="00113128">
      <w:pPr>
        <w:spacing w:before="40"/>
        <w:rPr>
          <w:rFonts w:eastAsia="Malgun Gothic"/>
          <w:i/>
          <w:iCs/>
          <w:lang w:val="fr-FR" w:eastAsia="ko-KR"/>
        </w:rPr>
      </w:pPr>
      <w:r w:rsidRPr="00CD09AC">
        <w:rPr>
          <w:bCs/>
          <w:i/>
          <w:iCs/>
          <w:lang w:val="fr-FR"/>
        </w:rPr>
        <w:t>La CMR-15 a examiné et confirmé</w:t>
      </w:r>
      <w:r w:rsidRPr="00CD09AC">
        <w:rPr>
          <w:i/>
          <w:iCs/>
          <w:lang w:val="fr-FR"/>
        </w:rPr>
        <w:t xml:space="preserve"> la marche à suivre présentée dans cette section</w:t>
      </w:r>
      <w:proofErr w:type="gramStart"/>
      <w:r w:rsidRPr="00CD09AC">
        <w:rPr>
          <w:rFonts w:eastAsia="Malgun Gothic"/>
          <w:i/>
          <w:iCs/>
          <w:lang w:val="fr-FR" w:eastAsia="ko-KR"/>
        </w:rPr>
        <w:t>.»</w:t>
      </w:r>
      <w:proofErr w:type="gramEnd"/>
    </w:p>
    <w:p w14:paraId="2C1ED8AE" w14:textId="77777777" w:rsidR="00113128" w:rsidRPr="00113128" w:rsidRDefault="00113128" w:rsidP="00113128">
      <w:pPr>
        <w:keepNext/>
        <w:keepLines/>
        <w:pBdr>
          <w:top w:val="double" w:sz="6" w:space="1" w:color="auto"/>
          <w:left w:val="double" w:sz="6" w:space="1" w:color="auto"/>
          <w:bottom w:val="double" w:sz="6" w:space="1" w:color="auto"/>
          <w:right w:val="double" w:sz="6" w:space="1" w:color="auto"/>
        </w:pBdr>
        <w:spacing w:before="120"/>
        <w:ind w:left="85" w:right="7938"/>
        <w:outlineLvl w:val="7"/>
        <w:rPr>
          <w:rFonts w:asciiTheme="majorBidi" w:hAnsiTheme="majorBidi" w:cstheme="majorBidi"/>
          <w:b/>
        </w:rPr>
      </w:pPr>
      <w:r w:rsidRPr="00113128">
        <w:rPr>
          <w:rFonts w:asciiTheme="majorBidi" w:hAnsiTheme="majorBidi" w:cstheme="majorBidi"/>
          <w:b/>
        </w:rPr>
        <w:t>6.38</w:t>
      </w:r>
      <w:r w:rsidRPr="00113128">
        <w:rPr>
          <w:rFonts w:asciiTheme="majorBidi" w:hAnsiTheme="majorBidi" w:cstheme="majorBidi"/>
          <w:b/>
        </w:rPr>
        <w:tab/>
      </w:r>
      <w:r w:rsidRPr="00113128">
        <w:rPr>
          <w:rFonts w:asciiTheme="majorBidi" w:hAnsiTheme="majorBidi" w:cstheme="majorBidi"/>
          <w:b/>
        </w:rPr>
        <w:tab/>
      </w:r>
      <w:r w:rsidRPr="00113128">
        <w:rPr>
          <w:rFonts w:asciiTheme="majorBidi" w:hAnsiTheme="majorBidi" w:cstheme="majorBidi"/>
          <w:b/>
        </w:rPr>
        <w:tab/>
      </w:r>
      <w:r w:rsidRPr="00113128">
        <w:rPr>
          <w:rFonts w:eastAsiaTheme="minorEastAsia"/>
          <w:sz w:val="16"/>
          <w:szCs w:val="16"/>
        </w:rPr>
        <w:t>(ADD RRB24/510)</w:t>
      </w:r>
    </w:p>
    <w:p w14:paraId="4FFBC9D8" w14:textId="77777777" w:rsidR="00113128" w:rsidRPr="00113128" w:rsidRDefault="00113128" w:rsidP="00113128">
      <w:pPr>
        <w:spacing w:before="40"/>
        <w:rPr>
          <w:lang w:val="fr-FR"/>
        </w:rPr>
      </w:pPr>
      <w:r w:rsidRPr="00113128">
        <w:rPr>
          <w:lang w:val="fr-FR"/>
        </w:rPr>
        <w:t>Le Comité considère que le Bureau procède à un examen</w:t>
      </w:r>
      <w:bookmarkStart w:id="0" w:name="_Hlk168049135"/>
      <w:r w:rsidRPr="00113128">
        <w:rPr>
          <w:lang w:val="fr-FR"/>
        </w:rPr>
        <w:t xml:space="preserve"> au titre des § 6.5, 6.21 </w:t>
      </w:r>
      <w:bookmarkEnd w:id="0"/>
      <w:r w:rsidRPr="00113128">
        <w:rPr>
          <w:lang w:val="fr-FR"/>
        </w:rPr>
        <w:t>et 6.22 de l'Article 6 de l'Appendice </w:t>
      </w:r>
      <w:r w:rsidRPr="00113128">
        <w:rPr>
          <w:b/>
          <w:bCs/>
          <w:lang w:val="fr-FR"/>
        </w:rPr>
        <w:t>30B</w:t>
      </w:r>
      <w:r w:rsidRPr="00113128">
        <w:rPr>
          <w:lang w:val="fr-FR"/>
        </w:rPr>
        <w:t xml:space="preserve"> pour identifier les allotissements du Plan et les assignations de fréquences figurant dans la Liste susceptibles d'être affectés sur la base de leurs caractéristiques, telles qu'elles figurent dans le Plan et dans la Liste. Toutefois, en application du § 6.38, le Bureau doit tenir compte, dans toute la mesure possible, dans son analyse de compatibilité, des paramètres d'exploitation effectifs des assignations de fréquence, tels que fournis par l'administration, qui ont déjà été inscrites dans la Liste et mises en service. Ces paramètres peuvent être différents des paramètres des assignations de fréquence correspondantes figurant dans la Liste.</w:t>
      </w:r>
    </w:p>
    <w:p w14:paraId="097B31B3" w14:textId="7EBE29B4" w:rsidR="00113128" w:rsidRPr="00113128" w:rsidRDefault="00113128" w:rsidP="00113128">
      <w:pPr>
        <w:spacing w:before="40"/>
        <w:rPr>
          <w:lang w:val="fr-FR"/>
        </w:rPr>
      </w:pPr>
      <w:r w:rsidRPr="00113128">
        <w:rPr>
          <w:lang w:val="fr-FR"/>
        </w:rPr>
        <w:t>Dès réception d'une demande d'assistance formulée par l'administration notificatrice appliquant le § 6.37 ou une administration identifiée au titre du §</w:t>
      </w:r>
      <w:r>
        <w:rPr>
          <w:lang w:val="fr-FR"/>
        </w:rPr>
        <w:t> </w:t>
      </w:r>
      <w:r w:rsidRPr="00113128">
        <w:rPr>
          <w:lang w:val="fr-FR"/>
        </w:rPr>
        <w:t xml:space="preserve">6.5 de l'Appendice </w:t>
      </w:r>
      <w:r w:rsidRPr="00113128">
        <w:rPr>
          <w:b/>
          <w:bCs/>
          <w:lang w:val="fr-FR"/>
        </w:rPr>
        <w:t>30B</w:t>
      </w:r>
      <w:r w:rsidRPr="00113128">
        <w:rPr>
          <w:lang w:val="fr-FR"/>
        </w:rPr>
        <w:t>, le Comité a décidé que le Bureau devrait demander aux administrations notificatrices des réseaux à satellite identifiés comme affectés de communiquer les paramètres d'exploitation effectifs de ces derniers dans un délai de 30 jours. Si aucune réponse n'est reçue dans ce délai de 30 jours, le Bureau enverra un rappel en accordant un nouveau délai de 15 jours pour répondre.</w:t>
      </w:r>
    </w:p>
    <w:p w14:paraId="562E456A" w14:textId="4C414BA2" w:rsidR="00113128" w:rsidRPr="00113128" w:rsidRDefault="00113128" w:rsidP="00113128">
      <w:pPr>
        <w:spacing w:before="40"/>
        <w:rPr>
          <w:highlight w:val="lightGray"/>
          <w:lang w:val="fr-FR"/>
        </w:rPr>
      </w:pPr>
      <w:r w:rsidRPr="00113128">
        <w:rPr>
          <w:lang w:val="fr-FR"/>
        </w:rPr>
        <w:t>Dès réception des paramètres d'exploitation demandés, le Bureau effectuera l'analyse de compatibilité sur la base de ces paramètres et non des paramètres correspondants du réseau à satellite affecté figurant dans la Liste. L'analyse de compatibilité visée au § 6.38 sera effectuée sur la base des mêmes principes que ceux établis pour l'application du § 6.21, notamment la note de bas de page 7</w:t>
      </w:r>
      <w:r w:rsidRPr="00113128">
        <w:rPr>
          <w:i/>
          <w:iCs/>
          <w:lang w:val="fr-FR"/>
        </w:rPr>
        <w:t>bis</w:t>
      </w:r>
      <w:r w:rsidRPr="00113128">
        <w:rPr>
          <w:lang w:val="fr-FR"/>
        </w:rPr>
        <w:t xml:space="preserve"> du § 6.21 </w:t>
      </w:r>
      <w:r w:rsidRPr="00113128">
        <w:rPr>
          <w:i/>
          <w:iCs/>
          <w:lang w:val="fr-FR"/>
        </w:rPr>
        <w:t>c)</w:t>
      </w:r>
      <w:r w:rsidRPr="00113128">
        <w:rPr>
          <w:lang w:val="fr-FR"/>
        </w:rPr>
        <w:t>, et de la version la plus récente de la base de données de référence de l'Appendice </w:t>
      </w:r>
      <w:r w:rsidRPr="00113128">
        <w:rPr>
          <w:b/>
          <w:bCs/>
          <w:lang w:val="fr-FR"/>
        </w:rPr>
        <w:t>30B</w:t>
      </w:r>
      <w:r w:rsidRPr="00113128">
        <w:rPr>
          <w:position w:val="6"/>
          <w:sz w:val="18"/>
          <w:szCs w:val="24"/>
          <w:lang w:val="fr-FR"/>
        </w:rPr>
        <w:footnoteReference w:customMarkFollows="1" w:id="3"/>
        <w:t>2bis</w:t>
      </w:r>
      <w:r w:rsidRPr="00113128">
        <w:rPr>
          <w:lang w:val="fr-FR"/>
        </w:rPr>
        <w:t>. Le Bureau informera l'administration notificatrice qui a demandé l'application du § 6.3</w:t>
      </w:r>
      <w:r w:rsidR="00874451">
        <w:rPr>
          <w:lang w:val="fr-FR"/>
        </w:rPr>
        <w:t>7</w:t>
      </w:r>
      <w:r w:rsidRPr="00113128">
        <w:rPr>
          <w:lang w:val="fr-FR"/>
        </w:rPr>
        <w:t xml:space="preserve"> et l'administration notificatrice du réseau à satellite affecté des résultats de son analyse de compatibilité.</w:t>
      </w:r>
    </w:p>
    <w:p w14:paraId="15869D3C" w14:textId="77777777" w:rsidR="00113128" w:rsidRDefault="00113128" w:rsidP="00113128">
      <w:pPr>
        <w:rPr>
          <w:lang w:val="fr-FR"/>
        </w:rPr>
        <w:sectPr w:rsidR="00113128" w:rsidSect="003C4C29">
          <w:headerReference w:type="default" r:id="rId10"/>
          <w:footnotePr>
            <w:pos w:val="beneathText"/>
          </w:footnotePr>
          <w:pgSz w:w="11907" w:h="16840" w:code="9"/>
          <w:pgMar w:top="1701" w:right="851" w:bottom="1134" w:left="1985" w:header="720" w:footer="482" w:gutter="0"/>
          <w:pgNumType w:start="1"/>
          <w:cols w:space="720"/>
          <w:vAlign w:val="both"/>
        </w:sectPr>
      </w:pPr>
    </w:p>
    <w:p w14:paraId="4829E5D9" w14:textId="77777777" w:rsidR="00113128" w:rsidRPr="00113128" w:rsidRDefault="00113128" w:rsidP="00874451">
      <w:pPr>
        <w:rPr>
          <w:lang w:val="fr-FR"/>
        </w:rPr>
      </w:pPr>
      <w:r w:rsidRPr="00113128">
        <w:rPr>
          <w:lang w:val="fr-FR"/>
        </w:rPr>
        <w:lastRenderedPageBreak/>
        <w:t>L'administration notificatrice responsable du réseau affecté devrait également être invitée à apporter des modifications aux caractéristiques des assignations de fréquence inscrites dans le Fichier de référence afin de les aligner sur leurs paramètres d'exploitation effectifs.</w:t>
      </w:r>
    </w:p>
    <w:p w14:paraId="0A6396B8" w14:textId="77777777" w:rsidR="00113128" w:rsidRPr="00113128" w:rsidRDefault="00113128" w:rsidP="00874451">
      <w:pPr>
        <w:rPr>
          <w:lang w:val="fr-FR"/>
        </w:rPr>
      </w:pPr>
      <w:r w:rsidRPr="00113128">
        <w:rPr>
          <w:lang w:val="fr-FR"/>
        </w:rPr>
        <w:t>En l'absence de réponse dans les 15 jours suivant l'envoi du rappel, le Comité a conclu que le Bureau devrait informer les administrations concernées qu'il n'est pas en mesure d'effectuer l'analyse de compatibilité au titre du § 6.38.</w:t>
      </w:r>
    </w:p>
    <w:p w14:paraId="60039E69" w14:textId="77777777" w:rsidR="00874451" w:rsidRPr="00874451" w:rsidRDefault="00874451" w:rsidP="00874451">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655"/>
        <w:outlineLvl w:val="7"/>
        <w:rPr>
          <w:rFonts w:eastAsiaTheme="minorEastAsia"/>
          <w:b/>
          <w:color w:val="000000"/>
        </w:rPr>
      </w:pPr>
      <w:r w:rsidRPr="00874451">
        <w:rPr>
          <w:rFonts w:eastAsiaTheme="minorEastAsia"/>
          <w:b/>
        </w:rPr>
        <w:t>6.39</w:t>
      </w:r>
      <w:r w:rsidRPr="00874451">
        <w:rPr>
          <w:rFonts w:eastAsiaTheme="minorEastAsia"/>
          <w:b/>
        </w:rPr>
        <w:tab/>
      </w:r>
      <w:r w:rsidRPr="00874451">
        <w:rPr>
          <w:rFonts w:eastAsiaTheme="minorEastAsia"/>
          <w:b/>
        </w:rPr>
        <w:tab/>
      </w:r>
      <w:r w:rsidRPr="00874451">
        <w:rPr>
          <w:rFonts w:eastAsiaTheme="minorEastAsia"/>
          <w:b/>
        </w:rPr>
        <w:tab/>
      </w:r>
      <w:r w:rsidRPr="00874451">
        <w:rPr>
          <w:rFonts w:eastAsiaTheme="minorEastAsia"/>
          <w:bCs/>
          <w:sz w:val="16"/>
          <w:szCs w:val="16"/>
        </w:rPr>
        <w:t>(ADD RRB24/510)</w:t>
      </w:r>
    </w:p>
    <w:p w14:paraId="2152B9DC" w14:textId="26D0FD41" w:rsidR="00874451" w:rsidRPr="00874451" w:rsidRDefault="00874451" w:rsidP="00874451">
      <w:pPr>
        <w:rPr>
          <w:rFonts w:eastAsiaTheme="minorEastAsia"/>
          <w:lang w:val="fr-FR"/>
        </w:rPr>
      </w:pPr>
      <w:r w:rsidRPr="00874451">
        <w:rPr>
          <w:rFonts w:eastAsiaTheme="minorEastAsia"/>
          <w:lang w:val="fr-FR"/>
        </w:rPr>
        <w:t>1</w:t>
      </w:r>
      <w:r w:rsidRPr="00874451">
        <w:rPr>
          <w:rFonts w:eastAsiaTheme="minorEastAsia"/>
          <w:lang w:val="fr-FR"/>
        </w:rPr>
        <w:tab/>
        <w:t xml:space="preserve">Cette disposition vise à indiquer au Bureau comment produire le diagramme de gain d'antenne de satellite de liaison montante pour une assignation de fréquence à un système additionnel non assujetti à la Résolution </w:t>
      </w:r>
      <w:r w:rsidRPr="00874451">
        <w:rPr>
          <w:rFonts w:eastAsiaTheme="minorEastAsia"/>
          <w:b/>
          <w:bCs/>
          <w:lang w:val="fr-FR"/>
        </w:rPr>
        <w:t>170 (Rév.CMR-23)</w:t>
      </w:r>
      <w:r w:rsidRPr="00874451">
        <w:rPr>
          <w:rFonts w:eastAsiaTheme="minorEastAsia"/>
          <w:lang w:val="fr-FR"/>
        </w:rPr>
        <w:t xml:space="preserve"> ou pour la conversion d'un allotissement en une assignation de fréquence avec modification extérieure à l'enveloppe de l'allotissement et non assujettie à la Résolution </w:t>
      </w:r>
      <w:r w:rsidRPr="00874451">
        <w:rPr>
          <w:rFonts w:eastAsiaTheme="minorEastAsia"/>
          <w:b/>
          <w:bCs/>
          <w:lang w:val="fr-FR"/>
        </w:rPr>
        <w:t>170 (Rév.CMR-23)</w:t>
      </w:r>
      <w:r w:rsidRPr="00874451">
        <w:rPr>
          <w:rFonts w:eastAsiaTheme="minorEastAsia"/>
          <w:lang w:val="fr-FR"/>
        </w:rPr>
        <w:t xml:space="preserve"> pendant l'examen d'une soumission au titre du § 6.37. La première étape pour tracer le diagramme consiste à tracer le contour à </w:t>
      </w:r>
      <w:r w:rsidRPr="000844A0">
        <w:rPr>
          <w:rFonts w:asciiTheme="majorBidi" w:hAnsiTheme="majorBidi" w:cstheme="majorBidi"/>
          <w:szCs w:val="22"/>
        </w:rPr>
        <w:t>−</w:t>
      </w:r>
      <w:r w:rsidRPr="00874451">
        <w:rPr>
          <w:rFonts w:eastAsiaTheme="minorEastAsia"/>
          <w:lang w:val="fr-FR"/>
        </w:rPr>
        <w:t>10 dB des ellipses minimales pour tous les territoires à l'intérieur de chaque zone de service du réseau à satellite identifié au §</w:t>
      </w:r>
      <w:r>
        <w:rPr>
          <w:rFonts w:eastAsiaTheme="minorEastAsia"/>
          <w:lang w:val="fr-FR"/>
        </w:rPr>
        <w:t> </w:t>
      </w:r>
      <w:r w:rsidRPr="00874451">
        <w:rPr>
          <w:rFonts w:eastAsiaTheme="minorEastAsia"/>
          <w:lang w:val="fr-FR"/>
        </w:rPr>
        <w:t xml:space="preserve">6.5. La question se pose de savoir quel diagramme d'antenne de station spatiale utiliser en application du § 6.39. Le Comité a chargé le Bureau d'utiliser le diagramme copolaire d'antenne de station spatiale de l'Appendice </w:t>
      </w:r>
      <w:r w:rsidRPr="00874451">
        <w:rPr>
          <w:rFonts w:eastAsiaTheme="minorEastAsia"/>
          <w:b/>
          <w:bCs/>
          <w:lang w:val="fr-FR"/>
        </w:rPr>
        <w:t xml:space="preserve">30B </w:t>
      </w:r>
      <w:r w:rsidRPr="00874451">
        <w:rPr>
          <w:rFonts w:eastAsiaTheme="minorEastAsia"/>
          <w:lang w:val="fr-FR"/>
        </w:rPr>
        <w:t xml:space="preserve">pour les antennes de réception et d'émission de toutes les Régions sans décroissance rapide, afin de créer l'ellipse minimale couvrant un territoire et le contour à </w:t>
      </w:r>
      <w:bookmarkStart w:id="1" w:name="_Hlk183014657"/>
      <w:r w:rsidRPr="000844A0">
        <w:rPr>
          <w:rFonts w:asciiTheme="majorBidi" w:hAnsiTheme="majorBidi" w:cstheme="majorBidi"/>
          <w:szCs w:val="22"/>
        </w:rPr>
        <w:t>−</w:t>
      </w:r>
      <w:bookmarkEnd w:id="1"/>
      <w:r w:rsidRPr="00874451">
        <w:rPr>
          <w:rFonts w:eastAsiaTheme="minorEastAsia"/>
          <w:lang w:val="fr-FR"/>
        </w:rPr>
        <w:t>10 dB de chaque ellipse minimale, étant donné que celui-ci est également utilisé pour déterminer les besoins de coordination et évaluer les brouillages dans le Plan du SFS. Le diagramme copolaire correspond au diagramme de rayonnement APSRR_401V01 dans la bibliothèque de diagrammes d'antenne tenue à jour par le Bureau.</w:t>
      </w:r>
    </w:p>
    <w:p w14:paraId="7DB0EE42" w14:textId="77777777" w:rsidR="00874451" w:rsidRPr="00874451" w:rsidRDefault="00874451" w:rsidP="00874451">
      <w:pPr>
        <w:rPr>
          <w:rFonts w:eastAsiaTheme="minorEastAsia"/>
          <w:lang w:val="fr-FR"/>
        </w:rPr>
      </w:pPr>
      <w:r w:rsidRPr="00874451">
        <w:rPr>
          <w:rFonts w:eastAsiaTheme="minorEastAsia"/>
          <w:lang w:val="fr-FR"/>
        </w:rPr>
        <w:t>2</w:t>
      </w:r>
      <w:r w:rsidRPr="00874451">
        <w:rPr>
          <w:rFonts w:eastAsiaTheme="minorEastAsia"/>
          <w:lang w:val="fr-FR"/>
        </w:rPr>
        <w:tab/>
        <w:t>Pour faire en sorte qu'il y ait suffisamment de points de mesure pour générer chaque ellipse minimale, chaque ensemble de points de mesure par territoire national devrait être celui qui figure dans l'allotissement national, plus les points de mesure soumis initialement associés à la zone de service et situés à l'intérieur de ce territoire. Si le nombre total de points de mesure pour un territoire donné dans une zone de service est inférieur à 20, le Bureau consulte l'administration notificatrice du réseau à satellite identifié pour savoir si elle souhaite ajouter d'autres points de mesure sur ce territoire.</w:t>
      </w:r>
    </w:p>
    <w:p w14:paraId="07B142CE" w14:textId="77777777" w:rsidR="00874451" w:rsidRPr="00874451" w:rsidRDefault="00874451" w:rsidP="00874451">
      <w:pPr>
        <w:rPr>
          <w:rFonts w:eastAsiaTheme="minorEastAsia"/>
          <w:lang w:val="fr-FR"/>
        </w:rPr>
      </w:pPr>
      <w:r w:rsidRPr="00874451">
        <w:rPr>
          <w:rFonts w:eastAsiaTheme="minorEastAsia"/>
          <w:lang w:val="fr-FR"/>
        </w:rPr>
        <w:t>3</w:t>
      </w:r>
      <w:r w:rsidRPr="00874451">
        <w:rPr>
          <w:rFonts w:eastAsiaTheme="minorEastAsia"/>
          <w:lang w:val="fr-FR"/>
        </w:rPr>
        <w:tab/>
        <w:t>Pour créer les ellipses minimales, le Comité a décidé de tenir compte d'une précision de rotation de 1,0 et d'une erreur de pointage de 0,1.</w:t>
      </w:r>
    </w:p>
    <w:p w14:paraId="365C90CF" w14:textId="77777777" w:rsidR="00874451" w:rsidRDefault="00874451" w:rsidP="00874451">
      <w:pPr>
        <w:rPr>
          <w:rFonts w:eastAsiaTheme="minorEastAsia"/>
          <w:lang w:val="fr-FR"/>
        </w:rPr>
      </w:pPr>
      <w:r w:rsidRPr="00874451">
        <w:rPr>
          <w:rFonts w:eastAsiaTheme="minorEastAsia"/>
          <w:lang w:val="fr-FR"/>
        </w:rPr>
        <w:t>4</w:t>
      </w:r>
      <w:r w:rsidRPr="00874451">
        <w:rPr>
          <w:rFonts w:eastAsiaTheme="minorEastAsia"/>
          <w:lang w:val="fr-FR"/>
        </w:rPr>
        <w:tab/>
        <w:t>Les points de mesure tirés de l'allotissement national ou ajoutés lors de l'application du § 6.39 servent uniquement à générer les ellipses minimales et les ellipses combinées et ne seront pas utilisés pour les examens techniques.</w:t>
      </w:r>
    </w:p>
    <w:p w14:paraId="5745B2A9" w14:textId="77777777" w:rsidR="00874451" w:rsidRDefault="00874451" w:rsidP="00874451">
      <w:pPr>
        <w:rPr>
          <w:rFonts w:eastAsiaTheme="minorEastAsia"/>
          <w:lang w:val="fr-FR"/>
        </w:rPr>
      </w:pPr>
    </w:p>
    <w:p w14:paraId="41DEC713" w14:textId="77777777" w:rsidR="00874451" w:rsidRDefault="00874451" w:rsidP="00874451">
      <w:pPr>
        <w:rPr>
          <w:rFonts w:eastAsiaTheme="minorEastAsia"/>
          <w:lang w:val="fr-FR"/>
        </w:rPr>
        <w:sectPr w:rsidR="00874451" w:rsidSect="00874451">
          <w:headerReference w:type="even" r:id="rId11"/>
          <w:footnotePr>
            <w:pos w:val="beneathText"/>
          </w:footnotePr>
          <w:type w:val="evenPage"/>
          <w:pgSz w:w="11907" w:h="16840" w:code="9"/>
          <w:pgMar w:top="1701" w:right="851" w:bottom="1134" w:left="1985" w:header="720" w:footer="482" w:gutter="0"/>
          <w:pgNumType w:start="1"/>
          <w:cols w:space="720"/>
          <w:vAlign w:val="both"/>
        </w:sectPr>
      </w:pPr>
    </w:p>
    <w:p w14:paraId="0FFDC527" w14:textId="77777777" w:rsidR="00874451" w:rsidRPr="00874451" w:rsidRDefault="00874451" w:rsidP="00874451">
      <w:pPr>
        <w:keepNext/>
        <w:keepLines/>
        <w:pBdr>
          <w:top w:val="double" w:sz="6" w:space="1" w:color="auto"/>
          <w:left w:val="double" w:sz="6" w:space="1" w:color="auto"/>
          <w:bottom w:val="double" w:sz="6" w:space="1" w:color="auto"/>
          <w:right w:val="double" w:sz="6" w:space="1" w:color="auto"/>
        </w:pBdr>
        <w:spacing w:before="400"/>
        <w:ind w:left="85" w:right="7938"/>
        <w:outlineLvl w:val="7"/>
        <w:rPr>
          <w:rFonts w:asciiTheme="majorBidi" w:hAnsiTheme="majorBidi" w:cstheme="majorBidi"/>
          <w:b/>
        </w:rPr>
      </w:pPr>
      <w:r w:rsidRPr="00874451">
        <w:rPr>
          <w:rFonts w:asciiTheme="majorBidi" w:hAnsiTheme="majorBidi" w:cstheme="majorBidi"/>
          <w:b/>
        </w:rPr>
        <w:lastRenderedPageBreak/>
        <w:t>6.40</w:t>
      </w:r>
      <w:r w:rsidRPr="00874451">
        <w:rPr>
          <w:rFonts w:asciiTheme="majorBidi" w:hAnsiTheme="majorBidi" w:cstheme="majorBidi"/>
          <w:b/>
        </w:rPr>
        <w:tab/>
      </w:r>
      <w:r w:rsidRPr="00874451">
        <w:rPr>
          <w:rFonts w:asciiTheme="majorBidi" w:hAnsiTheme="majorBidi" w:cstheme="majorBidi"/>
          <w:b/>
        </w:rPr>
        <w:tab/>
      </w:r>
      <w:r w:rsidRPr="00874451">
        <w:rPr>
          <w:rFonts w:asciiTheme="majorBidi" w:hAnsiTheme="majorBidi" w:cstheme="majorBidi"/>
          <w:b/>
        </w:rPr>
        <w:tab/>
      </w:r>
      <w:r w:rsidRPr="00874451">
        <w:rPr>
          <w:rFonts w:eastAsiaTheme="minorEastAsia"/>
          <w:sz w:val="16"/>
          <w:szCs w:val="16"/>
        </w:rPr>
        <w:t>(ADD RRB24/510)</w:t>
      </w:r>
    </w:p>
    <w:p w14:paraId="72550B53" w14:textId="77777777" w:rsidR="00874451" w:rsidRPr="00874451" w:rsidRDefault="00874451" w:rsidP="00874451">
      <w:pPr>
        <w:rPr>
          <w:lang w:val="fr-FR"/>
        </w:rPr>
      </w:pPr>
      <w:r w:rsidRPr="00874451">
        <w:rPr>
          <w:lang w:val="fr-FR"/>
        </w:rPr>
        <w:t>Le Comité considère que la</w:t>
      </w:r>
      <w:proofErr w:type="gramStart"/>
      <w:r w:rsidRPr="00874451">
        <w:rPr>
          <w:lang w:val="fr-FR"/>
        </w:rPr>
        <w:t xml:space="preserve"> «dernière</w:t>
      </w:r>
      <w:proofErr w:type="gramEnd"/>
      <w:r w:rsidRPr="00874451">
        <w:rPr>
          <w:lang w:val="fr-FR"/>
        </w:rPr>
        <w:t xml:space="preserve"> assignation» mentionnée dans la disposition désigne l'assignation de fréquence identifiée comme susceptible d'être affectée dans le cadre de l'examen de la soumission assujettie au § 6.37.</w:t>
      </w:r>
    </w:p>
    <w:p w14:paraId="43A05CEC" w14:textId="78AFCAFB" w:rsidR="00874451" w:rsidRPr="00874451" w:rsidRDefault="00874451" w:rsidP="00874451">
      <w:pPr>
        <w:rPr>
          <w:lang w:val="fr-FR"/>
        </w:rPr>
      </w:pPr>
      <w:r w:rsidRPr="00874451">
        <w:rPr>
          <w:lang w:val="fr-FR"/>
        </w:rPr>
        <w:t>En ce qui concerne la condition à respecter pour que la situation de référence d'une assignation de fréquence qui est toujours identifiée comme affectée ne soit pas mise à jour, il est difficile de déterminer si le membre de phrase «en raison de la zone de couverture en liaison de connexion qui a été soumise pour celle-ci» fait référence à la zone de couverture soumise initialement (c'est-à-dire celle figurant dans la Liste) ou à la zone de couverture soumise en tant que «paramètre d'exploitation effectif» en application du § 6.38. De plus, cette disposition ne fournit pas d'instructions claires quant à savoir si la situation de référence du réseau à satellite</w:t>
      </w:r>
      <w:proofErr w:type="gramStart"/>
      <w:r w:rsidRPr="00874451">
        <w:rPr>
          <w:lang w:val="fr-FR"/>
        </w:rPr>
        <w:t xml:space="preserve"> «toujours</w:t>
      </w:r>
      <w:proofErr w:type="gramEnd"/>
      <w:r w:rsidRPr="00874451">
        <w:rPr>
          <w:lang w:val="fr-FR"/>
        </w:rPr>
        <w:t xml:space="preserve"> affecté» devrait être mise à jour lorsque les administrations concernées parviennent à un conformément au § 6.37</w:t>
      </w:r>
      <w:r w:rsidRPr="00874451">
        <w:rPr>
          <w:i/>
          <w:iCs/>
          <w:lang w:val="fr-FR"/>
        </w:rPr>
        <w:t>bis.</w:t>
      </w:r>
      <w:r w:rsidRPr="00874451">
        <w:rPr>
          <w:lang w:val="fr-FR"/>
        </w:rPr>
        <w:t xml:space="preserve"> Le Comité a donc chargé le Bureau, lorsqu'une assignation de fréquence assujettie au § 6.37 est inscrite dans la Liste, de consulter l'administration notificatrice qui a demandé l'application du §</w:t>
      </w:r>
      <w:r>
        <w:rPr>
          <w:lang w:val="fr-FR"/>
        </w:rPr>
        <w:t> </w:t>
      </w:r>
      <w:r w:rsidRPr="00874451">
        <w:rPr>
          <w:lang w:val="fr-FR"/>
        </w:rPr>
        <w:t>6.37 et l'administration notificatrice du réseau à satellite affecté et de ne pas mettre à jour la situation de référence des assignations de fréquence qui sont toujours identifiées comme affectées en raison de la zone de couverture soumise initialement, à moins que les deux parties ne s'accordent pour mettre à jour la situation de référence.</w:t>
      </w:r>
    </w:p>
    <w:p w14:paraId="5ECBB58A" w14:textId="77777777" w:rsidR="00B40E92" w:rsidRPr="00CD09AC" w:rsidRDefault="00B40E92" w:rsidP="005076E5">
      <w:pPr>
        <w:pStyle w:val="Heading8"/>
        <w:rPr>
          <w:lang w:val="fr-FR"/>
        </w:rPr>
      </w:pPr>
      <w:r w:rsidRPr="00CD09AC">
        <w:rPr>
          <w:lang w:val="fr-FR"/>
        </w:rPr>
        <w:t>Art. 7</w:t>
      </w:r>
    </w:p>
    <w:p w14:paraId="48006033" w14:textId="77777777" w:rsidR="00EC2ADC" w:rsidRPr="00CD09AC" w:rsidRDefault="00EC2ADC" w:rsidP="005076E5">
      <w:pPr>
        <w:pStyle w:val="Arttitle"/>
        <w:rPr>
          <w:noProof w:val="0"/>
          <w:lang w:val="fr-FR"/>
        </w:rPr>
      </w:pPr>
      <w:r w:rsidRPr="00CD09AC">
        <w:rPr>
          <w:noProof w:val="0"/>
          <w:lang w:val="fr-FR"/>
        </w:rPr>
        <w:t>Procédure applicable à l'adjonction d'un nouvel allotissement au Plan</w:t>
      </w:r>
      <w:r w:rsidR="00227146" w:rsidRPr="00CD09AC">
        <w:rPr>
          <w:noProof w:val="0"/>
          <w:lang w:val="fr-FR"/>
        </w:rPr>
        <w:br/>
      </w:r>
      <w:r w:rsidRPr="00CD09AC">
        <w:rPr>
          <w:noProof w:val="0"/>
          <w:lang w:val="fr-FR"/>
        </w:rPr>
        <w:t>pour un nouvel Etat Membre de l'Union</w:t>
      </w:r>
    </w:p>
    <w:p w14:paraId="5177620A" w14:textId="77777777" w:rsidR="00C46CBB" w:rsidRPr="00CD09AC" w:rsidRDefault="00C46CBB" w:rsidP="005076E5">
      <w:pPr>
        <w:pStyle w:val="Heading8"/>
        <w:rPr>
          <w:lang w:val="fr-FR"/>
        </w:rPr>
      </w:pPr>
      <w:r w:rsidRPr="00CD09AC">
        <w:rPr>
          <w:lang w:val="fr-FR"/>
        </w:rPr>
        <w:t>7.3</w:t>
      </w:r>
    </w:p>
    <w:p w14:paraId="6BF8E77B" w14:textId="77777777" w:rsidR="00B40E92" w:rsidRPr="00CD09AC" w:rsidRDefault="00B40E92" w:rsidP="005076E5">
      <w:pPr>
        <w:pStyle w:val="Headingb"/>
        <w:spacing w:before="240"/>
        <w:jc w:val="left"/>
        <w:rPr>
          <w:color w:val="000000"/>
          <w:lang w:val="fr-FR"/>
        </w:rPr>
      </w:pPr>
      <w:r w:rsidRPr="00CD09AC">
        <w:rPr>
          <w:color w:val="000000"/>
          <w:lang w:val="fr-FR"/>
        </w:rPr>
        <w:t>Nouvel allotissement au Plan pour un nouvel Etat Membre de l'Union</w:t>
      </w:r>
    </w:p>
    <w:p w14:paraId="46D54F52" w14:textId="77777777" w:rsidR="00B40E92" w:rsidRPr="00CD09AC" w:rsidRDefault="00B40E92" w:rsidP="005076E5">
      <w:pPr>
        <w:rPr>
          <w:lang w:val="fr-FR"/>
        </w:rPr>
      </w:pPr>
      <w:r w:rsidRPr="00CD09AC">
        <w:rPr>
          <w:lang w:val="fr-FR"/>
        </w:rPr>
        <w:t>1</w:t>
      </w:r>
      <w:r w:rsidRPr="00CD09AC">
        <w:rPr>
          <w:lang w:val="fr-FR"/>
        </w:rPr>
        <w:tab/>
        <w:t>Aux termes du §</w:t>
      </w:r>
      <w:r w:rsidR="005076E5" w:rsidRPr="00CD09AC">
        <w:rPr>
          <w:lang w:val="fr-FR"/>
        </w:rPr>
        <w:t> </w:t>
      </w:r>
      <w:r w:rsidRPr="00CD09AC">
        <w:rPr>
          <w:lang w:val="fr-FR"/>
        </w:rPr>
        <w:t xml:space="preserve">7.3 de l'Appendice </w:t>
      </w:r>
      <w:r w:rsidRPr="00CD09AC">
        <w:rPr>
          <w:b/>
          <w:bCs/>
          <w:lang w:val="fr-FR"/>
        </w:rPr>
        <w:t>30B</w:t>
      </w:r>
      <w:r w:rsidRPr="00CD09AC">
        <w:rPr>
          <w:lang w:val="fr-FR"/>
        </w:rPr>
        <w:t>, dès réception d'une demande présentée par un nouvel Etat Membre, le Bureau doit identifier les caractéristiques techniques appro</w:t>
      </w:r>
      <w:r w:rsidR="00C46CBB" w:rsidRPr="00CD09AC">
        <w:rPr>
          <w:lang w:val="fr-FR"/>
        </w:rPr>
        <w:softHyphen/>
      </w:r>
      <w:r w:rsidRPr="00CD09AC">
        <w:rPr>
          <w:lang w:val="fr-FR"/>
        </w:rPr>
        <w:t>priées et les positions orbitales associées en vue d'un allotissement national futur.</w:t>
      </w:r>
    </w:p>
    <w:p w14:paraId="0050DD87" w14:textId="77777777" w:rsidR="00B40E92" w:rsidRPr="00CD09AC" w:rsidRDefault="00B40E92" w:rsidP="005076E5">
      <w:pPr>
        <w:spacing w:before="160"/>
        <w:rPr>
          <w:lang w:val="fr-FR"/>
        </w:rPr>
      </w:pPr>
      <w:r w:rsidRPr="00CD09AC">
        <w:rPr>
          <w:lang w:val="fr-FR"/>
        </w:rPr>
        <w:t>Le Bureau doit appliquer les procédures décrites ci</w:t>
      </w:r>
      <w:r w:rsidRPr="00CD09AC">
        <w:rPr>
          <w:lang w:val="fr-FR"/>
        </w:rPr>
        <w:noBreakHyphen/>
        <w:t>dessous afin de trouver une position orbitale appropriée pour un allotissement dans l'Appendice</w:t>
      </w:r>
      <w:r w:rsidR="005076E5" w:rsidRPr="00CD09AC">
        <w:rPr>
          <w:lang w:val="fr-FR"/>
        </w:rPr>
        <w:t xml:space="preserve"> </w:t>
      </w:r>
      <w:r w:rsidRPr="00CD09AC">
        <w:rPr>
          <w:b/>
          <w:bCs/>
          <w:lang w:val="fr-FR"/>
        </w:rPr>
        <w:t>30B</w:t>
      </w:r>
      <w:r w:rsidRPr="00CD09AC">
        <w:rPr>
          <w:lang w:val="fr-FR"/>
        </w:rPr>
        <w:t xml:space="preserve"> du Plan pour un nouvel Etat Membre.</w:t>
      </w:r>
    </w:p>
    <w:p w14:paraId="394F2443" w14:textId="77777777" w:rsidR="00B40E92" w:rsidRPr="00CD09AC" w:rsidRDefault="00B40E92" w:rsidP="00D06527">
      <w:pPr>
        <w:spacing w:before="160"/>
        <w:rPr>
          <w:lang w:val="fr-FR"/>
        </w:rPr>
      </w:pPr>
      <w:r w:rsidRPr="00CD09AC">
        <w:rPr>
          <w:lang w:val="fr-FR"/>
        </w:rPr>
        <w:t>2</w:t>
      </w:r>
      <w:r w:rsidRPr="00CD09AC">
        <w:rPr>
          <w:lang w:val="fr-FR"/>
        </w:rPr>
        <w:tab/>
        <w:t>Le Bureau veille à ce que tous les points de mesure soumis soient situés sur le territoire national du nouvel Etat Membre. L'emplacement des points de mesure doit être vérifié à l'aide de la carte mondiale numérisée de l'UIT. En outre, si l'altitude au-dessus du niveau de la mer n'est pas indiquée, le Bureau prend pour hypothèse une valeur de 0</w:t>
      </w:r>
      <w:r w:rsidR="00C46CBB" w:rsidRPr="00CD09AC">
        <w:rPr>
          <w:lang w:val="fr-FR"/>
        </w:rPr>
        <w:t> </w:t>
      </w:r>
      <w:r w:rsidRPr="00CD09AC">
        <w:rPr>
          <w:lang w:val="fr-FR"/>
        </w:rPr>
        <w:t>mètre.</w:t>
      </w:r>
    </w:p>
    <w:p w14:paraId="2C2EFC3A" w14:textId="77777777" w:rsidR="004D6739" w:rsidRPr="00CD09AC" w:rsidRDefault="004D6739">
      <w:pPr>
        <w:tabs>
          <w:tab w:val="clear" w:pos="1134"/>
          <w:tab w:val="clear" w:pos="1871"/>
          <w:tab w:val="clear" w:pos="2268"/>
        </w:tabs>
        <w:overflowPunct/>
        <w:autoSpaceDE/>
        <w:autoSpaceDN/>
        <w:adjustRightInd/>
        <w:spacing w:before="0"/>
        <w:jc w:val="left"/>
        <w:textAlignment w:val="auto"/>
        <w:rPr>
          <w:lang w:val="fr-FR"/>
        </w:rPr>
      </w:pPr>
      <w:r w:rsidRPr="00CD09AC">
        <w:rPr>
          <w:lang w:val="fr-FR"/>
        </w:rPr>
        <w:br w:type="page"/>
      </w:r>
    </w:p>
    <w:p w14:paraId="218F15CA" w14:textId="77777777" w:rsidR="00B40E92" w:rsidRPr="00CD09AC" w:rsidRDefault="00B40E92" w:rsidP="00B82A69">
      <w:pPr>
        <w:spacing w:before="120" w:line="250" w:lineRule="exact"/>
        <w:rPr>
          <w:lang w:val="fr-FR"/>
        </w:rPr>
      </w:pPr>
      <w:r w:rsidRPr="00CD09AC">
        <w:rPr>
          <w:lang w:val="fr-FR"/>
        </w:rPr>
        <w:lastRenderedPageBreak/>
        <w:t>3</w:t>
      </w:r>
      <w:r w:rsidRPr="00CD09AC">
        <w:rPr>
          <w:lang w:val="fr-FR"/>
        </w:rPr>
        <w:tab/>
        <w:t xml:space="preserve">Afin de faciliter la mise en </w:t>
      </w:r>
      <w:r w:rsidR="009769D8" w:rsidRPr="00CD09AC">
        <w:rPr>
          <w:lang w:val="fr-FR"/>
        </w:rPr>
        <w:t xml:space="preserve">œuvre </w:t>
      </w:r>
      <w:r w:rsidRPr="00CD09AC">
        <w:rPr>
          <w:lang w:val="fr-FR"/>
        </w:rPr>
        <w:t>de la procédure applicable au choix des positions orbitales décrite au § 8 ci</w:t>
      </w:r>
      <w:r w:rsidRPr="00CD09AC">
        <w:rPr>
          <w:lang w:val="fr-FR"/>
        </w:rPr>
        <w:noBreakHyphen/>
        <w:t>dessous, le nouvel Etat Membre peut indiquer, au titre du § 7.2</w:t>
      </w:r>
      <w:r w:rsidR="005076E5" w:rsidRPr="00CD09AC">
        <w:rPr>
          <w:lang w:val="fr-FR"/>
        </w:rPr>
        <w:t> </w:t>
      </w:r>
      <w:r w:rsidRPr="00CD09AC">
        <w:rPr>
          <w:i/>
          <w:iCs/>
          <w:lang w:val="fr-FR"/>
        </w:rPr>
        <w:t>c)</w:t>
      </w:r>
      <w:r w:rsidRPr="00CD09AC">
        <w:rPr>
          <w:lang w:val="fr-FR"/>
        </w:rPr>
        <w:t xml:space="preserve"> de l'Article</w:t>
      </w:r>
      <w:r w:rsidR="00C46CBB" w:rsidRPr="00CD09AC">
        <w:rPr>
          <w:lang w:val="fr-FR"/>
        </w:rPr>
        <w:t xml:space="preserve"> </w:t>
      </w:r>
      <w:r w:rsidRPr="00CD09AC">
        <w:rPr>
          <w:lang w:val="fr-FR"/>
        </w:rPr>
        <w:t>7 de l'Appendice</w:t>
      </w:r>
      <w:r w:rsidR="00C46CBB" w:rsidRPr="00CD09AC">
        <w:rPr>
          <w:lang w:val="fr-FR"/>
        </w:rPr>
        <w:t xml:space="preserve"> </w:t>
      </w:r>
      <w:r w:rsidRPr="00CD09AC">
        <w:rPr>
          <w:rStyle w:val="Appref"/>
          <w:b/>
          <w:bCs/>
          <w:color w:val="000000"/>
          <w:lang w:val="fr-FR"/>
        </w:rPr>
        <w:t>30B</w:t>
      </w:r>
      <w:r w:rsidRPr="00CD09AC">
        <w:rPr>
          <w:lang w:val="fr-FR"/>
        </w:rPr>
        <w:t>, sa (ses) position(s) orbitale(s) préférée(s) et/ou son arc orbital (ses arcs orbitaux) préféré(s), sachant qu'il ne sera peut-être pas possible de prendre en compte ces préférences si des brouillages excessifs sont causés à ou par d'autres allotis</w:t>
      </w:r>
      <w:r w:rsidR="00C46CBB" w:rsidRPr="00CD09AC">
        <w:rPr>
          <w:lang w:val="fr-FR"/>
        </w:rPr>
        <w:softHyphen/>
      </w:r>
      <w:r w:rsidRPr="00CD09AC">
        <w:rPr>
          <w:lang w:val="fr-FR"/>
        </w:rPr>
        <w:t>sements ou assignations de l'Appendice </w:t>
      </w:r>
      <w:r w:rsidRPr="00CD09AC">
        <w:rPr>
          <w:rStyle w:val="Appref"/>
          <w:b/>
          <w:bCs/>
          <w:color w:val="000000"/>
          <w:lang w:val="fr-FR"/>
        </w:rPr>
        <w:t>30B</w:t>
      </w:r>
      <w:r w:rsidRPr="00CD09AC">
        <w:rPr>
          <w:lang w:val="fr-FR"/>
        </w:rPr>
        <w:t>.</w:t>
      </w:r>
    </w:p>
    <w:p w14:paraId="09439C43" w14:textId="77777777" w:rsidR="00B40E92" w:rsidRPr="00CD09AC" w:rsidRDefault="00B40E92" w:rsidP="00B82A69">
      <w:pPr>
        <w:spacing w:before="120" w:line="250" w:lineRule="exact"/>
        <w:rPr>
          <w:lang w:val="fr-FR"/>
        </w:rPr>
      </w:pPr>
      <w:r w:rsidRPr="00CD09AC">
        <w:rPr>
          <w:lang w:val="fr-FR"/>
        </w:rPr>
        <w:t>4</w:t>
      </w:r>
      <w:r w:rsidRPr="00CD09AC">
        <w:rPr>
          <w:lang w:val="fr-FR"/>
        </w:rPr>
        <w:tab/>
        <w:t>Le Bureau détermine les valeurs de l'angle d'élévation minimal à respecter pour chaque point de mesure conformément au § 1.3 de l'Annexe</w:t>
      </w:r>
      <w:r w:rsidR="005076E5" w:rsidRPr="00CD09AC">
        <w:rPr>
          <w:lang w:val="fr-FR"/>
        </w:rPr>
        <w:t xml:space="preserve"> </w:t>
      </w:r>
      <w:r w:rsidRPr="00CD09AC">
        <w:rPr>
          <w:lang w:val="fr-FR"/>
        </w:rPr>
        <w:t>1 de l'Appendice </w:t>
      </w:r>
      <w:r w:rsidRPr="00CD09AC">
        <w:rPr>
          <w:rStyle w:val="Appref"/>
          <w:b/>
          <w:bCs/>
          <w:color w:val="000000"/>
          <w:lang w:val="fr-FR"/>
        </w:rPr>
        <w:t>30B</w:t>
      </w:r>
      <w:r w:rsidRPr="00CD09AC">
        <w:rPr>
          <w:lang w:val="fr-FR"/>
        </w:rPr>
        <w:t>. L'arc de service est alors calculé de façon à correspondre aux valeurs de l'angle d'élévation minimal à respecter pour tous les points de mesure.</w:t>
      </w:r>
    </w:p>
    <w:p w14:paraId="01CE5A76" w14:textId="77777777" w:rsidR="00B40E92" w:rsidRPr="00CD09AC" w:rsidRDefault="00B40E92" w:rsidP="00B82A69">
      <w:pPr>
        <w:spacing w:before="120" w:line="250" w:lineRule="exact"/>
        <w:rPr>
          <w:lang w:val="fr-FR"/>
        </w:rPr>
      </w:pPr>
      <w:r w:rsidRPr="00CD09AC">
        <w:rPr>
          <w:lang w:val="fr-FR"/>
        </w:rPr>
        <w:t>5</w:t>
      </w:r>
      <w:r w:rsidRPr="00CD09AC">
        <w:rPr>
          <w:lang w:val="fr-FR"/>
        </w:rPr>
        <w:tab/>
        <w:t>En ce qui concerne la génération de l'ellipse minimale visant à assurer la couver</w:t>
      </w:r>
      <w:r w:rsidR="00C46CBB" w:rsidRPr="00CD09AC">
        <w:rPr>
          <w:lang w:val="fr-FR"/>
        </w:rPr>
        <w:softHyphen/>
      </w:r>
      <w:r w:rsidRPr="00CD09AC">
        <w:rPr>
          <w:lang w:val="fr-FR"/>
        </w:rPr>
        <w:t>ture du territoire national du nouvel Etat Membre, le Bureau prend en compte une erreur de pointage du faisceau de l'antenne de la station spatiale de 0,1° seulement dans la génération de faisceaux elliptiques au titre de l'Article</w:t>
      </w:r>
      <w:r w:rsidR="00C46CBB" w:rsidRPr="00CD09AC">
        <w:rPr>
          <w:lang w:val="fr-FR"/>
        </w:rPr>
        <w:t> </w:t>
      </w:r>
      <w:r w:rsidRPr="00CD09AC">
        <w:rPr>
          <w:lang w:val="fr-FR"/>
        </w:rPr>
        <w:t>7 de l'Appendice</w:t>
      </w:r>
      <w:r w:rsidR="00C46CBB" w:rsidRPr="00CD09AC">
        <w:rPr>
          <w:lang w:val="fr-FR"/>
        </w:rPr>
        <w:t> </w:t>
      </w:r>
      <w:r w:rsidRPr="00CD09AC">
        <w:rPr>
          <w:rStyle w:val="Appref"/>
          <w:b/>
          <w:bCs/>
          <w:color w:val="000000"/>
          <w:lang w:val="fr-FR"/>
        </w:rPr>
        <w:t>30B</w:t>
      </w:r>
      <w:r w:rsidRPr="00CD09AC">
        <w:rPr>
          <w:lang w:val="fr-FR"/>
        </w:rPr>
        <w:t>.</w:t>
      </w:r>
    </w:p>
    <w:p w14:paraId="6471031C" w14:textId="49DFA51C" w:rsidR="00B40E92" w:rsidRPr="00CD09AC" w:rsidRDefault="00B40E92" w:rsidP="00B82A69">
      <w:pPr>
        <w:spacing w:before="120" w:line="250" w:lineRule="exact"/>
        <w:rPr>
          <w:lang w:val="fr-FR"/>
        </w:rPr>
      </w:pPr>
      <w:r w:rsidRPr="00CD09AC">
        <w:rPr>
          <w:lang w:val="fr-FR"/>
        </w:rPr>
        <w:t>6</w:t>
      </w:r>
      <w:r w:rsidRPr="00CD09AC">
        <w:rPr>
          <w:lang w:val="fr-FR"/>
        </w:rPr>
        <w:tab/>
        <w:t>Pour ce qui est des valeurs du gain maximal de l'antenne de la station spatiale d'émission et de la station spatiale de réception en fonction du grand axe et du petit axe de</w:t>
      </w:r>
      <w:r w:rsidR="009769D8" w:rsidRPr="00CD09AC">
        <w:rPr>
          <w:lang w:val="fr-FR"/>
        </w:rPr>
        <w:t> </w:t>
      </w:r>
      <w:r w:rsidRPr="00CD09AC">
        <w:rPr>
          <w:lang w:val="fr-FR"/>
        </w:rPr>
        <w:t xml:space="preserve">l'ellipse, le Bureau, au lieu d'utiliser la définition donnée au § 1.7.2 de l'Annexe 1 de l'Appendice </w:t>
      </w:r>
      <w:r w:rsidRPr="00CD09AC">
        <w:rPr>
          <w:rStyle w:val="Appref"/>
          <w:b/>
          <w:bCs/>
          <w:color w:val="000000"/>
          <w:lang w:val="fr-FR"/>
        </w:rPr>
        <w:t>30B</w:t>
      </w:r>
      <w:r w:rsidRPr="00CD09AC">
        <w:rPr>
          <w:lang w:val="fr-FR"/>
        </w:rPr>
        <w:t>, applique les formules plus précises indiquées respectivement au § 3.13.1 de l'Annexe</w:t>
      </w:r>
      <w:r w:rsidR="00C46CBB" w:rsidRPr="00CD09AC">
        <w:rPr>
          <w:lang w:val="fr-FR"/>
        </w:rPr>
        <w:t> </w:t>
      </w:r>
      <w:r w:rsidRPr="00CD09AC">
        <w:rPr>
          <w:lang w:val="fr-FR"/>
        </w:rPr>
        <w:t>5 et au § 3.7.1 de l'Annexe 3 des Appendices </w:t>
      </w:r>
      <w:r w:rsidRPr="00CD09AC">
        <w:rPr>
          <w:rStyle w:val="Appref"/>
          <w:b/>
          <w:bCs/>
          <w:color w:val="000000"/>
          <w:lang w:val="fr-FR"/>
        </w:rPr>
        <w:t>30</w:t>
      </w:r>
      <w:r w:rsidRPr="00CD09AC">
        <w:rPr>
          <w:lang w:val="fr-FR"/>
        </w:rPr>
        <w:t xml:space="preserve"> et</w:t>
      </w:r>
      <w:r w:rsidR="005076E5" w:rsidRPr="00CD09AC">
        <w:rPr>
          <w:lang w:val="fr-FR"/>
        </w:rPr>
        <w:t> </w:t>
      </w:r>
      <w:r w:rsidRPr="00CD09AC">
        <w:rPr>
          <w:rStyle w:val="Appref"/>
          <w:b/>
          <w:bCs/>
          <w:color w:val="000000"/>
          <w:lang w:val="fr-FR"/>
        </w:rPr>
        <w:t>30A</w:t>
      </w:r>
      <w:r w:rsidRPr="00CD09AC">
        <w:rPr>
          <w:lang w:val="fr-FR"/>
        </w:rPr>
        <w:t>.</w:t>
      </w:r>
    </w:p>
    <w:p w14:paraId="5E912363" w14:textId="77777777" w:rsidR="00B40E92" w:rsidRPr="00CD09AC" w:rsidRDefault="00B40E92" w:rsidP="00B82A69">
      <w:pPr>
        <w:spacing w:before="120" w:line="250" w:lineRule="exact"/>
        <w:rPr>
          <w:lang w:val="fr-FR"/>
        </w:rPr>
      </w:pPr>
      <w:r w:rsidRPr="00CD09AC">
        <w:rPr>
          <w:lang w:val="fr-FR"/>
        </w:rPr>
        <w:t>7</w:t>
      </w:r>
      <w:r w:rsidRPr="00CD09AC">
        <w:rPr>
          <w:lang w:val="fr-FR"/>
        </w:rPr>
        <w:tab/>
        <w:t>En ce qui concerne le calcul des valeurs maximales de la densité de puissance, le</w:t>
      </w:r>
      <w:r w:rsidR="009769D8" w:rsidRPr="00CD09AC">
        <w:rPr>
          <w:lang w:val="fr-FR"/>
        </w:rPr>
        <w:t>  </w:t>
      </w:r>
      <w:r w:rsidRPr="00CD09AC">
        <w:rPr>
          <w:lang w:val="fr-FR"/>
        </w:rPr>
        <w:t>Bureau prend pour hypothèse les conditions correspondant au cas le plus défavorable s'agissant de l'erreur de pointage de l'antenne de la station spatiale et de la précision de rotation pour le calcul du gain d'antenne dans la direction de chaque point de mesure, afin de veiller à ce que les objectifs définis au § 1.2 de l'Annexe</w:t>
      </w:r>
      <w:r w:rsidR="00B77062" w:rsidRPr="00CD09AC">
        <w:rPr>
          <w:lang w:val="fr-FR"/>
        </w:rPr>
        <w:t xml:space="preserve"> </w:t>
      </w:r>
      <w:r w:rsidRPr="00CD09AC">
        <w:rPr>
          <w:lang w:val="fr-FR"/>
        </w:rPr>
        <w:t>1 de l'Appendice</w:t>
      </w:r>
      <w:r w:rsidR="00B77062" w:rsidRPr="00CD09AC">
        <w:rPr>
          <w:lang w:val="fr-FR"/>
        </w:rPr>
        <w:t xml:space="preserve"> </w:t>
      </w:r>
      <w:r w:rsidRPr="00CD09AC">
        <w:rPr>
          <w:rStyle w:val="Appref"/>
          <w:b/>
          <w:bCs/>
          <w:color w:val="000000"/>
          <w:lang w:val="fr-FR"/>
        </w:rPr>
        <w:t>30B</w:t>
      </w:r>
      <w:r w:rsidRPr="00CD09AC">
        <w:rPr>
          <w:lang w:val="fr-FR"/>
        </w:rPr>
        <w:t xml:space="preserve"> concernant le rapport </w:t>
      </w:r>
      <w:r w:rsidRPr="00CD09AC">
        <w:rPr>
          <w:i/>
          <w:iCs/>
          <w:lang w:val="fr-FR"/>
        </w:rPr>
        <w:t>C</w:t>
      </w:r>
      <w:r w:rsidRPr="00CD09AC">
        <w:rPr>
          <w:lang w:val="fr-FR"/>
        </w:rPr>
        <w:t>/</w:t>
      </w:r>
      <w:r w:rsidRPr="00CD09AC">
        <w:rPr>
          <w:i/>
          <w:iCs/>
          <w:lang w:val="fr-FR"/>
        </w:rPr>
        <w:t>N</w:t>
      </w:r>
      <w:r w:rsidRPr="00CD09AC">
        <w:rPr>
          <w:lang w:val="fr-FR"/>
        </w:rPr>
        <w:t xml:space="preserve"> soient satisfaits pour tous les points de mesure. Autrement dit, le Bureau prend pour hypothèse la valeur minimale du gain de l'antenne, compte tenu d'une erreur de pointage de 0,1° et d'une précision de rotation de </w:t>
      </w:r>
      <w:r w:rsidRPr="00CD09AC">
        <w:rPr>
          <w:rFonts w:ascii="Symbol" w:hAnsi="Symbol"/>
          <w:lang w:val="fr-FR"/>
        </w:rPr>
        <w:t></w:t>
      </w:r>
      <w:r w:rsidR="005076E5" w:rsidRPr="00CD09AC">
        <w:rPr>
          <w:sz w:val="4"/>
          <w:szCs w:val="4"/>
          <w:lang w:val="fr-FR"/>
        </w:rPr>
        <w:t> </w:t>
      </w:r>
      <w:r w:rsidRPr="00CD09AC">
        <w:rPr>
          <w:lang w:val="fr-FR"/>
        </w:rPr>
        <w:t>1,0°.</w:t>
      </w:r>
    </w:p>
    <w:p w14:paraId="0107721F" w14:textId="77777777" w:rsidR="00B40E92" w:rsidRPr="00CD09AC" w:rsidRDefault="00B40E92" w:rsidP="00B82A69">
      <w:pPr>
        <w:spacing w:before="120" w:line="250" w:lineRule="exact"/>
        <w:rPr>
          <w:lang w:val="fr-FR"/>
        </w:rPr>
      </w:pPr>
      <w:r w:rsidRPr="00CD09AC">
        <w:rPr>
          <w:lang w:val="fr-FR"/>
        </w:rPr>
        <w:t>8</w:t>
      </w:r>
      <w:r w:rsidRPr="00CD09AC">
        <w:rPr>
          <w:lang w:val="fr-FR"/>
        </w:rPr>
        <w:tab/>
        <w:t>En ce qui concerne le choix de la position orbitale, le Bureau suit une procédure automatisée en procédant par itération, à savoir:</w:t>
      </w:r>
    </w:p>
    <w:p w14:paraId="15B1CAFC" w14:textId="77777777" w:rsidR="00B40E92" w:rsidRPr="00CD09AC" w:rsidRDefault="00B40E92" w:rsidP="00B82A69">
      <w:pPr>
        <w:spacing w:before="120" w:line="250" w:lineRule="exact"/>
        <w:rPr>
          <w:lang w:val="fr-FR"/>
        </w:rPr>
      </w:pPr>
      <w:r w:rsidRPr="00CD09AC">
        <w:rPr>
          <w:lang w:val="fr-FR"/>
        </w:rPr>
        <w:t>8.1</w:t>
      </w:r>
      <w:r w:rsidRPr="00CD09AC">
        <w:rPr>
          <w:lang w:val="fr-FR"/>
        </w:rPr>
        <w:tab/>
        <w:t>Une fois que l'arc de service a été calculé comme indiqué au § 4 ci</w:t>
      </w:r>
      <w:r w:rsidRPr="00CD09AC">
        <w:rPr>
          <w:lang w:val="fr-FR"/>
        </w:rPr>
        <w:noBreakHyphen/>
        <w:t>dessus, on procède par itération pour déterminer la (les) position(s) orbitale(s) appropriée(s) à l'intérieur de cet arc, pour l'allotissement au nouvel Etat Membre en question.</w:t>
      </w:r>
    </w:p>
    <w:p w14:paraId="60C4D01B" w14:textId="77777777" w:rsidR="00B40E92" w:rsidRPr="00CD09AC" w:rsidRDefault="00B40E92" w:rsidP="00B82A69">
      <w:pPr>
        <w:spacing w:before="120" w:line="250" w:lineRule="exact"/>
        <w:rPr>
          <w:lang w:val="fr-FR"/>
        </w:rPr>
      </w:pPr>
      <w:r w:rsidRPr="00CD09AC">
        <w:rPr>
          <w:lang w:val="fr-FR"/>
        </w:rPr>
        <w:t>8.2</w:t>
      </w:r>
      <w:r w:rsidRPr="00CD09AC">
        <w:rPr>
          <w:lang w:val="fr-FR"/>
        </w:rPr>
        <w:tab/>
        <w:t>Le Bureau prend pour hypothèse un pas de position orbitale minimal de 0,1° pendant la procédure.</w:t>
      </w:r>
    </w:p>
    <w:p w14:paraId="797087BD" w14:textId="77777777" w:rsidR="00B40E92" w:rsidRPr="00CD09AC" w:rsidRDefault="00B40E92" w:rsidP="00B82A69">
      <w:pPr>
        <w:spacing w:before="120" w:line="250" w:lineRule="exact"/>
        <w:rPr>
          <w:lang w:val="fr-FR"/>
        </w:rPr>
      </w:pPr>
      <w:r w:rsidRPr="00CD09AC">
        <w:rPr>
          <w:lang w:val="fr-FR"/>
        </w:rPr>
        <w:t>8.3</w:t>
      </w:r>
      <w:r w:rsidRPr="00CD09AC">
        <w:rPr>
          <w:lang w:val="fr-FR"/>
        </w:rPr>
        <w:tab/>
        <w:t>Le Bureau examine chacune des nouvelles positions orbitales possibles:</w:t>
      </w:r>
    </w:p>
    <w:p w14:paraId="6D1463C8" w14:textId="77777777" w:rsidR="00B40E92" w:rsidRPr="00CD09AC" w:rsidRDefault="00B40E92" w:rsidP="00B82A69">
      <w:pPr>
        <w:pStyle w:val="enumlev1"/>
        <w:spacing w:before="80" w:line="250" w:lineRule="exact"/>
        <w:rPr>
          <w:lang w:val="fr-FR"/>
        </w:rPr>
      </w:pPr>
      <w:r w:rsidRPr="00CD09AC">
        <w:rPr>
          <w:lang w:val="fr-FR"/>
        </w:rPr>
        <w:sym w:font="Symbol" w:char="F02D"/>
      </w:r>
      <w:r w:rsidRPr="00CD09AC">
        <w:rPr>
          <w:lang w:val="fr-FR"/>
        </w:rPr>
        <w:tab/>
      </w:r>
      <w:proofErr w:type="gramStart"/>
      <w:r w:rsidRPr="00CD09AC">
        <w:rPr>
          <w:lang w:val="fr-FR"/>
        </w:rPr>
        <w:t>en</w:t>
      </w:r>
      <w:proofErr w:type="gramEnd"/>
      <w:r w:rsidRPr="00CD09AC">
        <w:rPr>
          <w:lang w:val="fr-FR"/>
        </w:rPr>
        <w:t xml:space="preserve"> redéfinissant les paramètres des faisceaux elliptiques;</w:t>
      </w:r>
    </w:p>
    <w:p w14:paraId="4244CEE4" w14:textId="3263D460" w:rsidR="00B40E92" w:rsidRPr="00874451" w:rsidRDefault="00B40E92" w:rsidP="00B82A69">
      <w:pPr>
        <w:pStyle w:val="enumlev1"/>
        <w:spacing w:before="80" w:line="250" w:lineRule="exact"/>
        <w:rPr>
          <w:lang w:val="fr-FR"/>
        </w:rPr>
      </w:pPr>
      <w:r w:rsidRPr="00874451">
        <w:rPr>
          <w:lang w:val="fr-FR"/>
        </w:rPr>
        <w:sym w:font="Symbol" w:char="F02D"/>
      </w:r>
      <w:r w:rsidRPr="00874451">
        <w:rPr>
          <w:lang w:val="fr-FR"/>
        </w:rPr>
        <w:tab/>
      </w:r>
      <w:r w:rsidR="00874451" w:rsidRPr="00874451">
        <w:t xml:space="preserve">en calculant à nouveau les valeurs requises de la densité de puissance pour respecter le critère </w:t>
      </w:r>
      <w:r w:rsidR="00874451" w:rsidRPr="00874451">
        <w:rPr>
          <w:i/>
          <w:iCs/>
        </w:rPr>
        <w:t>C</w:t>
      </w:r>
      <w:r w:rsidR="00874451" w:rsidRPr="00874451">
        <w:t>/</w:t>
      </w:r>
      <w:r w:rsidR="00874451" w:rsidRPr="00874451">
        <w:rPr>
          <w:i/>
          <w:iCs/>
        </w:rPr>
        <w:t>N</w:t>
      </w:r>
      <w:r w:rsidR="00874451" w:rsidRPr="00874451">
        <w:t xml:space="preserve"> indiqué dans le § 1.2 de l'Annexe 1 à l'Appendice </w:t>
      </w:r>
      <w:r w:rsidR="00874451" w:rsidRPr="00874451">
        <w:rPr>
          <w:b/>
          <w:bCs/>
        </w:rPr>
        <w:t>30B</w:t>
      </w:r>
      <w:r w:rsidRPr="00874451">
        <w:rPr>
          <w:lang w:val="fr-FR"/>
        </w:rPr>
        <w:t>;</w:t>
      </w:r>
    </w:p>
    <w:p w14:paraId="026257BC" w14:textId="77777777" w:rsidR="006578C3" w:rsidRDefault="006578C3" w:rsidP="00B82A69">
      <w:pPr>
        <w:pStyle w:val="enumlev1"/>
        <w:spacing w:before="80" w:line="250" w:lineRule="exact"/>
        <w:rPr>
          <w:lang w:val="fr-FR"/>
        </w:rPr>
      </w:pPr>
    </w:p>
    <w:p w14:paraId="56CA2BD9" w14:textId="77777777" w:rsidR="006578C3" w:rsidRDefault="006578C3" w:rsidP="00B82A69">
      <w:pPr>
        <w:pStyle w:val="enumlev1"/>
        <w:spacing w:before="80" w:line="250" w:lineRule="exact"/>
        <w:rPr>
          <w:lang w:val="fr-FR"/>
        </w:rPr>
        <w:sectPr w:rsidR="006578C3" w:rsidSect="00874451">
          <w:headerReference w:type="even" r:id="rId12"/>
          <w:headerReference w:type="default" r:id="rId13"/>
          <w:footnotePr>
            <w:pos w:val="beneathText"/>
          </w:footnotePr>
          <w:pgSz w:w="11907" w:h="16840" w:code="9"/>
          <w:pgMar w:top="1701" w:right="851" w:bottom="1134" w:left="1985" w:header="720" w:footer="482" w:gutter="0"/>
          <w:pgNumType w:start="1"/>
          <w:cols w:space="720"/>
          <w:vAlign w:val="both"/>
        </w:sectPr>
      </w:pPr>
    </w:p>
    <w:p w14:paraId="7B2B2C95" w14:textId="5B0F97D8" w:rsidR="00B82A69" w:rsidRPr="00874451" w:rsidRDefault="00B40E92" w:rsidP="00B82A69">
      <w:pPr>
        <w:pStyle w:val="enumlev1"/>
        <w:spacing w:before="80" w:line="250" w:lineRule="exact"/>
        <w:rPr>
          <w:szCs w:val="24"/>
          <w:lang w:val="fr-FR"/>
        </w:rPr>
      </w:pPr>
      <w:r w:rsidRPr="00874451">
        <w:rPr>
          <w:szCs w:val="24"/>
          <w:lang w:val="fr-FR"/>
        </w:rPr>
        <w:lastRenderedPageBreak/>
        <w:sym w:font="Symbol" w:char="F02D"/>
      </w:r>
      <w:r w:rsidRPr="00874451">
        <w:rPr>
          <w:szCs w:val="24"/>
          <w:lang w:val="fr-FR"/>
        </w:rPr>
        <w:tab/>
      </w:r>
      <w:proofErr w:type="gramStart"/>
      <w:r w:rsidR="00874451" w:rsidRPr="00874451">
        <w:rPr>
          <w:szCs w:val="24"/>
          <w:lang w:val="fr-FR"/>
        </w:rPr>
        <w:t>en</w:t>
      </w:r>
      <w:proofErr w:type="gramEnd"/>
      <w:r w:rsidR="00874451" w:rsidRPr="00874451">
        <w:rPr>
          <w:szCs w:val="24"/>
          <w:lang w:val="fr-FR"/>
        </w:rPr>
        <w:t xml:space="preserve"> déterminant, à l'aide des méthodes et des critères</w:t>
      </w:r>
      <w:r w:rsidR="00874451">
        <w:rPr>
          <w:szCs w:val="24"/>
          <w:lang w:val="fr-FR"/>
        </w:rPr>
        <w:t xml:space="preserve"> </w:t>
      </w:r>
      <w:r w:rsidR="00874451" w:rsidRPr="00874451">
        <w:rPr>
          <w:szCs w:val="24"/>
          <w:lang w:val="fr-FR"/>
        </w:rPr>
        <w:t>contenus dans les Appendices 1 et 2 à la Pièce jointe 1 à la Résolution </w:t>
      </w:r>
      <w:r w:rsidR="00874451" w:rsidRPr="00874451">
        <w:rPr>
          <w:b/>
          <w:bCs/>
          <w:szCs w:val="24"/>
          <w:lang w:val="fr-FR"/>
        </w:rPr>
        <w:t>170 (</w:t>
      </w:r>
      <w:r w:rsidR="00874451" w:rsidRPr="00874451">
        <w:rPr>
          <w:rFonts w:eastAsiaTheme="minorEastAsia"/>
          <w:b/>
          <w:bCs/>
          <w:lang w:val="fr-FR"/>
        </w:rPr>
        <w:t>Rév.</w:t>
      </w:r>
      <w:r w:rsidR="00874451" w:rsidRPr="00874451">
        <w:rPr>
          <w:b/>
          <w:bCs/>
          <w:szCs w:val="24"/>
          <w:lang w:val="fr-FR"/>
        </w:rPr>
        <w:t>CMR-23)</w:t>
      </w:r>
      <w:r w:rsidR="00874451" w:rsidRPr="00874451">
        <w:rPr>
          <w:szCs w:val="24"/>
          <w:lang w:val="fr-FR"/>
        </w:rPr>
        <w:t>, si le nouvel allotissement à cette position orbitale est compatible avec les allotissements et les assignations indiqués au § 7.5 de l'Article 7</w:t>
      </w:r>
      <w:r w:rsidRPr="00874451">
        <w:rPr>
          <w:szCs w:val="24"/>
          <w:lang w:val="fr-FR"/>
        </w:rPr>
        <w:t>.</w:t>
      </w:r>
      <w:bookmarkStart w:id="2" w:name="_Hlk184202210"/>
      <w:r w:rsidR="000A3EF8" w:rsidRPr="00874451">
        <w:rPr>
          <w:sz w:val="16"/>
          <w:szCs w:val="16"/>
        </w:rPr>
        <w:t>     (MOD RRB24/510)</w:t>
      </w:r>
      <w:bookmarkEnd w:id="2"/>
    </w:p>
    <w:p w14:paraId="1399CB4D" w14:textId="77777777" w:rsidR="00D001BB" w:rsidRPr="00D001BB" w:rsidRDefault="00D001BB" w:rsidP="00D001BB">
      <w:pPr>
        <w:rPr>
          <w:lang w:val="fr-FR"/>
        </w:rPr>
      </w:pPr>
      <w:proofErr w:type="gramStart"/>
      <w:r w:rsidRPr="00D001BB">
        <w:rPr>
          <w:b/>
          <w:bCs/>
          <w:lang w:val="fr-FR"/>
        </w:rPr>
        <w:t>Note</w:t>
      </w:r>
      <w:r w:rsidRPr="00D001BB">
        <w:rPr>
          <w:lang w:val="fr-FR"/>
        </w:rPr>
        <w:t>:</w:t>
      </w:r>
      <w:proofErr w:type="gramEnd"/>
      <w:r w:rsidRPr="00D001BB">
        <w:rPr>
          <w:lang w:val="fr-FR"/>
        </w:rPr>
        <w:t xml:space="preserve"> la Conférence mondiale des radiocommunications (Dubaï, 2023) (CMR-23) a pris une décision concernant la procédure de l'Article 7 de l'Appendice </w:t>
      </w:r>
      <w:r w:rsidRPr="00D001BB">
        <w:rPr>
          <w:b/>
          <w:bCs/>
          <w:lang w:val="fr-FR"/>
        </w:rPr>
        <w:t>30B</w:t>
      </w:r>
      <w:r w:rsidRPr="00D001BB">
        <w:rPr>
          <w:lang w:val="fr-FR"/>
        </w:rPr>
        <w:t xml:space="preserve"> à sa 13ème séance plénière (voir le § 13.10 du Document CMR23/528), libellée comme suit:</w:t>
      </w:r>
    </w:p>
    <w:p w14:paraId="0E18F303" w14:textId="6C250053" w:rsidR="00D001BB" w:rsidRPr="00D001BB" w:rsidRDefault="00D001BB" w:rsidP="00D001BB">
      <w:pPr>
        <w:ind w:left="1134" w:hanging="1134"/>
        <w:rPr>
          <w:lang w:val="fr-FR"/>
        </w:rPr>
      </w:pPr>
      <w:r>
        <w:rPr>
          <w:lang w:val="fr-FR"/>
        </w:rPr>
        <w:tab/>
      </w:r>
      <w:r w:rsidRPr="00D001BB">
        <w:rPr>
          <w:lang w:val="fr-FR"/>
        </w:rPr>
        <w:t>13.10</w:t>
      </w:r>
      <w:r w:rsidRPr="00D001BB">
        <w:rPr>
          <w:lang w:val="fr-FR"/>
        </w:rPr>
        <w:tab/>
        <w:t xml:space="preserve">En ce qui concerne les questions relatives à la procédure de l'Article </w:t>
      </w:r>
      <w:r w:rsidRPr="00D001BB">
        <w:rPr>
          <w:b/>
          <w:bCs/>
          <w:lang w:val="fr-FR"/>
        </w:rPr>
        <w:t>7</w:t>
      </w:r>
      <w:r w:rsidRPr="00D001BB">
        <w:rPr>
          <w:lang w:val="fr-FR"/>
        </w:rPr>
        <w:t xml:space="preserve"> de l'Appendice </w:t>
      </w:r>
      <w:r w:rsidRPr="00D001BB">
        <w:rPr>
          <w:b/>
          <w:bCs/>
          <w:lang w:val="fr-FR"/>
        </w:rPr>
        <w:t>30B</w:t>
      </w:r>
      <w:r w:rsidRPr="00D001BB">
        <w:rPr>
          <w:lang w:val="fr-FR"/>
        </w:rPr>
        <w:t xml:space="preserve">, il est proposé que le texte suivant soit approuvé et inclus dans le procès-verbal de la </w:t>
      </w:r>
      <w:proofErr w:type="gramStart"/>
      <w:r w:rsidRPr="00D001BB">
        <w:rPr>
          <w:lang w:val="fr-FR"/>
        </w:rPr>
        <w:t>plénière:</w:t>
      </w:r>
      <w:proofErr w:type="gramEnd"/>
    </w:p>
    <w:p w14:paraId="6E2F69BE" w14:textId="4373434A" w:rsidR="00D001BB" w:rsidRPr="00D001BB" w:rsidRDefault="00D001BB" w:rsidP="00D001BB">
      <w:pPr>
        <w:ind w:left="1134" w:hanging="1134"/>
        <w:rPr>
          <w:lang w:val="fr-FR"/>
        </w:rPr>
      </w:pPr>
      <w:r>
        <w:rPr>
          <w:lang w:val="fr-FR"/>
        </w:rPr>
        <w:tab/>
      </w:r>
      <w:r w:rsidRPr="00D001BB">
        <w:rPr>
          <w:lang w:val="fr-FR"/>
        </w:rPr>
        <w:t>«La CMR-23 exhorte les administrations dont des soumissions pour publication dans la Partie</w:t>
      </w:r>
      <w:r>
        <w:rPr>
          <w:lang w:val="fr-FR"/>
        </w:rPr>
        <w:t> </w:t>
      </w:r>
      <w:r w:rsidRPr="00D001BB">
        <w:rPr>
          <w:lang w:val="fr-FR"/>
        </w:rPr>
        <w:t>A de l'Appendice </w:t>
      </w:r>
      <w:r w:rsidRPr="00D001BB">
        <w:rPr>
          <w:b/>
          <w:bCs/>
          <w:lang w:val="fr-FR"/>
        </w:rPr>
        <w:t>30B</w:t>
      </w:r>
      <w:r w:rsidRPr="00D001BB">
        <w:rPr>
          <w:lang w:val="fr-FR"/>
        </w:rPr>
        <w:t xml:space="preserve"> ont été reçues avant le 12 mars 2020 à faire tout ce qui est en leur pouvoir pour prendre en considération les soumissions au titre de l'Article </w:t>
      </w:r>
      <w:r w:rsidRPr="00D001BB">
        <w:rPr>
          <w:b/>
          <w:bCs/>
          <w:lang w:val="fr-FR"/>
        </w:rPr>
        <w:t>7</w:t>
      </w:r>
      <w:r w:rsidRPr="00D001BB">
        <w:rPr>
          <w:lang w:val="fr-FR"/>
        </w:rPr>
        <w:t xml:space="preserve"> des autres administrations, et à tenir compte des résultats des analyses du Bureau ainsi que des mesures prises en vue d'éviter une nouvelle dégradation des niveaux du rapport </w:t>
      </w:r>
      <w:r w:rsidRPr="00D001BB">
        <w:rPr>
          <w:i/>
          <w:iCs/>
          <w:lang w:val="fr-FR"/>
        </w:rPr>
        <w:t>C</w:t>
      </w:r>
      <w:r w:rsidRPr="00D001BB">
        <w:rPr>
          <w:lang w:val="fr-FR"/>
        </w:rPr>
        <w:t>/</w:t>
      </w:r>
      <w:r w:rsidRPr="00D001BB">
        <w:rPr>
          <w:i/>
          <w:iCs/>
          <w:lang w:val="fr-FR"/>
        </w:rPr>
        <w:t>I</w:t>
      </w:r>
      <w:r w:rsidRPr="00D001BB">
        <w:rPr>
          <w:lang w:val="fr-FR"/>
        </w:rPr>
        <w:t xml:space="preserve"> lors de l'élaboration de leurs soumissions pour publication dans la Partie B.</w:t>
      </w:r>
    </w:p>
    <w:p w14:paraId="2BF88BF2" w14:textId="053F6AA2" w:rsidR="00D001BB" w:rsidRPr="00D001BB" w:rsidRDefault="00D001BB" w:rsidP="00D001BB">
      <w:pPr>
        <w:ind w:left="1134" w:hanging="1134"/>
        <w:rPr>
          <w:lang w:val="fr-FR"/>
        </w:rPr>
      </w:pPr>
      <w:r>
        <w:rPr>
          <w:lang w:val="fr-FR"/>
        </w:rPr>
        <w:tab/>
      </w:r>
      <w:r w:rsidRPr="00D001BB">
        <w:rPr>
          <w:lang w:val="fr-FR"/>
        </w:rPr>
        <w:t xml:space="preserve">La CMR-23 a chargé le Bureau de contacter les sept pays supplémentaires (Érythrée, Estonie, Lettonie, Sainte-Lucie, Tadjikistan, Timor-Leste (Rép. dém. du) et Turkménistan) et l'État de Palestine qui n'ont toujours pas d'allotissement dans le Plan de l'Appendice </w:t>
      </w:r>
      <w:r w:rsidRPr="00D001BB">
        <w:rPr>
          <w:b/>
          <w:bCs/>
          <w:lang w:val="fr-FR"/>
        </w:rPr>
        <w:t>30B</w:t>
      </w:r>
      <w:r w:rsidRPr="00D001BB">
        <w:rPr>
          <w:lang w:val="fr-FR"/>
        </w:rPr>
        <w:t xml:space="preserve"> et d'identifier des ressources orbitales s'ils souhaitent engager le processus au titre de l'Article </w:t>
      </w:r>
      <w:r w:rsidRPr="00D001BB">
        <w:rPr>
          <w:b/>
          <w:bCs/>
          <w:lang w:val="fr-FR"/>
        </w:rPr>
        <w:t>7</w:t>
      </w:r>
      <w:proofErr w:type="gramStart"/>
      <w:r w:rsidRPr="00D001BB">
        <w:rPr>
          <w:lang w:val="fr-FR"/>
        </w:rPr>
        <w:t>.»</w:t>
      </w:r>
      <w:proofErr w:type="gramEnd"/>
      <w:r>
        <w:rPr>
          <w:sz w:val="16"/>
          <w:szCs w:val="16"/>
        </w:rPr>
        <w:t>      </w:t>
      </w:r>
      <w:r w:rsidRPr="00A90E29">
        <w:rPr>
          <w:sz w:val="16"/>
          <w:szCs w:val="16"/>
        </w:rPr>
        <w:t>(</w:t>
      </w:r>
      <w:r w:rsidR="000A3EF8">
        <w:rPr>
          <w:sz w:val="16"/>
          <w:szCs w:val="16"/>
        </w:rPr>
        <w:t>ADD</w:t>
      </w:r>
      <w:r>
        <w:rPr>
          <w:sz w:val="16"/>
          <w:szCs w:val="16"/>
        </w:rPr>
        <w:t> </w:t>
      </w:r>
      <w:r w:rsidRPr="00A90E29">
        <w:rPr>
          <w:sz w:val="16"/>
          <w:szCs w:val="16"/>
        </w:rPr>
        <w:t>RRB2</w:t>
      </w:r>
      <w:r>
        <w:rPr>
          <w:sz w:val="16"/>
          <w:szCs w:val="16"/>
        </w:rPr>
        <w:t>4</w:t>
      </w:r>
      <w:r w:rsidRPr="00A90E29">
        <w:rPr>
          <w:sz w:val="16"/>
          <w:szCs w:val="16"/>
        </w:rPr>
        <w:t>/</w:t>
      </w:r>
      <w:r>
        <w:rPr>
          <w:sz w:val="16"/>
          <w:szCs w:val="16"/>
        </w:rPr>
        <w:t>510</w:t>
      </w:r>
      <w:r w:rsidRPr="00A90E29">
        <w:rPr>
          <w:sz w:val="16"/>
          <w:szCs w:val="16"/>
        </w:rPr>
        <w:t>)</w:t>
      </w:r>
    </w:p>
    <w:p w14:paraId="425A5B92" w14:textId="77777777" w:rsidR="00B40E92" w:rsidRPr="00CD09AC" w:rsidRDefault="00B82A69" w:rsidP="00B82A69">
      <w:pPr>
        <w:spacing w:before="120" w:line="250" w:lineRule="exact"/>
        <w:rPr>
          <w:lang w:val="fr-FR"/>
        </w:rPr>
      </w:pPr>
      <w:r w:rsidRPr="00CD09AC">
        <w:rPr>
          <w:lang w:val="fr-FR"/>
        </w:rPr>
        <w:t>9</w:t>
      </w:r>
      <w:r w:rsidRPr="00CD09AC">
        <w:rPr>
          <w:lang w:val="fr-FR"/>
        </w:rPr>
        <w:tab/>
        <w:t xml:space="preserve">Le Bureau identifie la ou les positions orbitales les plus appropriées en vue de réduire le plus possible les dépassements du rapport </w:t>
      </w:r>
      <w:r w:rsidRPr="00CD09AC">
        <w:rPr>
          <w:i/>
          <w:iCs/>
          <w:lang w:val="fr-FR"/>
        </w:rPr>
        <w:t>C</w:t>
      </w:r>
      <w:r w:rsidRPr="00CD09AC">
        <w:rPr>
          <w:lang w:val="fr-FR"/>
        </w:rPr>
        <w:t>/</w:t>
      </w:r>
      <w:r w:rsidRPr="00CD09AC">
        <w:rPr>
          <w:i/>
          <w:iCs/>
          <w:lang w:val="fr-FR"/>
        </w:rPr>
        <w:t>I</w:t>
      </w:r>
      <w:r w:rsidRPr="00CD09AC">
        <w:rPr>
          <w:lang w:val="fr-FR"/>
        </w:rPr>
        <w:t xml:space="preserve"> causés ou subis par un autre (d'autres) allotissement(s) ou une autre (d'autres) assignation(s) de l'Appendice</w:t>
      </w:r>
      <w:r w:rsidRPr="00CD09AC">
        <w:rPr>
          <w:b/>
          <w:bCs/>
          <w:lang w:val="fr-FR"/>
        </w:rPr>
        <w:t xml:space="preserve"> </w:t>
      </w:r>
      <w:r w:rsidRPr="00CD09AC">
        <w:rPr>
          <w:rStyle w:val="Appref"/>
          <w:b/>
          <w:bCs/>
          <w:color w:val="000000"/>
          <w:lang w:val="fr-FR"/>
        </w:rPr>
        <w:t>30B</w:t>
      </w:r>
      <w:r w:rsidRPr="00CD09AC">
        <w:rPr>
          <w:lang w:val="fr-FR"/>
        </w:rPr>
        <w:t xml:space="preserve"> et envoie ces renseignements à l'administration requérante, conformément aux dispositions du § 7.3 de l'Article </w:t>
      </w:r>
      <w:r w:rsidRPr="00D001BB">
        <w:rPr>
          <w:b/>
          <w:bCs/>
          <w:lang w:val="fr-FR"/>
        </w:rPr>
        <w:t>7</w:t>
      </w:r>
      <w:r w:rsidRPr="00CD09AC">
        <w:rPr>
          <w:lang w:val="fr-FR"/>
        </w:rPr>
        <w:t>.</w:t>
      </w:r>
    </w:p>
    <w:p w14:paraId="1F77CB3B" w14:textId="77777777" w:rsidR="00FD7FF2" w:rsidRPr="00CD09AC" w:rsidRDefault="00FD7FF2" w:rsidP="00FD7FF2">
      <w:pPr>
        <w:pStyle w:val="Heading8"/>
        <w:rPr>
          <w:lang w:val="fr-FR"/>
        </w:rPr>
      </w:pPr>
      <w:r w:rsidRPr="00CD09AC">
        <w:rPr>
          <w:lang w:val="fr-FR"/>
        </w:rPr>
        <w:t xml:space="preserve">7.5 </w:t>
      </w:r>
      <w:r w:rsidRPr="00CD09AC">
        <w:rPr>
          <w:i/>
          <w:iCs/>
          <w:lang w:val="fr-FR"/>
        </w:rPr>
        <w:t>a)</w:t>
      </w:r>
    </w:p>
    <w:p w14:paraId="51BC4C15" w14:textId="77777777" w:rsidR="00FD7FF2" w:rsidRPr="00CD09AC" w:rsidRDefault="00FD7FF2" w:rsidP="00FD7FF2">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3FBF9D91" w14:textId="77777777" w:rsidR="0050103B" w:rsidRPr="00CD09AC" w:rsidRDefault="0050103B" w:rsidP="0050103B">
      <w:pPr>
        <w:pStyle w:val="Heading8"/>
        <w:spacing w:before="240"/>
        <w:rPr>
          <w:lang w:val="fr-FR"/>
        </w:rPr>
      </w:pPr>
      <w:r w:rsidRPr="00CD09AC">
        <w:rPr>
          <w:color w:val="000000"/>
          <w:lang w:val="fr-FR"/>
        </w:rPr>
        <w:t>Art</w:t>
      </w:r>
      <w:r w:rsidRPr="00CD09AC">
        <w:rPr>
          <w:lang w:val="fr-FR"/>
        </w:rPr>
        <w:t>. 8</w:t>
      </w:r>
    </w:p>
    <w:p w14:paraId="350C98A5" w14:textId="77777777" w:rsidR="00A32C63" w:rsidRPr="00CD09AC" w:rsidRDefault="00A32C63" w:rsidP="00A32C63">
      <w:pPr>
        <w:pStyle w:val="Title4"/>
      </w:pPr>
      <w:r w:rsidRPr="00CD09AC">
        <w:t xml:space="preserve">Procédures à suivre pour la notification et l'inscription dans le Fichier de référence d'assignations dans les bandes planifiées concernant </w:t>
      </w:r>
      <w:r w:rsidRPr="00CD09AC">
        <w:br/>
        <w:t>le service fixe par satellite</w:t>
      </w:r>
    </w:p>
    <w:p w14:paraId="3F48CB08" w14:textId="77777777" w:rsidR="00A32C63" w:rsidRPr="00CD09AC" w:rsidRDefault="00A32C63" w:rsidP="006F2A91">
      <w:pPr>
        <w:pStyle w:val="Heading8"/>
        <w:rPr>
          <w:lang w:val="fr-FR"/>
        </w:rPr>
      </w:pPr>
      <w:r w:rsidRPr="00CD09AC">
        <w:rPr>
          <w:lang w:val="fr-FR"/>
        </w:rPr>
        <w:t>8.8</w:t>
      </w:r>
    </w:p>
    <w:p w14:paraId="66A1CA9F" w14:textId="77777777" w:rsidR="00A32C63" w:rsidRDefault="00A32C63" w:rsidP="00A32C63">
      <w:pPr>
        <w:spacing w:before="160"/>
        <w:rPr>
          <w:color w:val="000000"/>
          <w:lang w:val="fr-FR"/>
        </w:rPr>
      </w:pPr>
      <w:r w:rsidRPr="00CD09AC">
        <w:rPr>
          <w:lang w:val="fr-FR"/>
        </w:rPr>
        <w:t>Voir les Règles de procédure relatives au</w:t>
      </w:r>
      <w:r w:rsidRPr="00CD09AC">
        <w:rPr>
          <w:color w:val="000000"/>
          <w:lang w:val="fr-FR"/>
        </w:rPr>
        <w:t xml:space="preserve"> § 6.3 </w:t>
      </w:r>
      <w:r w:rsidRPr="00CD09AC">
        <w:rPr>
          <w:i/>
          <w:iCs/>
          <w:color w:val="000000"/>
          <w:lang w:val="fr-FR"/>
        </w:rPr>
        <w:t>a)</w:t>
      </w:r>
      <w:r w:rsidRPr="00CD09AC">
        <w:rPr>
          <w:color w:val="000000"/>
          <w:lang w:val="fr-FR"/>
        </w:rPr>
        <w:t>.</w:t>
      </w:r>
    </w:p>
    <w:p w14:paraId="4D0C6E24" w14:textId="77777777" w:rsidR="009E054F" w:rsidRDefault="009E054F" w:rsidP="009E054F">
      <w:pPr>
        <w:rPr>
          <w:lang w:val="fr-FR"/>
        </w:rPr>
      </w:pPr>
    </w:p>
    <w:p w14:paraId="62DE2727" w14:textId="77777777" w:rsidR="00D001BB" w:rsidRDefault="00D001BB" w:rsidP="009E054F">
      <w:pPr>
        <w:rPr>
          <w:lang w:val="fr-FR"/>
        </w:rPr>
        <w:sectPr w:rsidR="00D001BB" w:rsidSect="006578C3">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78F9D1E5" w14:textId="77777777" w:rsidR="006578C3" w:rsidRPr="006578C3" w:rsidRDefault="006578C3" w:rsidP="006578C3">
      <w:pPr>
        <w:pStyle w:val="Heading8"/>
        <w:rPr>
          <w:lang w:val="fr-FR"/>
        </w:rPr>
      </w:pPr>
      <w:r w:rsidRPr="006578C3">
        <w:rPr>
          <w:lang w:val="fr-FR"/>
        </w:rPr>
        <w:lastRenderedPageBreak/>
        <w:t>8.16</w:t>
      </w:r>
      <w:r w:rsidRPr="006578C3">
        <w:rPr>
          <w:lang w:val="fr-FR"/>
        </w:rPr>
        <w:tab/>
      </w:r>
      <w:r w:rsidRPr="006578C3">
        <w:rPr>
          <w:lang w:val="fr-FR"/>
        </w:rPr>
        <w:tab/>
      </w:r>
      <w:r w:rsidRPr="006578C3">
        <w:rPr>
          <w:b w:val="0"/>
          <w:bCs/>
          <w:sz w:val="16"/>
          <w:szCs w:val="16"/>
          <w:lang w:val="fr-FR"/>
        </w:rPr>
        <w:t>(ADD RRB23/498)</w:t>
      </w:r>
    </w:p>
    <w:p w14:paraId="502223D5" w14:textId="77777777" w:rsidR="006578C3" w:rsidRPr="006578C3" w:rsidRDefault="006578C3" w:rsidP="006578C3">
      <w:pPr>
        <w:rPr>
          <w:lang w:val="fr-CH"/>
        </w:rPr>
      </w:pPr>
      <w:r w:rsidRPr="006578C3">
        <w:rPr>
          <w:lang w:val="fr-CH"/>
        </w:rPr>
        <w:t>Le § 6.31</w:t>
      </w:r>
      <w:r w:rsidRPr="006578C3">
        <w:rPr>
          <w:i/>
          <w:iCs/>
          <w:lang w:val="fr-CH"/>
        </w:rPr>
        <w:t>bis</w:t>
      </w:r>
      <w:r w:rsidRPr="006578C3">
        <w:rPr>
          <w:lang w:val="fr-CH"/>
        </w:rPr>
        <w:t xml:space="preserve"> de l'Appendice </w:t>
      </w:r>
      <w:r w:rsidRPr="006578C3">
        <w:rPr>
          <w:b/>
          <w:bCs/>
          <w:lang w:val="fr-CH"/>
        </w:rPr>
        <w:t>30B</w:t>
      </w:r>
      <w:r w:rsidRPr="006578C3">
        <w:rPr>
          <w:lang w:val="fr-CH"/>
        </w:rPr>
        <w:t xml:space="preserve"> indique les mesures qui doivent être prises concernant la soumission ou la mise à jour des renseignements au titre de la Résolution </w:t>
      </w:r>
      <w:r w:rsidRPr="006578C3">
        <w:rPr>
          <w:b/>
          <w:bCs/>
          <w:lang w:val="fr-CH"/>
        </w:rPr>
        <w:t>49</w:t>
      </w:r>
      <w:r w:rsidRPr="006578C3">
        <w:rPr>
          <w:lang w:val="fr-CH"/>
        </w:rPr>
        <w:t>, lorsque le délai réglementaire applicable à la mise en service d'assignations de fréquence est prorogé en cas d'échec de lancement.</w:t>
      </w:r>
    </w:p>
    <w:p w14:paraId="48C582E3" w14:textId="77777777" w:rsidR="006578C3" w:rsidRPr="006578C3" w:rsidRDefault="006578C3" w:rsidP="006578C3">
      <w:pPr>
        <w:rPr>
          <w:lang w:val="fr-CH"/>
        </w:rPr>
      </w:pPr>
      <w:r w:rsidRPr="006578C3">
        <w:rPr>
          <w:lang w:val="fr-CH"/>
        </w:rPr>
        <w:t>Cependant, lorsque le Comité décide d'accorder une prorogation du délai réglementaire applicable à la mise en service d'assignations de fréquence en cas de force majeure ou de retard dû à l'embarquement d'un autre satellite sur le même lanceur, cette décision soulève également la question de savoir s'il convient de proroger le délai applicable à la soumission des renseignements au titre de la Résolution </w:t>
      </w:r>
      <w:r w:rsidRPr="006578C3">
        <w:rPr>
          <w:b/>
          <w:bCs/>
          <w:lang w:val="fr-CH"/>
        </w:rPr>
        <w:t>49 (Rév.CMR-19)</w:t>
      </w:r>
      <w:r w:rsidRPr="006578C3">
        <w:rPr>
          <w:lang w:val="fr-CH"/>
        </w:rPr>
        <w:t>, ainsi que des renseignements de notification.</w:t>
      </w:r>
    </w:p>
    <w:p w14:paraId="5C3B1681" w14:textId="77777777" w:rsidR="006578C3" w:rsidRPr="006578C3" w:rsidRDefault="006578C3" w:rsidP="006578C3">
      <w:pPr>
        <w:rPr>
          <w:lang w:val="fr-CH"/>
        </w:rPr>
      </w:pPr>
      <w:r w:rsidRPr="006578C3">
        <w:rPr>
          <w:lang w:val="fr-CH"/>
        </w:rPr>
        <w:t xml:space="preserve">Étant donné qu'une question analogue relative aux services non planifiés est traitée dans la Règle de procédure relative aux numéros </w:t>
      </w:r>
      <w:r w:rsidRPr="006578C3">
        <w:rPr>
          <w:b/>
          <w:bCs/>
          <w:lang w:val="fr-CH"/>
        </w:rPr>
        <w:t>11.48</w:t>
      </w:r>
      <w:r w:rsidRPr="006578C3">
        <w:rPr>
          <w:lang w:val="fr-CH"/>
        </w:rPr>
        <w:t xml:space="preserve"> et </w:t>
      </w:r>
      <w:r w:rsidRPr="006578C3">
        <w:rPr>
          <w:b/>
          <w:bCs/>
          <w:lang w:val="fr-CH"/>
        </w:rPr>
        <w:t>11.48.1</w:t>
      </w:r>
      <w:r w:rsidRPr="006578C3">
        <w:rPr>
          <w:lang w:val="fr-CH"/>
        </w:rPr>
        <w:t xml:space="preserve">, le Comité a décidé que la Règle de procédure relative aux numéros </w:t>
      </w:r>
      <w:r w:rsidRPr="006578C3">
        <w:rPr>
          <w:b/>
          <w:bCs/>
          <w:lang w:val="fr-CH"/>
        </w:rPr>
        <w:t xml:space="preserve">11.48 </w:t>
      </w:r>
      <w:r w:rsidRPr="006578C3">
        <w:rPr>
          <w:lang w:val="fr-CH"/>
        </w:rPr>
        <w:t xml:space="preserve">et </w:t>
      </w:r>
      <w:r w:rsidRPr="006578C3">
        <w:rPr>
          <w:b/>
          <w:bCs/>
          <w:lang w:val="fr-CH"/>
        </w:rPr>
        <w:t>11.48.1</w:t>
      </w:r>
      <w:r w:rsidRPr="006578C3">
        <w:rPr>
          <w:lang w:val="fr-CH"/>
        </w:rPr>
        <w:t xml:space="preserve"> du Règlement des radiocommunications doit également s'appliquer à la prorogation du délai applicable à la mise en service d'assignations de fréquence relevant de l'Appendice </w:t>
      </w:r>
      <w:r w:rsidRPr="006578C3">
        <w:rPr>
          <w:b/>
          <w:bCs/>
          <w:lang w:val="fr-CH"/>
        </w:rPr>
        <w:t>30B</w:t>
      </w:r>
      <w:r w:rsidRPr="006578C3">
        <w:rPr>
          <w:lang w:val="fr-CH"/>
        </w:rPr>
        <w:t>, étant entendu que le délai réglementaire applicable à la mise en service d'assignations de fréquence d'un réseau à satellite relevant desdits Appendices est de huit ans.</w:t>
      </w:r>
    </w:p>
    <w:p w14:paraId="26AA547B" w14:textId="77777777" w:rsidR="00FD7FF2" w:rsidRPr="00CD09AC" w:rsidRDefault="00FD7FF2" w:rsidP="00FD7FF2">
      <w:pPr>
        <w:pStyle w:val="Heading8"/>
        <w:jc w:val="left"/>
        <w:rPr>
          <w:lang w:val="fr-FR"/>
        </w:rPr>
      </w:pPr>
      <w:r w:rsidRPr="00CD09AC">
        <w:rPr>
          <w:lang w:val="fr-FR"/>
        </w:rPr>
        <w:t xml:space="preserve">An. 3 et </w:t>
      </w:r>
      <w:r w:rsidRPr="00CD09AC">
        <w:rPr>
          <w:lang w:val="fr-FR"/>
        </w:rPr>
        <w:br/>
        <w:t>An. 4</w:t>
      </w:r>
    </w:p>
    <w:p w14:paraId="292E4BA1" w14:textId="728902E3" w:rsidR="006578C3" w:rsidRDefault="00FD7FF2" w:rsidP="00097CAC">
      <w:pPr>
        <w:spacing w:before="240"/>
        <w:rPr>
          <w:lang w:val="fr-FR"/>
        </w:rPr>
      </w:pPr>
      <w:r w:rsidRPr="00CD09AC">
        <w:rPr>
          <w:lang w:val="fr-FR"/>
        </w:rPr>
        <w:t>1</w:t>
      </w:r>
      <w:r w:rsidRPr="00CD09AC">
        <w:rPr>
          <w:lang w:val="fr-FR"/>
        </w:rPr>
        <w:tab/>
        <w:t xml:space="preserve">La CMR-07 a modifié l'Appendice </w:t>
      </w:r>
      <w:r w:rsidRPr="00CD09AC">
        <w:rPr>
          <w:b/>
          <w:bCs/>
          <w:lang w:val="fr-FR"/>
        </w:rPr>
        <w:t>30B</w:t>
      </w:r>
      <w:r w:rsidRPr="00CD09AC">
        <w:rPr>
          <w:lang w:val="fr-FR"/>
        </w:rPr>
        <w:t xml:space="preserve"> et a ajouté des limites de puissance surfacique dans l'Annexe 3 dudit Appendice, afin de protéger les allotissements et assignations du SFS contre les brouillages susceptibles d'être causés par les assignations du SFS situées en dehors des arcs définis dans l'Annexe 4. Bien que la largeur de bande de référence de ces limites soit de 1 MHz, la valeur moyenne de la densité maximale de puissance utilisée pour le calcul de la puissance surfacique est soumise en dB (W/Hz), établie sur la largeur de bande nécessaire (C.8.h) et sur 4 kHz (C.8.b.2), conformément à l'Appendice</w:t>
      </w:r>
      <w:r w:rsidR="00097CAC" w:rsidRPr="00CD09AC">
        <w:rPr>
          <w:lang w:val="fr-FR"/>
        </w:rPr>
        <w:t> </w:t>
      </w:r>
      <w:r w:rsidRPr="00CD09AC">
        <w:rPr>
          <w:b/>
          <w:bCs/>
          <w:lang w:val="fr-FR"/>
        </w:rPr>
        <w:t>4</w:t>
      </w:r>
      <w:r w:rsidRPr="00CD09AC">
        <w:rPr>
          <w:lang w:val="fr-FR"/>
        </w:rPr>
        <w:t>. Cette différence entre la largeur de bande de référence pour les limites et la largeur de bande moyenne pour la soumission risque de conduire à une surestimation des brouillages, lorsqu'on utilise un petit nombre de porteuses à bande étroite, par exemple des porteuses pour la poursuite, la télémesure et la télécommande. Par ailleurs, une porteuse à bande étroite risque de causer des brouillages importants à d'autres porteuses à bande étroite, si ces porteuses se chevauchent accidentellement.</w:t>
      </w:r>
    </w:p>
    <w:p w14:paraId="0D40C304" w14:textId="14B32F8C" w:rsidR="006B78C2" w:rsidRDefault="006B78C2" w:rsidP="00097CAC">
      <w:pPr>
        <w:spacing w:before="240"/>
        <w:rPr>
          <w:lang w:val="fr-FR"/>
        </w:rPr>
      </w:pPr>
    </w:p>
    <w:p w14:paraId="3933C6CE" w14:textId="37DE2DCB" w:rsidR="006B78C2" w:rsidRDefault="006B78C2" w:rsidP="00097CAC">
      <w:pPr>
        <w:spacing w:before="240"/>
        <w:rPr>
          <w:lang w:val="fr-FR"/>
        </w:rPr>
      </w:pPr>
    </w:p>
    <w:p w14:paraId="618F94FE" w14:textId="549A79D9" w:rsidR="006B78C2" w:rsidRDefault="006B78C2" w:rsidP="00097CAC">
      <w:pPr>
        <w:spacing w:before="240"/>
        <w:rPr>
          <w:lang w:val="fr-FR"/>
        </w:rPr>
      </w:pPr>
    </w:p>
    <w:p w14:paraId="634838A7" w14:textId="77777777" w:rsidR="006B78C2" w:rsidRDefault="006B78C2" w:rsidP="00097CAC">
      <w:pPr>
        <w:spacing w:before="240"/>
        <w:rPr>
          <w:lang w:val="fr-FR"/>
        </w:rPr>
      </w:pPr>
    </w:p>
    <w:p w14:paraId="6F77BB49" w14:textId="0CD6594C" w:rsidR="00FD7FF2" w:rsidRDefault="00FD7FF2" w:rsidP="00097CAC">
      <w:pPr>
        <w:spacing w:before="240"/>
        <w:rPr>
          <w:lang w:val="fr-FR"/>
        </w:rPr>
      </w:pPr>
    </w:p>
    <w:p w14:paraId="166D1FAB" w14:textId="77777777" w:rsidR="006578C3" w:rsidRDefault="006578C3" w:rsidP="00097CAC">
      <w:pPr>
        <w:spacing w:before="240"/>
        <w:rPr>
          <w:lang w:val="fr-FR"/>
        </w:rPr>
        <w:sectPr w:rsidR="006578C3" w:rsidSect="006578C3">
          <w:footnotePr>
            <w:pos w:val="beneathText"/>
          </w:footnotePr>
          <w:pgSz w:w="11907" w:h="16840" w:code="9"/>
          <w:pgMar w:top="1701" w:right="851" w:bottom="1134" w:left="1985" w:header="720" w:footer="482" w:gutter="0"/>
          <w:cols w:space="720"/>
          <w:vAlign w:val="both"/>
        </w:sectPr>
      </w:pPr>
    </w:p>
    <w:p w14:paraId="6F99ED3B" w14:textId="77777777" w:rsidR="00FD7FF2" w:rsidRPr="00CD09AC" w:rsidRDefault="00FD7FF2" w:rsidP="00FD7FF2">
      <w:pPr>
        <w:spacing w:before="240"/>
        <w:rPr>
          <w:lang w:val="fr-FR"/>
        </w:rPr>
      </w:pPr>
      <w:r w:rsidRPr="00CD09AC">
        <w:rPr>
          <w:lang w:val="fr-FR"/>
        </w:rPr>
        <w:lastRenderedPageBreak/>
        <w:t>2</w:t>
      </w:r>
      <w:r w:rsidRPr="00CD09AC">
        <w:rPr>
          <w:lang w:val="fr-FR"/>
        </w:rPr>
        <w:tab/>
        <w:t>Afin d'éviter de surestimer les brouillages causés par des porteuses à bande étroite à des porteuses à large bande en intégrant la puissance des porteuses à bande étroite entre 1 Hz et 1 MHz, tout en mettant en place un mécanisme permettant de résoudre les brouillages imprévus entre porteuses à bande étroite, le Comité a décidé d'agir comme suit:</w:t>
      </w:r>
    </w:p>
    <w:p w14:paraId="7F2EDB94" w14:textId="77777777" w:rsidR="00FD7FF2" w:rsidRPr="00CD09AC" w:rsidRDefault="00FD7FF2" w:rsidP="00FD7FF2">
      <w:pPr>
        <w:spacing w:before="240"/>
        <w:rPr>
          <w:lang w:val="fr-FR"/>
        </w:rPr>
      </w:pPr>
      <w:r w:rsidRPr="00CD09AC">
        <w:rPr>
          <w:lang w:val="fr-FR"/>
        </w:rPr>
        <w:t>2.1</w:t>
      </w:r>
      <w:r w:rsidRPr="00CD09AC">
        <w:rPr>
          <w:lang w:val="fr-FR"/>
        </w:rPr>
        <w:tab/>
        <w:t>Dans le cas où:</w:t>
      </w:r>
    </w:p>
    <w:p w14:paraId="43AAB361" w14:textId="77777777" w:rsidR="00FD7FF2" w:rsidRPr="00CD09AC" w:rsidRDefault="00FD7FF2" w:rsidP="00D54032">
      <w:pPr>
        <w:pStyle w:val="enumlev1"/>
        <w:rPr>
          <w:lang w:val="fr-FR"/>
        </w:rPr>
      </w:pPr>
      <w:r w:rsidRPr="00CD09AC">
        <w:rPr>
          <w:i/>
          <w:iCs/>
          <w:lang w:val="fr-FR"/>
        </w:rPr>
        <w:t>a)</w:t>
      </w:r>
      <w:r w:rsidRPr="00CD09AC">
        <w:rPr>
          <w:lang w:val="fr-FR"/>
        </w:rPr>
        <w:tab/>
        <w:t>la densité maximale de puissance en dB(W/Hz), valeur moyenne calculée dans la bande de 1 MHz la plus défavorable, fournie à l'entrée de l'antenne, compte tenu du nombre de porteuses et du niveau de puissance de chaque porteuse devant être exploitée dans la largeur de bande moyenne de 1 MHz,</w:t>
      </w:r>
    </w:p>
    <w:p w14:paraId="06B05866" w14:textId="77777777" w:rsidR="00FD7FF2" w:rsidRPr="00CD09AC" w:rsidRDefault="00FD7FF2" w:rsidP="00FD7FF2">
      <w:pPr>
        <w:spacing w:before="240"/>
        <w:rPr>
          <w:lang w:val="fr-FR"/>
        </w:rPr>
      </w:pPr>
      <w:proofErr w:type="gramStart"/>
      <w:r w:rsidRPr="00CD09AC">
        <w:rPr>
          <w:lang w:val="fr-FR"/>
        </w:rPr>
        <w:t>est</w:t>
      </w:r>
      <w:proofErr w:type="gramEnd"/>
      <w:r w:rsidRPr="00CD09AC">
        <w:rPr>
          <w:lang w:val="fr-FR"/>
        </w:rPr>
        <w:t xml:space="preserve"> inférieure à</w:t>
      </w:r>
    </w:p>
    <w:p w14:paraId="363BF176" w14:textId="77777777" w:rsidR="00FD7FF2" w:rsidRPr="00CD09AC" w:rsidRDefault="00FD7FF2" w:rsidP="00D54032">
      <w:pPr>
        <w:pStyle w:val="enumlev1"/>
        <w:rPr>
          <w:lang w:val="fr-FR"/>
        </w:rPr>
      </w:pPr>
      <w:r w:rsidRPr="00CD09AC">
        <w:rPr>
          <w:i/>
          <w:iCs/>
          <w:lang w:val="fr-FR"/>
        </w:rPr>
        <w:t>b)</w:t>
      </w:r>
      <w:r w:rsidRPr="00CD09AC">
        <w:rPr>
          <w:i/>
          <w:iCs/>
          <w:lang w:val="fr-FR"/>
        </w:rPr>
        <w:tab/>
      </w:r>
      <w:r w:rsidRPr="00CD09AC">
        <w:rPr>
          <w:lang w:val="fr-FR"/>
        </w:rPr>
        <w:t>la valeur moyenne de la densité maximale de puissance, en dB(W/Hz), établie sur la largeur de bande nécessaire (C.8.h);</w:t>
      </w:r>
    </w:p>
    <w:p w14:paraId="34AAFC62" w14:textId="77777777" w:rsidR="00FD7FF2" w:rsidRPr="00CD09AC" w:rsidRDefault="00FD7FF2" w:rsidP="00FD7FF2">
      <w:pPr>
        <w:spacing w:before="240"/>
        <w:rPr>
          <w:lang w:val="fr-FR"/>
        </w:rPr>
      </w:pPr>
      <w:r w:rsidRPr="00CD09AC">
        <w:rPr>
          <w:lang w:val="fr-FR"/>
        </w:rPr>
        <w:t>2.2</w:t>
      </w:r>
      <w:r w:rsidRPr="00CD09AC">
        <w:rPr>
          <w:lang w:val="fr-FR"/>
        </w:rPr>
        <w:tab/>
        <w:t>la valeur de la densité de puissance décrite au point a) ci-dessus devra être fournie par une administration notificatrice, conjointement avec les renseignements pertinents au titre de l'Appendice </w:t>
      </w:r>
      <w:r w:rsidRPr="00CD09AC">
        <w:rPr>
          <w:b/>
          <w:bCs/>
          <w:lang w:val="fr-FR"/>
        </w:rPr>
        <w:t>4</w:t>
      </w:r>
      <w:r w:rsidRPr="00CD09AC">
        <w:rPr>
          <w:lang w:val="fr-FR"/>
        </w:rPr>
        <w:t>;</w:t>
      </w:r>
    </w:p>
    <w:p w14:paraId="1EA0FE24" w14:textId="77777777" w:rsidR="00FD7FF2" w:rsidRPr="00CD09AC" w:rsidRDefault="00FD7FF2" w:rsidP="00FD7FF2">
      <w:pPr>
        <w:spacing w:before="240"/>
        <w:rPr>
          <w:lang w:val="fr-FR"/>
        </w:rPr>
      </w:pPr>
      <w:r w:rsidRPr="00CD09AC">
        <w:rPr>
          <w:lang w:val="fr-FR"/>
        </w:rPr>
        <w:t>2.3</w:t>
      </w:r>
      <w:r w:rsidRPr="00CD09AC">
        <w:rPr>
          <w:lang w:val="fr-FR"/>
        </w:rPr>
        <w:tab/>
        <w:t>le Bureau utilisera la valeur de la densité de puissance soumise telle qu'elle est décrite au point 2.1 a) ci-dessus aux fins de l'examen au titre des Annexes 3 et 4 et la publiera dans la Section spéciale correspondante;</w:t>
      </w:r>
    </w:p>
    <w:p w14:paraId="214269F2" w14:textId="17C4AE89" w:rsidR="00FD7FF2" w:rsidRDefault="00FD7FF2" w:rsidP="00FD26F1">
      <w:pPr>
        <w:rPr>
          <w:lang w:val="fr-FR"/>
        </w:rPr>
      </w:pPr>
      <w:r w:rsidRPr="00CD09AC">
        <w:rPr>
          <w:lang w:val="fr-FR"/>
        </w:rPr>
        <w:t>2.4</w:t>
      </w:r>
      <w:r w:rsidRPr="00CD09AC">
        <w:rPr>
          <w:lang w:val="fr-FR"/>
        </w:rPr>
        <w:tab/>
        <w:t>Les assignations en service dont la valeur de densité de puissance décrite au point</w:t>
      </w:r>
      <w:r w:rsidR="00FD26F1" w:rsidRPr="00CD09AC">
        <w:rPr>
          <w:lang w:val="fr-FR"/>
        </w:rPr>
        <w:t> </w:t>
      </w:r>
      <w:r w:rsidRPr="00CD09AC">
        <w:rPr>
          <w:lang w:val="fr-FR"/>
        </w:rPr>
        <w:t xml:space="preserve">2.1 b) est supérieure à la valeur indiquée au point 2.1 a) ne devront pas causer de </w:t>
      </w:r>
      <w:r w:rsidRPr="00CD09AC">
        <w:rPr>
          <w:bCs/>
          <w:lang w:val="fr-FR"/>
        </w:rPr>
        <w:t>brouillages préjudiciables</w:t>
      </w:r>
      <w:r w:rsidRPr="00CD09AC">
        <w:rPr>
          <w:lang w:val="fr-FR"/>
        </w:rPr>
        <w:t xml:space="preserve"> aux assignations inscrites antérieurement dans le </w:t>
      </w:r>
      <w:r w:rsidRPr="00CD09AC">
        <w:rPr>
          <w:iCs/>
          <w:color w:val="000000"/>
          <w:lang w:val="fr-FR"/>
        </w:rPr>
        <w:t>Fichier de référence international des fréquences</w:t>
      </w:r>
      <w:r w:rsidRPr="00CD09AC">
        <w:rPr>
          <w:lang w:val="fr-FR"/>
        </w:rPr>
        <w:t>, ni prétendre à une protection vis</w:t>
      </w:r>
      <w:r w:rsidRPr="00CD09AC">
        <w:rPr>
          <w:lang w:val="fr-FR"/>
        </w:rPr>
        <w:noBreakHyphen/>
        <w:t>à</w:t>
      </w:r>
      <w:r w:rsidRPr="00CD09AC">
        <w:rPr>
          <w:lang w:val="fr-FR"/>
        </w:rPr>
        <w:noBreakHyphen/>
        <w:t>vis de ces assignations.</w:t>
      </w:r>
    </w:p>
    <w:p w14:paraId="4B393409" w14:textId="77777777" w:rsidR="00045B98" w:rsidRPr="001674FC" w:rsidRDefault="00045B98" w:rsidP="00CA2612">
      <w:pPr>
        <w:spacing w:before="80"/>
        <w:rPr>
          <w:color w:val="000000"/>
          <w:lang w:val="fr-CH"/>
        </w:rPr>
      </w:pPr>
      <w:r w:rsidRPr="00045B98">
        <w:rPr>
          <w:b/>
          <w:bCs/>
          <w:color w:val="000000"/>
          <w:lang w:val="fr-CH"/>
        </w:rPr>
        <w:t>Note</w:t>
      </w:r>
      <w:r w:rsidRPr="00045B98">
        <w:rPr>
          <w:color w:val="000000"/>
          <w:lang w:val="fr-CH"/>
        </w:rPr>
        <w:t>: La CMR-19 a pris la décision suivante</w:t>
      </w:r>
      <w:r w:rsidRPr="001674FC">
        <w:rPr>
          <w:color w:val="000000"/>
          <w:lang w:val="fr-CH"/>
        </w:rPr>
        <w:t>, lors de la 10ème séance plénière,</w:t>
      </w:r>
      <w:r w:rsidRPr="00045B98">
        <w:rPr>
          <w:color w:val="000000"/>
          <w:lang w:val="fr-CH"/>
        </w:rPr>
        <w:t xml:space="preserve"> concernant les Annexes 3 et 4 de l'Appendice </w:t>
      </w:r>
      <w:r w:rsidRPr="00045B98">
        <w:rPr>
          <w:b/>
          <w:bCs/>
          <w:color w:val="000000"/>
          <w:lang w:val="fr-CH"/>
        </w:rPr>
        <w:t>30B</w:t>
      </w:r>
      <w:r w:rsidRPr="00045B98">
        <w:rPr>
          <w:color w:val="000000"/>
          <w:lang w:val="fr-CH"/>
        </w:rPr>
        <w:t>,</w:t>
      </w:r>
      <w:r w:rsidRPr="001674FC" w:rsidDel="00484499">
        <w:rPr>
          <w:color w:val="000000"/>
          <w:lang w:val="fr-CH"/>
        </w:rPr>
        <w:t xml:space="preserve"> </w:t>
      </w:r>
      <w:r w:rsidRPr="00045B98">
        <w:rPr>
          <w:color w:val="000000"/>
          <w:lang w:val="fr-CH"/>
        </w:rPr>
        <w:t>voir les paragraphes 13.7 à 13.9 du Document CMR19/571</w:t>
      </w:r>
      <w:r w:rsidRPr="001674FC">
        <w:rPr>
          <w:color w:val="000000"/>
          <w:lang w:val="fr-CH"/>
        </w:rPr>
        <w:t>,</w:t>
      </w:r>
      <w:r w:rsidRPr="00045B98">
        <w:rPr>
          <w:color w:val="000000"/>
          <w:lang w:val="fr-CH"/>
        </w:rPr>
        <w:t xml:space="preserve"> </w:t>
      </w:r>
      <w:r w:rsidRPr="001674FC">
        <w:rPr>
          <w:lang w:val="fr-CH"/>
        </w:rPr>
        <w:t>dans le cadre de l</w:t>
      </w:r>
      <w:r>
        <w:rPr>
          <w:lang w:val="fr-CH"/>
        </w:rPr>
        <w:t>'</w:t>
      </w:r>
      <w:r w:rsidRPr="001674FC">
        <w:rPr>
          <w:lang w:val="fr-CH"/>
        </w:rPr>
        <w:t>approbation du Document</w:t>
      </w:r>
      <w:r>
        <w:rPr>
          <w:lang w:val="fr-CH"/>
        </w:rPr>
        <w:t xml:space="preserve"> </w:t>
      </w:r>
      <w:r w:rsidRPr="001674FC">
        <w:rPr>
          <w:lang w:val="fr-CH"/>
        </w:rPr>
        <w:t>CMR19/510</w:t>
      </w:r>
      <w:r w:rsidRPr="001674FC">
        <w:rPr>
          <w:color w:val="000000"/>
          <w:lang w:val="fr-CH"/>
        </w:rPr>
        <w:t xml:space="preserve"> </w:t>
      </w:r>
      <w:r w:rsidRPr="00045B98">
        <w:rPr>
          <w:color w:val="000000"/>
          <w:lang w:val="fr-CH"/>
        </w:rPr>
        <w:t xml:space="preserve">(voir également les Règles de procédure relatives à la Résolution </w:t>
      </w:r>
      <w:r w:rsidRPr="00045B98">
        <w:rPr>
          <w:b/>
          <w:bCs/>
          <w:color w:val="000000"/>
          <w:lang w:val="fr-CH"/>
        </w:rPr>
        <w:t>170 (CMR-19)</w:t>
      </w:r>
      <w:r w:rsidRPr="00045B98">
        <w:rPr>
          <w:color w:val="000000"/>
          <w:lang w:val="fr-CH"/>
        </w:rPr>
        <w:t>):</w:t>
      </w:r>
    </w:p>
    <w:p w14:paraId="6C8E1A1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120"/>
        <w:jc w:val="left"/>
        <w:rPr>
          <w:b/>
          <w:i/>
          <w:iCs/>
          <w:szCs w:val="24"/>
          <w:lang w:val="fr-CH"/>
        </w:rPr>
      </w:pPr>
      <w:r w:rsidRPr="001674FC">
        <w:rPr>
          <w:b/>
          <w:szCs w:val="24"/>
          <w:lang w:val="fr-CH"/>
        </w:rPr>
        <w:t>«</w:t>
      </w:r>
      <w:r w:rsidRPr="00A94E4F">
        <w:rPr>
          <w:b/>
          <w:i/>
          <w:iCs/>
          <w:szCs w:val="24"/>
          <w:lang w:val="fr-CH"/>
        </w:rPr>
        <w:t xml:space="preserve">Instructions données au Bureau des radiocommunications concernant l'application des Annexes 3 et 4 de l'Appendice 30B du RR, ainsi que des critères auxquels il est fait référence dans la Résolution [A7(E)-AP30B] (CMR-19), pour ce qui est du traitement, </w:t>
      </w:r>
      <w:r w:rsidRPr="00A94E4F">
        <w:rPr>
          <w:b/>
          <w:i/>
          <w:iCs/>
          <w:szCs w:val="24"/>
          <w:lang w:val="fr-CH"/>
        </w:rPr>
        <w:br/>
        <w:t>après le 22 novembre 2019, des soumissions reçues au titre de cet Appendice</w:t>
      </w:r>
    </w:p>
    <w:p w14:paraId="228C59AC" w14:textId="0965A347" w:rsidR="00045B98"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pPr>
      <w:r w:rsidRPr="00A94E4F">
        <w:rPr>
          <w:i/>
          <w:iCs/>
          <w:szCs w:val="24"/>
          <w:lang w:val="fr-CH"/>
        </w:rPr>
        <w:t xml:space="preserve">Le Bureau des radiocommunications doit continuer à calculer et à mettre à jour les valeurs sur la liaison montante et sur la liaison descendante pour une source unique de brouillage ayant déjà été acceptées pour tous les réseaux à satellite de l'Appendice </w:t>
      </w:r>
      <w:r w:rsidRPr="00A94E4F">
        <w:rPr>
          <w:b/>
          <w:i/>
          <w:iCs/>
          <w:szCs w:val="24"/>
          <w:lang w:val="fr-CH"/>
        </w:rPr>
        <w:t>30B</w:t>
      </w:r>
      <w:r w:rsidRPr="00A94E4F">
        <w:rPr>
          <w:i/>
          <w:iCs/>
          <w:szCs w:val="24"/>
          <w:lang w:val="fr-CH"/>
        </w:rPr>
        <w:t xml:space="preserve"> du RR, conformément aux notes X2 et X3 relatives au point 2.1 de l'Annexe 4 de l'Appendice </w:t>
      </w:r>
      <w:r w:rsidRPr="00A94E4F">
        <w:rPr>
          <w:b/>
          <w:i/>
          <w:iCs/>
          <w:szCs w:val="24"/>
          <w:lang w:val="fr-CH"/>
        </w:rPr>
        <w:t>30B (Rév.CMR-19)</w:t>
      </w:r>
      <w:r w:rsidRPr="00A94E4F">
        <w:rPr>
          <w:i/>
          <w:iCs/>
          <w:szCs w:val="24"/>
          <w:lang w:val="fr-CH"/>
        </w:rPr>
        <w:t xml:space="preserve"> du RR, de façon que ces informations puissent être utilisées par les administrations lors de la coordination de leurs réseaux respectifs. Le Bureau des radiocommunications doit appliquer:</w:t>
      </w:r>
    </w:p>
    <w:p w14:paraId="1B35A1D4" w14:textId="77777777" w:rsidR="006578C3" w:rsidRDefault="006578C3"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pPr>
    </w:p>
    <w:p w14:paraId="6E7E1031" w14:textId="77777777" w:rsidR="006578C3" w:rsidRDefault="006578C3"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rPr>
          <w:i/>
          <w:iCs/>
          <w:szCs w:val="24"/>
          <w:lang w:val="fr-CH"/>
        </w:rPr>
        <w:sectPr w:rsidR="006578C3" w:rsidSect="006B78C2">
          <w:headerReference w:type="even" r:id="rId16"/>
          <w:headerReference w:type="default" r:id="rId17"/>
          <w:footnotePr>
            <w:pos w:val="beneathText"/>
          </w:footnotePr>
          <w:pgSz w:w="11907" w:h="16840" w:code="9"/>
          <w:pgMar w:top="1701" w:right="851" w:bottom="1134" w:left="1985" w:header="720" w:footer="482" w:gutter="0"/>
          <w:pgNumType w:start="8"/>
          <w:cols w:space="720"/>
          <w:vAlign w:val="both"/>
        </w:sectPr>
      </w:pPr>
    </w:p>
    <w:p w14:paraId="7D58E9A2" w14:textId="40769D70"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lastRenderedPageBreak/>
        <w:t>1</w:t>
      </w:r>
      <w:r w:rsidRPr="00A94E4F">
        <w:rPr>
          <w:i/>
          <w:iCs/>
          <w:szCs w:val="24"/>
          <w:lang w:val="fr-CH"/>
        </w:rPr>
        <w:tab/>
        <w:t>Pour les soumissions complètes au titre du § 6.1 reçues par le Bureau avant le 23 novembre 2019:</w:t>
      </w:r>
    </w:p>
    <w:p w14:paraId="5707D6F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6.3 b);</w:t>
      </w:r>
    </w:p>
    <w:p w14:paraId="62CFEB3F"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6.5.</w:t>
      </w:r>
    </w:p>
    <w:p w14:paraId="5D80BE54"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Note: Y compris la protection des soumissions au titre de la Question E examinées avant la Partie A.</w:t>
      </w:r>
    </w:p>
    <w:p w14:paraId="2F1292AE" w14:textId="77777777" w:rsidR="00045B98" w:rsidRPr="00A94E4F" w:rsidRDefault="00045B98" w:rsidP="00CA2612">
      <w:pPr>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2</w:t>
      </w:r>
      <w:r w:rsidRPr="00A94E4F">
        <w:rPr>
          <w:i/>
          <w:iCs/>
          <w:szCs w:val="24"/>
          <w:lang w:val="fr-CH"/>
        </w:rPr>
        <w:tab/>
        <w:t>Pour les soumissions complètes au titre du § 6.17 reçues par le Bureau avant le 23 novembre 2019:</w:t>
      </w:r>
    </w:p>
    <w:p w14:paraId="7691E1D8"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a)</w:t>
      </w:r>
      <w:r w:rsidRPr="00A94E4F">
        <w:rPr>
          <w:i/>
          <w:iCs/>
          <w:szCs w:val="24"/>
          <w:lang w:val="fr-CH"/>
        </w:rPr>
        <w:tab/>
        <w:t>l'Annexe 3 (CMR-07) pour l'examen au titre du § 6.19 c);</w:t>
      </w:r>
    </w:p>
    <w:p w14:paraId="559203FE"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5DB01019"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nouvelle note relative au § 6.21 c);</w:t>
      </w:r>
    </w:p>
    <w:p w14:paraId="46666D57"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d)</w:t>
      </w:r>
      <w:r w:rsidRPr="00A94E4F">
        <w:rPr>
          <w:i/>
          <w:iCs/>
          <w:szCs w:val="24"/>
          <w:lang w:val="fr-CH"/>
        </w:rPr>
        <w:tab/>
        <w:t>l'Annexe 4 (Rév.CMR-07) pour l'examen au titre du § 6.22.</w:t>
      </w:r>
    </w:p>
    <w:p w14:paraId="627D8FC6" w14:textId="77777777" w:rsidR="00045B98" w:rsidRPr="00A94E4F" w:rsidRDefault="00045B98" w:rsidP="000D78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60"/>
        <w:ind w:left="567"/>
        <w:rPr>
          <w:i/>
          <w:iCs/>
          <w:szCs w:val="24"/>
          <w:lang w:val="fr-CH"/>
        </w:rPr>
      </w:pPr>
      <w:r w:rsidRPr="00A94E4F">
        <w:rPr>
          <w:i/>
          <w:iCs/>
          <w:szCs w:val="24"/>
          <w:lang w:val="fr-CH"/>
        </w:rPr>
        <w:t>Note: Y compris la protection des soumissions au titre de la Question E examinées avant la Partie B.</w:t>
      </w:r>
    </w:p>
    <w:p w14:paraId="060191B9" w14:textId="77777777" w:rsidR="00045B98" w:rsidRPr="00A94E4F" w:rsidRDefault="00045B98" w:rsidP="00CA2612">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after="120"/>
        <w:ind w:left="567" w:hanging="567"/>
        <w:rPr>
          <w:i/>
          <w:iCs/>
          <w:szCs w:val="24"/>
          <w:lang w:val="fr-CH"/>
        </w:rPr>
      </w:pPr>
      <w:r w:rsidRPr="00A94E4F">
        <w:rPr>
          <w:i/>
          <w:iCs/>
          <w:szCs w:val="24"/>
          <w:lang w:val="fr-CH"/>
        </w:rPr>
        <w:t>3</w:t>
      </w:r>
      <w:r w:rsidRPr="00A94E4F">
        <w:rPr>
          <w:i/>
          <w:iCs/>
          <w:szCs w:val="24"/>
          <w:lang w:val="fr-CH"/>
        </w:rPr>
        <w:tab/>
        <w:t>Pour les soumissions complètes au titre du § 6.17 reçues par le Bureau après le 22 novembre 2019, concernant des soumissions complètes au titre du § 6.1 reçues par le Bureau avant le 23 novembre 2019:</w:t>
      </w:r>
    </w:p>
    <w:p w14:paraId="0540242D"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(CMR-07) pour l'examen au titre du § 6.19 c);</w:t>
      </w:r>
    </w:p>
    <w:p w14:paraId="08B88E25"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(Rév.CMR-07) pour l'examen au titre du § 6.21;</w:t>
      </w:r>
    </w:p>
    <w:p w14:paraId="2B31D2F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l'Annexe 4 (Rév.CMR-07) pour l'examen complémentaire au titre de la note YY relative au § 6.21 c) si les assignations affectées restantes sont inscrites dans la Liste avant le 23 novembre 2019;</w:t>
      </w:r>
    </w:p>
    <w:p w14:paraId="31775068"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l'Annexe 4 (Rév.CMR-19) pour l'examen complémentaire au titre de la note YY relative au § 6.21 c) si les assignations affectées restantes sont inscrites dans la Liste après le 22 novembre 2019;</w:t>
      </w:r>
    </w:p>
    <w:p w14:paraId="4954773A"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e)</w:t>
      </w:r>
      <w:r w:rsidRPr="00A94E4F">
        <w:rPr>
          <w:i/>
          <w:iCs/>
          <w:szCs w:val="24"/>
          <w:lang w:val="fr-CH"/>
        </w:rPr>
        <w:tab/>
        <w:t>l'Annexe 4 (Rév.CMR-19) pour l'examen au titre du § 6.22.</w:t>
      </w:r>
    </w:p>
    <w:p w14:paraId="486ED6EB" w14:textId="77777777" w:rsidR="00045B98" w:rsidRPr="00A94E4F" w:rsidRDefault="00045B98" w:rsidP="00CA26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40"/>
        <w:ind w:left="567"/>
        <w:rPr>
          <w:i/>
          <w:iCs/>
          <w:szCs w:val="24"/>
          <w:lang w:val="fr-CH"/>
        </w:rPr>
      </w:pPr>
      <w:r w:rsidRPr="00A94E4F">
        <w:rPr>
          <w:i/>
          <w:iCs/>
          <w:szCs w:val="24"/>
          <w:lang w:val="fr-CH"/>
        </w:rPr>
        <w:t>Note: Y compris la protection des soumissions au titre de la Question E examinées avant les Parties A et/ou B.</w:t>
      </w:r>
    </w:p>
    <w:p w14:paraId="5F37CFF5"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4</w:t>
      </w:r>
      <w:r w:rsidRPr="00A94E4F">
        <w:rPr>
          <w:i/>
          <w:iCs/>
          <w:szCs w:val="24"/>
          <w:lang w:val="fr-CH"/>
        </w:rPr>
        <w:tab/>
        <w:t>Pour les soumissions complètes au titre du § 6.1 reçues par le Bureau après le 22 novembre 2019:</w:t>
      </w:r>
    </w:p>
    <w:p w14:paraId="7B31DAF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
    <w:p w14:paraId="42AB3F2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6.5.</w:t>
      </w:r>
    </w:p>
    <w:p w14:paraId="3EA399C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5</w:t>
      </w:r>
      <w:r w:rsidRPr="00A94E4F">
        <w:rPr>
          <w:i/>
          <w:iCs/>
          <w:szCs w:val="24"/>
          <w:lang w:val="fr-CH"/>
        </w:rPr>
        <w:tab/>
        <w:t>Pour les soumissions complètes au titre du § 6.17 reçues par le Bureau après le 22 novembre 2019, concernant des soumissions complètes au titre du § 6.1 reçues par le Bureau après le 22 novembre 2019:</w:t>
      </w:r>
    </w:p>
    <w:p w14:paraId="254E7D59"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
    <w:p w14:paraId="4F2B78F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b)</w:t>
      </w:r>
      <w:r w:rsidRPr="00A94E4F">
        <w:rPr>
          <w:i/>
          <w:iCs/>
          <w:szCs w:val="24"/>
          <w:lang w:val="fr-CH"/>
        </w:rPr>
        <w:tab/>
        <w:t>l'Annexe 4 (Rév.CMR-19) pour l'examen au titre du § 6.21;</w:t>
      </w:r>
    </w:p>
    <w:p w14:paraId="51CBF64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c)</w:t>
      </w:r>
      <w:r w:rsidRPr="00A94E4F">
        <w:rPr>
          <w:i/>
          <w:iCs/>
          <w:szCs w:val="24"/>
          <w:lang w:val="fr-CH"/>
        </w:rPr>
        <w:tab/>
        <w:t>l'Annexe 4 (Rév.CMR-19) pour l'examen au titre du § 6.22.</w:t>
      </w:r>
    </w:p>
    <w:p w14:paraId="172189A9" w14:textId="77777777" w:rsidR="003C4C29" w:rsidRDefault="003C4C29"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Pr>
          <w:i/>
          <w:iCs/>
          <w:szCs w:val="24"/>
          <w:lang w:val="fr-CH"/>
        </w:rPr>
        <w:br w:type="page"/>
      </w:r>
    </w:p>
    <w:p w14:paraId="18B36F70" w14:textId="635D8E1B"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lastRenderedPageBreak/>
        <w:t>6</w:t>
      </w:r>
      <w:r w:rsidRPr="00A94E4F">
        <w:rPr>
          <w:i/>
          <w:iCs/>
          <w:szCs w:val="24"/>
          <w:lang w:val="fr-CH"/>
        </w:rPr>
        <w:tab/>
        <w:t>Pour les soumissions complètes au titre du § 6.1, en application de la Résolution </w:t>
      </w:r>
      <w:r w:rsidRPr="00A94E4F">
        <w:rPr>
          <w:b/>
          <w:i/>
          <w:iCs/>
          <w:szCs w:val="24"/>
          <w:lang w:val="fr-CH"/>
        </w:rPr>
        <w:t>[A7(E)</w:t>
      </w:r>
      <w:r w:rsidRPr="00A94E4F">
        <w:rPr>
          <w:b/>
          <w:i/>
          <w:iCs/>
          <w:szCs w:val="24"/>
          <w:lang w:val="fr-CH"/>
        </w:rPr>
        <w:noBreakHyphen/>
        <w:t>AP30B] (CMR-19)</w:t>
      </w:r>
      <w:r w:rsidRPr="00A94E4F">
        <w:rPr>
          <w:i/>
          <w:iCs/>
          <w:szCs w:val="24"/>
          <w:lang w:val="fr-CH"/>
        </w:rPr>
        <w:t>:</w:t>
      </w:r>
    </w:p>
    <w:p w14:paraId="36C6E24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6.3 b);</w:t>
      </w:r>
    </w:p>
    <w:p w14:paraId="06E34EF5"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6.5, selon qu'il convient.</w:t>
      </w:r>
    </w:p>
    <w:p w14:paraId="5958B0F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ind w:left="567"/>
        <w:rPr>
          <w:i/>
          <w:iCs/>
          <w:szCs w:val="24"/>
          <w:lang w:val="fr-CH"/>
        </w:rPr>
      </w:pPr>
      <w:r w:rsidRPr="00A94E4F">
        <w:rPr>
          <w:i/>
          <w:iCs/>
          <w:szCs w:val="24"/>
          <w:lang w:val="fr-CH"/>
        </w:rPr>
        <w:t>Note: Y compris l'examen des soumissions, au titre de la Question E avant l'examen de la dernière Partie A et/ou Partie B normale(s), reçues avant le 23 novembre 2019.</w:t>
      </w:r>
    </w:p>
    <w:p w14:paraId="3A89FB20"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after="120"/>
        <w:ind w:left="567" w:hanging="567"/>
        <w:rPr>
          <w:i/>
          <w:iCs/>
          <w:szCs w:val="24"/>
          <w:lang w:val="fr-CH"/>
        </w:rPr>
      </w:pPr>
      <w:r w:rsidRPr="00A94E4F">
        <w:rPr>
          <w:i/>
          <w:iCs/>
          <w:szCs w:val="24"/>
          <w:lang w:val="fr-CH"/>
        </w:rPr>
        <w:t>7</w:t>
      </w:r>
      <w:r w:rsidRPr="00A94E4F">
        <w:rPr>
          <w:i/>
          <w:iCs/>
          <w:szCs w:val="24"/>
          <w:lang w:val="fr-CH"/>
        </w:rPr>
        <w:tab/>
        <w:t>Pour les soumissions complètes au titre du § 6.17, en application de la Résolution </w:t>
      </w:r>
      <w:r w:rsidRPr="00A94E4F">
        <w:rPr>
          <w:b/>
          <w:i/>
          <w:iCs/>
          <w:szCs w:val="24"/>
          <w:lang w:val="fr-CH"/>
        </w:rPr>
        <w:t>[A7(E)</w:t>
      </w:r>
      <w:r w:rsidRPr="00A94E4F">
        <w:rPr>
          <w:b/>
          <w:i/>
          <w:iCs/>
          <w:szCs w:val="24"/>
          <w:lang w:val="fr-CH"/>
        </w:rPr>
        <w:noBreakHyphen/>
        <w:t>AP30B] (CMR-19)</w:t>
      </w:r>
      <w:r w:rsidRPr="00A94E4F">
        <w:rPr>
          <w:i/>
          <w:iCs/>
          <w:szCs w:val="24"/>
          <w:lang w:val="fr-CH"/>
        </w:rPr>
        <w:t>:</w:t>
      </w:r>
    </w:p>
    <w:p w14:paraId="5A73DD14"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567"/>
        <w:rPr>
          <w:i/>
          <w:iCs/>
          <w:szCs w:val="24"/>
          <w:lang w:val="fr-CH"/>
        </w:rPr>
      </w:pPr>
      <w:r w:rsidRPr="00A94E4F">
        <w:rPr>
          <w:i/>
          <w:iCs/>
          <w:szCs w:val="24"/>
          <w:lang w:val="fr-CH"/>
        </w:rPr>
        <w:t>a)</w:t>
      </w:r>
      <w:r w:rsidRPr="00A94E4F">
        <w:rPr>
          <w:i/>
          <w:iCs/>
          <w:szCs w:val="24"/>
          <w:lang w:val="fr-CH"/>
        </w:rPr>
        <w:tab/>
        <w:t>l'Annexe 3 (Rév.CMR-19) pour l'examen au titre du § 6.19 c);</w:t>
      </w:r>
    </w:p>
    <w:p w14:paraId="29F53C08"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b)</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6.21, selon qu'il convient;</w:t>
      </w:r>
    </w:p>
    <w:p w14:paraId="400CCABC"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c)</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complémentaire au titre de la note YY relative au § 6.21 c), selon qu'il convient;</w:t>
      </w:r>
    </w:p>
    <w:p w14:paraId="45CA613E"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ind w:left="851" w:hanging="284"/>
        <w:rPr>
          <w:i/>
          <w:iCs/>
          <w:szCs w:val="24"/>
          <w:lang w:val="fr-CH"/>
        </w:rPr>
      </w:pPr>
      <w:r w:rsidRPr="00A94E4F">
        <w:rPr>
          <w:i/>
          <w:iCs/>
          <w:szCs w:val="24"/>
          <w:lang w:val="fr-CH"/>
        </w:rPr>
        <w:t>d)</w:t>
      </w:r>
      <w:r w:rsidRPr="00A94E4F">
        <w:rPr>
          <w:i/>
          <w:iCs/>
          <w:szCs w:val="24"/>
          <w:lang w:val="fr-CH"/>
        </w:rPr>
        <w:tab/>
        <w:t xml:space="preserve">l'Annexe 4 (Rév.CMR-19) et les nouveaux critères auxquels il est fait référence dans la Résolution </w:t>
      </w:r>
      <w:r w:rsidRPr="00A94E4F">
        <w:rPr>
          <w:b/>
          <w:i/>
          <w:iCs/>
          <w:szCs w:val="24"/>
          <w:lang w:val="fr-CH"/>
        </w:rPr>
        <w:t>[A7(E)-AP30B] (CMR-19)</w:t>
      </w:r>
      <w:r w:rsidRPr="00A94E4F">
        <w:rPr>
          <w:i/>
          <w:iCs/>
          <w:szCs w:val="24"/>
          <w:lang w:val="fr-CH"/>
        </w:rPr>
        <w:t xml:space="preserve"> pour l'examen au titre du § 6.22, selon qu'il convient.</w:t>
      </w:r>
    </w:p>
    <w:p w14:paraId="0001644A" w14:textId="77777777" w:rsidR="00045B98" w:rsidRPr="00A94E4F" w:rsidRDefault="00045B98" w:rsidP="00045B98">
      <w:pPr>
        <w:keepNext/>
        <w:keepLines/>
        <w:rPr>
          <w:i/>
          <w:iCs/>
          <w:lang w:val="fr-CH"/>
        </w:rPr>
      </w:pPr>
      <w:r w:rsidRPr="00A94E4F">
        <w:rPr>
          <w:i/>
          <w:iCs/>
          <w:lang w:val="fr-CH"/>
        </w:rPr>
        <w:t>Application du § 6.16:</w:t>
      </w:r>
    </w:p>
    <w:p w14:paraId="5071196A"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Pour l'exclusion des territoires de l'administration concernée, le Bureau doit appliquer l'Annexe 4 (Rév.CMR-07) jusqu'à ce que les dernières soumissions complètes au titre du § 6.1 ou du § 6.17 reçues par le Bureau avant le 23 novembre 2019 aient été examinées et, par la suite, l'Annexe 4 (Rév.CMR-19).</w:t>
      </w:r>
    </w:p>
    <w:p w14:paraId="1DE8C9A2" w14:textId="77777777" w:rsidR="00045B98" w:rsidRPr="00A94E4F" w:rsidRDefault="00045B98" w:rsidP="00045B98">
      <w:pPr>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Si une demande au titre du § 6.16 est soumise en vue d'être prise en compte pour l'examen de soumissions complètes au titre du § 6.17, lors de l'examen de ces soumissions, le Bureau doit appliquer l'Annexe 4 appropriée, à savoir celle qui a été utilisée pour l'examen au titre du § 6.21 et du § 6.22, comme indiqué ci-avant.</w:t>
      </w:r>
    </w:p>
    <w:p w14:paraId="068C1031" w14:textId="1D8AE201" w:rsidR="00045B98" w:rsidRPr="00A94E4F" w:rsidRDefault="00045B98" w:rsidP="00045B98">
      <w:pPr>
        <w:keepNext/>
        <w:keepLines/>
        <w:rPr>
          <w:i/>
          <w:iCs/>
          <w:lang w:val="fr-CH"/>
        </w:rPr>
      </w:pPr>
      <w:r w:rsidRPr="00A94E4F">
        <w:rPr>
          <w:i/>
          <w:iCs/>
          <w:lang w:val="fr-CH"/>
        </w:rPr>
        <w:t>Application du § 6.27 pour la mise à jour des critères:</w:t>
      </w:r>
    </w:p>
    <w:p w14:paraId="4655CE17" w14:textId="77777777" w:rsidR="00045B98" w:rsidRPr="00A94E4F" w:rsidRDefault="00045B98" w:rsidP="00045B98">
      <w:pPr>
        <w:tabs>
          <w:tab w:val="left" w:pos="284"/>
          <w:tab w:val="left" w:pos="567"/>
          <w:tab w:val="left" w:pos="851"/>
          <w:tab w:val="left" w:pos="1418"/>
          <w:tab w:val="left" w:pos="1701"/>
          <w:tab w:val="left" w:pos="2552"/>
          <w:tab w:val="left" w:pos="2835"/>
          <w:tab w:val="left" w:pos="3119"/>
          <w:tab w:val="left" w:pos="3402"/>
          <w:tab w:val="left" w:pos="3686"/>
          <w:tab w:val="left" w:pos="3969"/>
        </w:tabs>
        <w:rPr>
          <w:i/>
          <w:iCs/>
          <w:szCs w:val="24"/>
          <w:lang w:val="fr-CH"/>
        </w:rPr>
      </w:pPr>
      <w:r w:rsidRPr="00A94E4F">
        <w:rPr>
          <w:i/>
          <w:iCs/>
          <w:szCs w:val="24"/>
          <w:lang w:val="fr-CH"/>
        </w:rPr>
        <w:t>Le Bureau doit appliquer l'Annexe 4 (Rév.CMR</w:t>
      </w:r>
      <w:r w:rsidRPr="00A94E4F">
        <w:rPr>
          <w:i/>
          <w:iCs/>
          <w:szCs w:val="24"/>
          <w:lang w:val="fr-CH"/>
        </w:rPr>
        <w:noBreakHyphen/>
        <w:t>07) jusqu'à ce que les dernières soumissions complètes au titre du § 6.1 ou du § 6.17 reçues par le Bureau avant le 23 novembre 2019 aient été examinées et, par la suite, l'Annexe 4 (Rév.CMR-19).</w:t>
      </w:r>
    </w:p>
    <w:p w14:paraId="2992130E" w14:textId="77777777" w:rsidR="003C4C29" w:rsidRDefault="003C4C29" w:rsidP="00045B98">
      <w:pPr>
        <w:keepNext/>
        <w:keepLines/>
        <w:rPr>
          <w:i/>
          <w:iCs/>
          <w:lang w:val="fr-CH"/>
        </w:rPr>
      </w:pPr>
      <w:r>
        <w:rPr>
          <w:i/>
          <w:iCs/>
          <w:lang w:val="fr-CH"/>
        </w:rPr>
        <w:br w:type="page"/>
      </w:r>
    </w:p>
    <w:p w14:paraId="64D01B39" w14:textId="1722B54D" w:rsidR="00045B98" w:rsidRPr="00A94E4F" w:rsidRDefault="00045B98" w:rsidP="00045B98">
      <w:pPr>
        <w:keepNext/>
        <w:keepLines/>
        <w:rPr>
          <w:i/>
          <w:iCs/>
          <w:lang w:val="fr-CH"/>
        </w:rPr>
      </w:pPr>
      <w:r w:rsidRPr="00A94E4F">
        <w:rPr>
          <w:i/>
          <w:iCs/>
          <w:lang w:val="fr-CH"/>
        </w:rPr>
        <w:lastRenderedPageBreak/>
        <w:t>Application du § 7.5:</w:t>
      </w:r>
    </w:p>
    <w:p w14:paraId="1EB155D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avant le 23 novembre 2019, le Bureau doit appliquer l'Annexe 3 (CMR</w:t>
      </w:r>
      <w:r w:rsidRPr="00A94E4F">
        <w:rPr>
          <w:i/>
          <w:iCs/>
          <w:szCs w:val="24"/>
          <w:lang w:val="fr-CH"/>
        </w:rPr>
        <w:noBreakHyphen/>
        <w:t>07) et l'Annexe 4 (Rév.CMR-07).</w:t>
      </w:r>
    </w:p>
    <w:p w14:paraId="1437D84E" w14:textId="77777777" w:rsidR="00045B98" w:rsidRPr="00A94E4F" w:rsidRDefault="00045B98" w:rsidP="00045B98">
      <w:pPr>
        <w:keepNext/>
        <w:keepLines/>
        <w:tabs>
          <w:tab w:val="left" w:pos="567"/>
          <w:tab w:val="left" w:pos="851"/>
          <w:tab w:val="left" w:pos="1418"/>
          <w:tab w:val="left" w:pos="1701"/>
          <w:tab w:val="left" w:pos="2552"/>
          <w:tab w:val="left" w:pos="2835"/>
          <w:tab w:val="left" w:pos="3119"/>
          <w:tab w:val="left" w:pos="3402"/>
          <w:tab w:val="left" w:pos="3686"/>
          <w:tab w:val="left" w:pos="3969"/>
        </w:tabs>
        <w:spacing w:before="80"/>
        <w:ind w:left="567" w:hanging="567"/>
        <w:rPr>
          <w:i/>
          <w:iCs/>
          <w:szCs w:val="24"/>
          <w:lang w:val="fr-CH"/>
        </w:rPr>
      </w:pPr>
      <w:r w:rsidRPr="00A94E4F">
        <w:rPr>
          <w:i/>
          <w:iCs/>
          <w:szCs w:val="24"/>
          <w:lang w:val="fr-CH"/>
        </w:rPr>
        <w:t>–</w:t>
      </w:r>
      <w:r w:rsidRPr="00A94E4F">
        <w:rPr>
          <w:i/>
          <w:iCs/>
          <w:szCs w:val="24"/>
          <w:lang w:val="fr-CH"/>
        </w:rPr>
        <w:tab/>
        <w:t xml:space="preserve">Pour une demande au titre de l'Article </w:t>
      </w:r>
      <w:r w:rsidRPr="00A94E4F">
        <w:rPr>
          <w:b/>
          <w:i/>
          <w:iCs/>
          <w:szCs w:val="24"/>
          <w:lang w:val="fr-CH"/>
        </w:rPr>
        <w:t>7</w:t>
      </w:r>
      <w:r w:rsidRPr="00A94E4F">
        <w:rPr>
          <w:i/>
          <w:iCs/>
          <w:szCs w:val="24"/>
          <w:lang w:val="fr-CH"/>
        </w:rPr>
        <w:t xml:space="preserve"> reçue après le 22 novembre 2019, le Bureau doit appliquer l'Annexe 3 (Rév.CMR-19) et l'Annexe 4 (Rév.CMR-19).</w:t>
      </w:r>
    </w:p>
    <w:p w14:paraId="3D71D3B8" w14:textId="77777777" w:rsidR="00045B98" w:rsidRPr="001674FC" w:rsidRDefault="00045B98" w:rsidP="00045B98">
      <w:pPr>
        <w:rPr>
          <w:szCs w:val="24"/>
          <w:lang w:val="fr-CH"/>
        </w:rPr>
      </w:pPr>
      <w:r w:rsidRPr="00A94E4F">
        <w:rPr>
          <w:i/>
          <w:iCs/>
          <w:szCs w:val="24"/>
          <w:lang w:val="fr-CH"/>
        </w:rPr>
        <w:t xml:space="preserve">Pour l'examen au titre du § 6.21 c), le Bureau doit aussi tenir compte des soumissions complètes au titre du § 6.1 en application de la Résolution </w:t>
      </w:r>
      <w:r w:rsidRPr="00A94E4F">
        <w:rPr>
          <w:b/>
          <w:i/>
          <w:iCs/>
          <w:szCs w:val="24"/>
          <w:lang w:val="fr-CH"/>
        </w:rPr>
        <w:t>[A7(E)-AP30B] (CMR-19)</w:t>
      </w:r>
      <w:r w:rsidRPr="00A94E4F">
        <w:rPr>
          <w:i/>
          <w:iCs/>
          <w:szCs w:val="24"/>
          <w:lang w:val="fr-CH"/>
        </w:rPr>
        <w:t xml:space="preserve"> et de la demande soumise au titre de l'Article </w:t>
      </w:r>
      <w:r w:rsidRPr="00A94E4F">
        <w:rPr>
          <w:b/>
          <w:i/>
          <w:iCs/>
          <w:szCs w:val="24"/>
          <w:lang w:val="fr-CH"/>
        </w:rPr>
        <w:t>7</w:t>
      </w:r>
      <w:r w:rsidRPr="00A94E4F">
        <w:rPr>
          <w:i/>
          <w:iCs/>
          <w:szCs w:val="24"/>
          <w:lang w:val="fr-CH"/>
        </w:rPr>
        <w:t xml:space="preserve"> transférée au titre de l'Article 6 en vertu du § 7.7 et ayant été examinée avant la date de réception de la fiche de notification examinée, soumise au titre du § 6.1.</w:t>
      </w:r>
      <w:r w:rsidRPr="001674FC">
        <w:rPr>
          <w:szCs w:val="24"/>
          <w:lang w:val="fr-CH"/>
        </w:rPr>
        <w:t>»*</w:t>
      </w:r>
    </w:p>
    <w:p w14:paraId="52D41A33" w14:textId="1DEDC4AF" w:rsidR="00045B98" w:rsidRDefault="00045B98" w:rsidP="00045B98">
      <w:pPr>
        <w:tabs>
          <w:tab w:val="clear" w:pos="1134"/>
          <w:tab w:val="left" w:pos="284"/>
        </w:tabs>
        <w:spacing w:after="240"/>
        <w:rPr>
          <w:color w:val="000000"/>
          <w:lang w:val="fr-CH"/>
        </w:rPr>
      </w:pPr>
      <w:r w:rsidRPr="001674FC">
        <w:rPr>
          <w:szCs w:val="24"/>
          <w:lang w:val="fr-CH"/>
        </w:rPr>
        <w:t>*</w:t>
      </w:r>
      <w:r w:rsidRPr="001674FC">
        <w:rPr>
          <w:szCs w:val="24"/>
          <w:lang w:val="fr-CH"/>
        </w:rPr>
        <w:tab/>
      </w:r>
      <w:r w:rsidRPr="00045B98">
        <w:rPr>
          <w:i/>
          <w:iCs/>
          <w:szCs w:val="24"/>
          <w:lang w:val="fr-CH"/>
        </w:rPr>
        <w:t xml:space="preserve">Note </w:t>
      </w:r>
      <w:r w:rsidRPr="001674FC">
        <w:rPr>
          <w:i/>
          <w:iCs/>
          <w:szCs w:val="24"/>
          <w:lang w:val="fr-CH"/>
        </w:rPr>
        <w:t>du</w:t>
      </w:r>
      <w:r w:rsidRPr="00045B98">
        <w:rPr>
          <w:i/>
          <w:iCs/>
          <w:szCs w:val="24"/>
          <w:lang w:val="fr-CH"/>
        </w:rPr>
        <w:t xml:space="preserve"> Sec</w:t>
      </w:r>
      <w:r w:rsidRPr="001674FC">
        <w:rPr>
          <w:i/>
          <w:iCs/>
          <w:szCs w:val="24"/>
          <w:lang w:val="fr-CH"/>
        </w:rPr>
        <w:t>ré</w:t>
      </w:r>
      <w:r w:rsidRPr="00045B98">
        <w:rPr>
          <w:i/>
          <w:iCs/>
          <w:szCs w:val="24"/>
          <w:lang w:val="fr-CH"/>
        </w:rPr>
        <w:t>tariat</w:t>
      </w:r>
      <w:r w:rsidRPr="00045B98">
        <w:rPr>
          <w:szCs w:val="24"/>
          <w:lang w:val="fr-CH"/>
        </w:rPr>
        <w:t xml:space="preserve">: </w:t>
      </w:r>
      <w:r w:rsidRPr="001674FC">
        <w:rPr>
          <w:color w:val="000000"/>
          <w:lang w:val="fr-CH"/>
        </w:rPr>
        <w:t xml:space="preserve">Le numéro définitif de la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 xml:space="preserve">[A7(E)-AP30B] </w:t>
      </w:r>
      <w:r w:rsidRPr="001674FC">
        <w:rPr>
          <w:b/>
          <w:bCs/>
          <w:color w:val="000000"/>
          <w:lang w:val="fr-CH"/>
        </w:rPr>
        <w:t>CMR</w:t>
      </w:r>
      <w:r w:rsidRPr="00045B98">
        <w:rPr>
          <w:b/>
          <w:bCs/>
          <w:color w:val="000000"/>
          <w:lang w:val="fr-CH"/>
        </w:rPr>
        <w:t>-19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 xml:space="preserve">est le suivant: </w:t>
      </w:r>
      <w:r w:rsidRPr="00045B98">
        <w:rPr>
          <w:color w:val="000000"/>
          <w:lang w:val="fr-CH"/>
        </w:rPr>
        <w:t>R</w:t>
      </w:r>
      <w:r w:rsidRPr="001674FC">
        <w:rPr>
          <w:color w:val="000000"/>
          <w:lang w:val="fr-CH"/>
        </w:rPr>
        <w:t>é</w:t>
      </w:r>
      <w:r w:rsidRPr="00045B98">
        <w:rPr>
          <w:color w:val="000000"/>
          <w:lang w:val="fr-CH"/>
        </w:rPr>
        <w:t xml:space="preserve">solution </w:t>
      </w:r>
      <w:r w:rsidRPr="00045B98">
        <w:rPr>
          <w:b/>
          <w:bCs/>
          <w:color w:val="000000"/>
          <w:lang w:val="fr-CH"/>
        </w:rPr>
        <w:t>170 (</w:t>
      </w:r>
      <w:r w:rsidRPr="001674FC">
        <w:rPr>
          <w:b/>
          <w:bCs/>
          <w:color w:val="000000"/>
          <w:lang w:val="fr-CH"/>
        </w:rPr>
        <w:t>CMR</w:t>
      </w:r>
      <w:r w:rsidRPr="00045B98">
        <w:rPr>
          <w:b/>
          <w:bCs/>
          <w:color w:val="000000"/>
          <w:lang w:val="fr-CH"/>
        </w:rPr>
        <w:t>-19)</w:t>
      </w:r>
      <w:r w:rsidRPr="00045B98">
        <w:rPr>
          <w:color w:val="000000"/>
          <w:lang w:val="fr-CH"/>
        </w:rPr>
        <w:t xml:space="preserve">. </w:t>
      </w:r>
      <w:r w:rsidRPr="001674FC">
        <w:rPr>
          <w:color w:val="000000"/>
          <w:lang w:val="fr-CH"/>
        </w:rPr>
        <w:t>En outre, les numéros définitifs des renvois</w:t>
      </w:r>
      <w:r w:rsidRPr="00045B98">
        <w:rPr>
          <w:color w:val="000000"/>
          <w:lang w:val="fr-CH"/>
        </w:rPr>
        <w:t xml:space="preserve"> X1, X2 </w:t>
      </w:r>
      <w:r w:rsidRPr="001674FC">
        <w:rPr>
          <w:color w:val="000000"/>
          <w:lang w:val="fr-CH"/>
        </w:rPr>
        <w:t>et</w:t>
      </w:r>
      <w:r w:rsidRPr="00045B98">
        <w:rPr>
          <w:color w:val="000000"/>
          <w:lang w:val="fr-CH"/>
        </w:rPr>
        <w:t xml:space="preserve"> YY </w:t>
      </w:r>
      <w:r w:rsidRPr="001674FC">
        <w:rPr>
          <w:color w:val="000000"/>
          <w:lang w:val="fr-CH"/>
        </w:rPr>
        <w:t>dans</w:t>
      </w:r>
      <w:r w:rsidRPr="00045B98">
        <w:rPr>
          <w:color w:val="000000"/>
          <w:lang w:val="fr-CH"/>
        </w:rPr>
        <w:t xml:space="preserve"> </w:t>
      </w:r>
      <w:r w:rsidRPr="001674FC">
        <w:rPr>
          <w:color w:val="000000"/>
          <w:lang w:val="fr-CH"/>
        </w:rPr>
        <w:t>l'</w:t>
      </w:r>
      <w:r w:rsidRPr="00045B98">
        <w:rPr>
          <w:color w:val="000000"/>
          <w:lang w:val="fr-CH"/>
        </w:rPr>
        <w:t>Appendi</w:t>
      </w:r>
      <w:r w:rsidRPr="001674FC">
        <w:rPr>
          <w:color w:val="000000"/>
          <w:lang w:val="fr-CH"/>
        </w:rPr>
        <w:t>ce</w:t>
      </w:r>
      <w:r w:rsidRPr="00045B98">
        <w:rPr>
          <w:color w:val="000000"/>
          <w:lang w:val="fr-CH"/>
        </w:rPr>
        <w:t xml:space="preserve"> </w:t>
      </w:r>
      <w:r w:rsidRPr="00045B98">
        <w:rPr>
          <w:b/>
          <w:bCs/>
          <w:color w:val="000000"/>
          <w:lang w:val="fr-CH"/>
        </w:rPr>
        <w:t>30B</w:t>
      </w:r>
      <w:r w:rsidRPr="00045B98">
        <w:rPr>
          <w:color w:val="000000"/>
          <w:lang w:val="fr-CH"/>
        </w:rPr>
        <w:t xml:space="preserve"> </w:t>
      </w:r>
      <w:r w:rsidRPr="001674FC">
        <w:rPr>
          <w:color w:val="000000"/>
          <w:lang w:val="fr-CH"/>
        </w:rPr>
        <w:t>sont respectivement les suivants:</w:t>
      </w:r>
      <w:r>
        <w:rPr>
          <w:color w:val="000000"/>
          <w:lang w:val="fr-CH"/>
        </w:rPr>
        <w:t xml:space="preserve"> </w:t>
      </w:r>
      <w:r w:rsidRPr="00045B98">
        <w:rPr>
          <w:color w:val="000000"/>
          <w:lang w:val="fr-CH"/>
        </w:rPr>
        <w:t>17</w:t>
      </w:r>
      <w:r w:rsidRPr="00045B98">
        <w:rPr>
          <w:color w:val="000000"/>
          <w:vertAlign w:val="superscript"/>
          <w:lang w:val="fr-CH"/>
        </w:rPr>
        <w:t>bis</w:t>
      </w:r>
      <w:r w:rsidRPr="00045B98">
        <w:rPr>
          <w:color w:val="000000"/>
          <w:lang w:val="fr-CH"/>
        </w:rPr>
        <w:t>, 20</w:t>
      </w:r>
      <w:r w:rsidRPr="00045B98">
        <w:rPr>
          <w:color w:val="000000"/>
          <w:vertAlign w:val="superscript"/>
          <w:lang w:val="fr-CH"/>
        </w:rPr>
        <w:t>bis</w:t>
      </w:r>
      <w:r w:rsidRPr="00045B98">
        <w:rPr>
          <w:color w:val="000000"/>
          <w:lang w:val="fr-CH"/>
        </w:rPr>
        <w:t xml:space="preserve"> </w:t>
      </w:r>
      <w:r w:rsidRPr="001674FC">
        <w:rPr>
          <w:color w:val="000000"/>
          <w:lang w:val="fr-CH"/>
        </w:rPr>
        <w:t xml:space="preserve">et </w:t>
      </w:r>
      <w:r w:rsidRPr="00045B98">
        <w:rPr>
          <w:color w:val="000000"/>
          <w:lang w:val="fr-CH"/>
        </w:rPr>
        <w:t>7</w:t>
      </w:r>
      <w:r w:rsidRPr="00045B98">
        <w:rPr>
          <w:color w:val="000000"/>
          <w:vertAlign w:val="superscript"/>
          <w:lang w:val="fr-CH"/>
        </w:rPr>
        <w:t>bis</w:t>
      </w:r>
      <w:r w:rsidRPr="001674FC">
        <w:rPr>
          <w:color w:val="000000"/>
          <w:lang w:val="fr-CH"/>
        </w:rPr>
        <w:t xml:space="preserve">. Enfin, les </w:t>
      </w:r>
      <w:r w:rsidRPr="00B36714">
        <w:rPr>
          <w:i/>
          <w:iCs/>
          <w:color w:val="000000"/>
          <w:lang w:val="fr-CH"/>
        </w:rPr>
        <w:t>«soumissions au titre de la Question E»</w:t>
      </w:r>
      <w:r w:rsidRPr="001674FC">
        <w:rPr>
          <w:color w:val="000000"/>
          <w:lang w:val="fr-CH"/>
        </w:rPr>
        <w:t xml:space="preserve"> désignent les soumissions dans le cadre de la procédure spéciale décrite dans la Pièce jointe 1 à la Résolution </w:t>
      </w:r>
      <w:r w:rsidRPr="001674FC">
        <w:rPr>
          <w:b/>
          <w:bCs/>
          <w:color w:val="000000"/>
          <w:lang w:val="fr-CH"/>
        </w:rPr>
        <w:t>170 (CMR-19)</w:t>
      </w:r>
      <w:r w:rsidRPr="001674FC">
        <w:rPr>
          <w:color w:val="000000"/>
          <w:lang w:val="fr-CH"/>
        </w:rPr>
        <w:t xml:space="preserve">. </w:t>
      </w:r>
    </w:p>
    <w:p w14:paraId="459F2D30" w14:textId="662E7626" w:rsidR="003C4C29" w:rsidRDefault="003C4C29" w:rsidP="00045B98">
      <w:pPr>
        <w:tabs>
          <w:tab w:val="clear" w:pos="1134"/>
          <w:tab w:val="left" w:pos="284"/>
        </w:tabs>
        <w:spacing w:after="240"/>
        <w:rPr>
          <w:color w:val="000000"/>
          <w:szCs w:val="24"/>
          <w:lang w:val="fr-CH"/>
        </w:rPr>
      </w:pPr>
    </w:p>
    <w:p w14:paraId="1F778B24" w14:textId="77777777" w:rsidR="003C4C29" w:rsidRPr="00045B98" w:rsidRDefault="003C4C29" w:rsidP="00045B98">
      <w:pPr>
        <w:tabs>
          <w:tab w:val="clear" w:pos="1134"/>
          <w:tab w:val="left" w:pos="284"/>
        </w:tabs>
        <w:spacing w:after="240"/>
        <w:rPr>
          <w:color w:val="000000"/>
          <w:szCs w:val="24"/>
          <w:lang w:val="fr-CH"/>
        </w:rPr>
      </w:pPr>
    </w:p>
    <w:p w14:paraId="3E807FBF" w14:textId="77777777" w:rsidR="00142456" w:rsidRPr="00CD09AC" w:rsidRDefault="00142456" w:rsidP="0041093A">
      <w:pPr>
        <w:pStyle w:val="Heading8"/>
        <w:spacing w:before="0" w:line="250" w:lineRule="exact"/>
        <w:jc w:val="left"/>
        <w:rPr>
          <w:lang w:val="fr-FR"/>
        </w:rPr>
      </w:pPr>
      <w:r w:rsidRPr="00CD09AC">
        <w:rPr>
          <w:lang w:val="fr-FR"/>
        </w:rPr>
        <w:t>Annexe 4</w:t>
      </w:r>
    </w:p>
    <w:p w14:paraId="62B1A331" w14:textId="77777777" w:rsidR="00142456" w:rsidRPr="00CD09AC" w:rsidRDefault="00142456" w:rsidP="00D65694">
      <w:pPr>
        <w:pStyle w:val="Annextitle0"/>
        <w:spacing w:before="60" w:after="60" w:line="250" w:lineRule="exact"/>
      </w:pPr>
      <w:r w:rsidRPr="00CD09AC">
        <w:t xml:space="preserve">Critères permettant de déterminer si un allotissement ou </w:t>
      </w:r>
      <w:r w:rsidRPr="00CD09AC">
        <w:br/>
        <w:t>une assignation est considéré(e) comme affecté(e)</w:t>
      </w:r>
    </w:p>
    <w:p w14:paraId="53CE82B7" w14:textId="0A1F6D79" w:rsidR="00356C34" w:rsidRPr="00CD09AC" w:rsidRDefault="00356C34" w:rsidP="00356C34">
      <w:pPr>
        <w:pStyle w:val="Heading8"/>
        <w:pBdr>
          <w:top w:val="double" w:sz="4" w:space="1" w:color="auto"/>
          <w:left w:val="double" w:sz="4" w:space="1" w:color="auto"/>
          <w:bottom w:val="double" w:sz="4" w:space="1" w:color="auto"/>
          <w:right w:val="double" w:sz="4" w:space="1" w:color="auto"/>
        </w:pBdr>
        <w:rPr>
          <w:lang w:val="fr-FR"/>
        </w:rPr>
      </w:pPr>
      <w:r w:rsidRPr="00CD09AC">
        <w:rPr>
          <w:lang w:val="fr-FR"/>
        </w:rPr>
        <w:t>2.</w:t>
      </w:r>
      <w:r w:rsidR="00946A46">
        <w:rPr>
          <w:lang w:val="fr-FR"/>
        </w:rPr>
        <w:t>1</w:t>
      </w:r>
      <w:r w:rsidR="00946A46">
        <w:rPr>
          <w:lang w:val="fr-FR"/>
        </w:rPr>
        <w:tab/>
      </w:r>
    </w:p>
    <w:p w14:paraId="2646C963" w14:textId="22E22A5D" w:rsidR="00946A46" w:rsidRPr="001D6E21" w:rsidRDefault="00946A46" w:rsidP="00946A46">
      <w:pPr>
        <w:rPr>
          <w:rFonts w:eastAsia="SimSun"/>
          <w:szCs w:val="24"/>
          <w:lang w:val="fr-FR" w:eastAsia="zh-CN"/>
        </w:rPr>
      </w:pPr>
      <w:r w:rsidRPr="001D6E21">
        <w:rPr>
          <w:rFonts w:eastAsia="SimSun"/>
          <w:szCs w:val="24"/>
          <w:lang w:val="fr-FR" w:eastAsia="zh-CN"/>
        </w:rPr>
        <w:t>1</w:t>
      </w:r>
      <w:r w:rsidRPr="001D6E21">
        <w:rPr>
          <w:rFonts w:eastAsia="SimSun"/>
          <w:szCs w:val="24"/>
          <w:lang w:val="fr-FR" w:eastAsia="zh-CN"/>
        </w:rPr>
        <w:tab/>
        <w:t>Pour protéger les réseaux existants dans l'ensemble de leur zone de service</w:t>
      </w:r>
      <w:r w:rsidRPr="001D6E21">
        <w:rPr>
          <w:lang w:val="fr-FR"/>
        </w:rPr>
        <w:t xml:space="preserve"> </w:t>
      </w:r>
      <w:r w:rsidRPr="001D6E21">
        <w:rPr>
          <w:rFonts w:eastAsia="SimSun"/>
          <w:lang w:val="fr-FR"/>
        </w:rPr>
        <w:t>en</w:t>
      </w:r>
      <w:r w:rsidRPr="001D6E21">
        <w:rPr>
          <w:rFonts w:eastAsia="SimSun"/>
          <w:szCs w:val="24"/>
          <w:lang w:val="fr-FR" w:eastAsia="zh-CN"/>
        </w:rPr>
        <w:t xml:space="preserve"> liaison descendante, un examen reposant sur un critère pour une seule source de brouillage sur l'ensemble de la zone de service en liaison descendante a été introduit au titre du § 2.1 de l'Annexe 4 de l'Appendice </w:t>
      </w:r>
      <w:r w:rsidRPr="001D6E21">
        <w:rPr>
          <w:rFonts w:eastAsia="SimSun"/>
          <w:b/>
          <w:bCs/>
          <w:szCs w:val="24"/>
          <w:lang w:val="fr-FR" w:eastAsia="zh-CN"/>
        </w:rPr>
        <w:t>30B</w:t>
      </w:r>
      <w:r w:rsidRPr="001D6E21">
        <w:rPr>
          <w:rFonts w:eastAsia="SimSun"/>
          <w:szCs w:val="24"/>
          <w:lang w:val="fr-FR" w:eastAsia="zh-CN"/>
        </w:rPr>
        <w:t>.</w:t>
      </w:r>
    </w:p>
    <w:p w14:paraId="04A89F4E" w14:textId="597FE4F6" w:rsidR="00946A46" w:rsidRPr="00045B98" w:rsidRDefault="00946A46" w:rsidP="00946A46">
      <w:pPr>
        <w:keepNext/>
        <w:keepLines/>
        <w:spacing w:before="100"/>
        <w:rPr>
          <w:rFonts w:eastAsia="SimSun"/>
          <w:color w:val="000000"/>
          <w:szCs w:val="24"/>
          <w:lang w:val="fr-CH"/>
        </w:rPr>
      </w:pPr>
      <w:r w:rsidRPr="001D6E21">
        <w:rPr>
          <w:rFonts w:eastAsia="SimSun"/>
          <w:szCs w:val="24"/>
          <w:lang w:val="fr-FR" w:eastAsia="zh-CN"/>
        </w:rPr>
        <w:t>2</w:t>
      </w:r>
      <w:r w:rsidRPr="001D6E21">
        <w:rPr>
          <w:rFonts w:eastAsia="SimSun"/>
          <w:szCs w:val="24"/>
          <w:lang w:val="fr-FR" w:eastAsia="zh-CN"/>
        </w:rPr>
        <w:tab/>
        <w:t xml:space="preserve">Comme indiqué dans la note de bas de page 19 se rapportant au § 2.1 de l'Annexe 4 de l'Appendice </w:t>
      </w:r>
      <w:r w:rsidRPr="001D6E21">
        <w:rPr>
          <w:rFonts w:eastAsia="SimSun"/>
          <w:b/>
          <w:bCs/>
          <w:szCs w:val="24"/>
          <w:lang w:val="fr-FR" w:eastAsia="zh-CN"/>
        </w:rPr>
        <w:t>30B</w:t>
      </w:r>
      <w:r w:rsidRPr="001D6E21">
        <w:rPr>
          <w:rFonts w:eastAsia="SimSun"/>
          <w:szCs w:val="24"/>
          <w:lang w:val="fr-FR" w:eastAsia="zh-CN"/>
        </w:rPr>
        <w:t xml:space="preserve"> (Rév.CMR-19), les valeurs de référence à l'intérieur de la zone de service en liaison descendante sont interpolées à partir des valeurs de référence sur les points de mesure correspondants. </w:t>
      </w:r>
      <w:r w:rsidRPr="001D6E21">
        <w:rPr>
          <w:rFonts w:eastAsia="SimSun"/>
          <w:color w:val="000000"/>
          <w:szCs w:val="24"/>
          <w:lang w:val="fr-FR"/>
        </w:rPr>
        <w:t>Il convient d'utiliser la formule et les conditions suivantes pour calculer les valeurs d'interpolation aux points</w:t>
      </w:r>
      <w:r w:rsidRPr="001D6E21">
        <w:rPr>
          <w:rFonts w:eastAsia="SimSun"/>
          <w:color w:val="000000"/>
          <w:position w:val="6"/>
          <w:sz w:val="16"/>
          <w:szCs w:val="24"/>
          <w:lang w:val="fr-FR"/>
        </w:rPr>
        <w:footnoteReference w:customMarkFollows="1" w:id="4"/>
        <w:t>4</w:t>
      </w:r>
      <w:r w:rsidRPr="001D6E21">
        <w:rPr>
          <w:rFonts w:eastAsia="SimSun"/>
          <w:color w:val="000000"/>
          <w:szCs w:val="24"/>
          <w:lang w:val="fr-FR"/>
        </w:rPr>
        <w:t xml:space="preserve"> de la grille couvrant la zone de service</w:t>
      </w:r>
      <w:r w:rsidRPr="001D6E21">
        <w:rPr>
          <w:rFonts w:eastAsia="SimSun"/>
          <w:szCs w:val="24"/>
          <w:lang w:val="fr-FR" w:eastAsia="zh-CN"/>
        </w:rPr>
        <w:t xml:space="preserve"> en liaison descendante</w:t>
      </w:r>
      <w:r w:rsidRPr="001D6E21">
        <w:rPr>
          <w:rFonts w:eastAsia="SimSun"/>
          <w:color w:val="000000"/>
          <w:szCs w:val="24"/>
          <w:lang w:val="fr-FR"/>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B9244F" w:rsidRPr="00CD09AC" w14:paraId="0B78701A" w14:textId="77777777" w:rsidTr="008361FB">
        <w:tc>
          <w:tcPr>
            <w:tcW w:w="688" w:type="dxa"/>
            <w:vAlign w:val="center"/>
          </w:tcPr>
          <w:p w14:paraId="61167CFF" w14:textId="77777777" w:rsidR="00B9244F" w:rsidRPr="00CD09AC" w:rsidRDefault="00B9244F" w:rsidP="008361FB">
            <w:pPr>
              <w:tabs>
                <w:tab w:val="left" w:pos="0"/>
                <w:tab w:val="left" w:pos="709"/>
              </w:tabs>
              <w:spacing w:before="0"/>
              <w:rPr>
                <w:rFonts w:eastAsia="SimSun"/>
                <w:color w:val="000000"/>
                <w:szCs w:val="24"/>
                <w:lang w:val="fr-FR"/>
              </w:rPr>
            </w:pPr>
          </w:p>
        </w:tc>
        <w:tc>
          <w:tcPr>
            <w:tcW w:w="7911" w:type="dxa"/>
            <w:vAlign w:val="center"/>
          </w:tcPr>
          <w:p w14:paraId="36C63846" w14:textId="77777777" w:rsidR="00B9244F" w:rsidRPr="00CD09AC" w:rsidRDefault="00B9244F" w:rsidP="008361FB">
            <w:pPr>
              <w:tabs>
                <w:tab w:val="left" w:pos="0"/>
                <w:tab w:val="left" w:pos="709"/>
              </w:tabs>
              <w:spacing w:before="0"/>
              <w:jc w:val="center"/>
              <w:rPr>
                <w:rFonts w:eastAsia="SimSun"/>
                <w:color w:val="000000"/>
                <w:szCs w:val="24"/>
                <w:lang w:val="fr-FR"/>
              </w:rPr>
            </w:pPr>
            <w:r w:rsidRPr="00CD09AC">
              <w:rPr>
                <w:rFonts w:ascii="Times New Roman" w:eastAsia="SimSun" w:hAnsi="Times New Roman"/>
                <w:lang w:val="fr-FR"/>
              </w:rPr>
              <w:object w:dxaOrig="1600" w:dyaOrig="960" w14:anchorId="4141D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60.75pt" o:ole="">
                  <v:imagedata r:id="rId18" o:title=""/>
                </v:shape>
                <o:OLEObject Type="Embed" ProgID="Equation.3" ShapeID="_x0000_i1025" DrawAspect="Content" ObjectID="_1794989828" r:id="rId19"/>
              </w:object>
            </w:r>
          </w:p>
        </w:tc>
        <w:tc>
          <w:tcPr>
            <w:tcW w:w="688" w:type="dxa"/>
            <w:vAlign w:val="center"/>
          </w:tcPr>
          <w:p w14:paraId="6D69B603" w14:textId="77777777" w:rsidR="00B9244F" w:rsidRPr="00CD09AC" w:rsidRDefault="00B9244F" w:rsidP="008361FB">
            <w:pPr>
              <w:tabs>
                <w:tab w:val="left" w:pos="0"/>
                <w:tab w:val="left" w:pos="709"/>
              </w:tabs>
              <w:spacing w:before="0"/>
              <w:jc w:val="right"/>
              <w:rPr>
                <w:rFonts w:eastAsia="SimSun"/>
                <w:color w:val="000000"/>
                <w:szCs w:val="24"/>
                <w:lang w:val="fr-FR"/>
              </w:rPr>
            </w:pPr>
            <w:r w:rsidRPr="00CD09AC">
              <w:rPr>
                <w:rFonts w:eastAsia="SimSun"/>
                <w:lang w:val="fr-FR"/>
              </w:rPr>
              <w:t>(1)</w:t>
            </w:r>
          </w:p>
        </w:tc>
      </w:tr>
    </w:tbl>
    <w:p w14:paraId="6F02BB5F" w14:textId="77777777" w:rsidR="003C4C29" w:rsidRDefault="003C4C29" w:rsidP="00C857EE">
      <w:pPr>
        <w:spacing w:before="0" w:line="250" w:lineRule="exact"/>
        <w:rPr>
          <w:rFonts w:asciiTheme="majorBidi" w:eastAsia="SimSun" w:hAnsiTheme="majorBidi" w:cstheme="majorBidi"/>
          <w:lang w:val="fr-FR"/>
        </w:rPr>
      </w:pPr>
      <w:r>
        <w:rPr>
          <w:rFonts w:asciiTheme="majorBidi" w:eastAsia="SimSun" w:hAnsiTheme="majorBidi" w:cstheme="majorBidi"/>
          <w:lang w:val="fr-FR"/>
        </w:rPr>
        <w:br w:type="page"/>
      </w:r>
    </w:p>
    <w:p w14:paraId="26715536" w14:textId="670968B4" w:rsidR="00157F82" w:rsidRPr="001D6E21" w:rsidRDefault="00157F82" w:rsidP="00C857EE">
      <w:pPr>
        <w:spacing w:before="0" w:line="250" w:lineRule="exact"/>
        <w:rPr>
          <w:rFonts w:asciiTheme="majorBidi" w:eastAsia="SimSun" w:hAnsiTheme="majorBidi" w:cstheme="majorBidi"/>
          <w:lang w:val="fr-FR"/>
        </w:rPr>
      </w:pPr>
      <w:r w:rsidRPr="001D6E21">
        <w:rPr>
          <w:rFonts w:asciiTheme="majorBidi" w:eastAsia="SimSun" w:hAnsiTheme="majorBidi" w:cstheme="majorBidi"/>
          <w:lang w:val="fr-FR"/>
        </w:rPr>
        <w:lastRenderedPageBreak/>
        <w:t>où:</w:t>
      </w:r>
    </w:p>
    <w:p w14:paraId="64DEC232"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de mesure h de la zone de service souhaitée sur la liaison descendante;</w:t>
      </w:r>
    </w:p>
    <w:p w14:paraId="50CCE03D"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numéro du point g de la grille des points d'examen dans la zone de service souhaitée sur la liaison descendante;</w:t>
      </w:r>
    </w:p>
    <w:p w14:paraId="5EC36976"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Nt</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nombre total de points de mesure;</w:t>
      </w:r>
    </w:p>
    <w:p w14:paraId="09B1C3E3"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d</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w:t>
      </w:r>
      <w:r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distance entre le point de mesure </w:t>
      </w:r>
      <w:r w:rsidRPr="001D6E21">
        <w:rPr>
          <w:rFonts w:asciiTheme="majorBidi" w:eastAsia="SimSun" w:hAnsiTheme="majorBidi" w:cstheme="majorBidi"/>
          <w:i/>
          <w:iCs/>
          <w:lang w:val="fr-FR"/>
        </w:rPr>
        <w:t>Th</w:t>
      </w:r>
      <w:r w:rsidRPr="001D6E21">
        <w:rPr>
          <w:rFonts w:asciiTheme="majorBidi" w:eastAsia="SimSun" w:hAnsiTheme="majorBidi" w:cstheme="majorBidi"/>
          <w:lang w:val="fr-FR"/>
        </w:rPr>
        <w:t xml:space="preserve"> et le point de la grille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6B0E4276" w14:textId="77777777" w:rsidR="00946A46" w:rsidRPr="001D6E21" w:rsidRDefault="00946A46" w:rsidP="00946A46">
      <w:pPr>
        <w:tabs>
          <w:tab w:val="left" w:pos="907"/>
          <w:tab w:val="left" w:pos="1418"/>
          <w:tab w:val="left" w:pos="2608"/>
          <w:tab w:val="left" w:pos="3345"/>
        </w:tabs>
        <w:spacing w:before="80"/>
        <w:ind w:left="1871" w:hanging="1077"/>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w:t>
      </w:r>
      <w:r w:rsidRPr="001D6E21">
        <w:rPr>
          <w:rFonts w:eastAsia="SimSun"/>
          <w:lang w:val="fr-FR"/>
        </w:rPr>
        <w:tab/>
      </w:r>
      <w:r w:rsidRPr="001D6E21">
        <w:rPr>
          <w:rFonts w:eastAsia="SimSun"/>
          <w:lang w:val="fr-FR"/>
        </w:rPr>
        <w:tab/>
        <w:t>valeur de référence du rapport porteuse/brouillage (</w:t>
      </w:r>
      <w:r w:rsidRPr="001D6E21">
        <w:rPr>
          <w:rFonts w:eastAsia="SimSun"/>
          <w:i/>
          <w:iCs/>
          <w:lang w:val="fr-FR"/>
        </w:rPr>
        <w:t>C</w:t>
      </w:r>
      <w:r w:rsidRPr="001D6E21">
        <w:rPr>
          <w:rFonts w:eastAsia="SimSun"/>
          <w:lang w:val="fr-FR"/>
        </w:rPr>
        <w:t>/</w:t>
      </w:r>
      <w:r w:rsidRPr="001D6E21">
        <w:rPr>
          <w:rFonts w:eastAsia="SimSun"/>
          <w:i/>
          <w:iCs/>
          <w:lang w:val="fr-FR"/>
        </w:rPr>
        <w:t>I)</w:t>
      </w:r>
      <w:r w:rsidRPr="001D6E21">
        <w:rPr>
          <w:rFonts w:eastAsia="SimSun"/>
          <w:lang w:val="fr-FR"/>
        </w:rPr>
        <w:t xml:space="preserve"> pour un brouillage dû à une source unique (dB) au point de mesure </w:t>
      </w:r>
      <w:r w:rsidRPr="001D6E21">
        <w:rPr>
          <w:rFonts w:eastAsia="SimSun"/>
          <w:i/>
          <w:iCs/>
          <w:lang w:val="fr-FR"/>
        </w:rPr>
        <w:t xml:space="preserve">Th </w:t>
      </w:r>
      <w:r w:rsidRPr="001D6E21">
        <w:rPr>
          <w:rFonts w:eastAsia="SimSun"/>
          <w:lang w:val="fr-FR"/>
        </w:rPr>
        <w:t xml:space="preserve">(c'est-à-dire 26,65 dB, ou </w:t>
      </w:r>
      <w:r w:rsidRPr="001D6E21">
        <w:rPr>
          <w:rFonts w:eastAsia="SimSun"/>
          <w:szCs w:val="24"/>
          <w:lang w:val="fr-FR" w:eastAsia="zh-CN"/>
        </w:rPr>
        <w:t>(</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11,65 dB,</w:t>
      </w:r>
      <w:r w:rsidRPr="001D6E21">
        <w:rPr>
          <w:lang w:val="fr-FR"/>
        </w:rPr>
        <w:t xml:space="preserve"> </w:t>
      </w:r>
      <w:r w:rsidRPr="001D6E21">
        <w:rPr>
          <w:rFonts w:eastAsia="SimSun"/>
          <w:szCs w:val="24"/>
          <w:lang w:val="fr-FR" w:eastAsia="zh-CN"/>
        </w:rPr>
        <w:t>en retenant la plus petite de ces valeurs)</w:t>
      </w:r>
      <w:r w:rsidRPr="001D6E21">
        <w:rPr>
          <w:rFonts w:eastAsia="SimSun"/>
          <w:lang w:val="fr-FR"/>
        </w:rPr>
        <w:t>;</w:t>
      </w:r>
    </w:p>
    <w:p w14:paraId="440A00A0" w14:textId="77777777" w:rsidR="00157F82" w:rsidRPr="001D6E21" w:rsidRDefault="00157F82" w:rsidP="00C857EE">
      <w:pPr>
        <w:pStyle w:val="enumlev2"/>
        <w:tabs>
          <w:tab w:val="left" w:pos="1418"/>
        </w:tabs>
        <w:spacing w:before="80" w:line="250" w:lineRule="exact"/>
        <w:ind w:left="1871" w:hanging="1077"/>
        <w:rPr>
          <w:rFonts w:asciiTheme="majorBidi" w:eastAsia="SimSun" w:hAnsiTheme="majorBidi" w:cstheme="majorBidi"/>
          <w:lang w:val="fr-FR"/>
        </w:rPr>
      </w:pPr>
      <w:r w:rsidRPr="001D6E21">
        <w:rPr>
          <w:rFonts w:asciiTheme="majorBidi" w:eastAsia="SimSun" w:hAnsiTheme="majorBidi" w:cstheme="majorBidi"/>
          <w:i/>
          <w:iCs/>
          <w:lang w:val="fr-FR"/>
        </w:rPr>
        <w:t>V</w:t>
      </w:r>
      <w:r w:rsidRPr="001D6E21">
        <w:rPr>
          <w:rFonts w:asciiTheme="majorBidi" w:eastAsia="SimSun" w:hAnsiTheme="majorBidi" w:cstheme="majorBidi"/>
          <w:i/>
          <w:iCs/>
          <w:vertAlign w:val="subscript"/>
          <w:lang w:val="fr-FR"/>
        </w:rPr>
        <w:t>Eg</w:t>
      </w:r>
      <w:r w:rsidRPr="001D6E21">
        <w:rPr>
          <w:rFonts w:asciiTheme="majorBidi" w:eastAsia="SimSun" w:hAnsiTheme="majorBidi" w:cstheme="majorBidi"/>
          <w:lang w:val="fr-FR"/>
        </w:rPr>
        <w:t>:</w:t>
      </w:r>
      <w:r w:rsidR="00EE0E5D" w:rsidRPr="001D6E21">
        <w:rPr>
          <w:rFonts w:asciiTheme="majorBidi" w:eastAsia="SimSun" w:hAnsiTheme="majorBidi" w:cstheme="majorBidi"/>
          <w:lang w:val="fr-FR"/>
        </w:rPr>
        <w:tab/>
      </w:r>
      <w:r w:rsidRPr="001D6E21">
        <w:rPr>
          <w:rFonts w:asciiTheme="majorBidi" w:eastAsia="SimSun" w:hAnsiTheme="majorBidi" w:cstheme="majorBidi"/>
          <w:lang w:val="fr-FR"/>
        </w:rPr>
        <w:tab/>
        <w:t xml:space="preserve">valeur d'interpolation de référence du rapport </w:t>
      </w:r>
      <w:r w:rsidRPr="001D6E21">
        <w:rPr>
          <w:rFonts w:asciiTheme="majorBidi" w:eastAsia="SimSun" w:hAnsiTheme="majorBidi" w:cstheme="majorBidi"/>
          <w:i/>
          <w:iCs/>
          <w:lang w:val="fr-FR"/>
        </w:rPr>
        <w:t>C</w:t>
      </w:r>
      <w:r w:rsidRPr="001D6E21">
        <w:rPr>
          <w:rFonts w:asciiTheme="majorBidi" w:eastAsia="SimSun" w:hAnsiTheme="majorBidi" w:cstheme="majorBidi"/>
          <w:lang w:val="fr-FR"/>
        </w:rPr>
        <w:t>/</w:t>
      </w:r>
      <w:r w:rsidRPr="001D6E21">
        <w:rPr>
          <w:rFonts w:asciiTheme="majorBidi" w:eastAsia="SimSun" w:hAnsiTheme="majorBidi" w:cstheme="majorBidi"/>
          <w:i/>
          <w:iCs/>
          <w:lang w:val="fr-FR"/>
        </w:rPr>
        <w:t>I</w:t>
      </w:r>
      <w:r w:rsidRPr="001D6E21">
        <w:rPr>
          <w:rFonts w:asciiTheme="majorBidi" w:eastAsia="SimSun" w:hAnsiTheme="majorBidi" w:cstheme="majorBidi"/>
          <w:lang w:val="fr-FR"/>
        </w:rPr>
        <w:t xml:space="preserve"> pour un brouillage dû à une source unique (dB) </w:t>
      </w:r>
      <w:r w:rsidRPr="001D6E21">
        <w:rPr>
          <w:rFonts w:asciiTheme="majorBidi" w:eastAsia="SimSun" w:hAnsiTheme="majorBidi" w:cstheme="majorBidi"/>
          <w:lang w:val="fr-FR" w:eastAsia="zh-CN"/>
        </w:rPr>
        <w:t>au point de la grille</w:t>
      </w:r>
      <w:r w:rsidRPr="001D6E21">
        <w:rPr>
          <w:rFonts w:asciiTheme="majorBidi" w:eastAsia="SimSun" w:hAnsiTheme="majorBidi" w:cstheme="majorBidi"/>
          <w:lang w:val="fr-FR"/>
        </w:rPr>
        <w:t xml:space="preserve"> </w:t>
      </w:r>
      <w:r w:rsidRPr="001D6E21">
        <w:rPr>
          <w:rFonts w:asciiTheme="majorBidi" w:eastAsia="SimSun" w:hAnsiTheme="majorBidi" w:cstheme="majorBidi"/>
          <w:i/>
          <w:iCs/>
          <w:lang w:val="fr-FR"/>
        </w:rPr>
        <w:t>Eg</w:t>
      </w:r>
      <w:r w:rsidRPr="001D6E21">
        <w:rPr>
          <w:rFonts w:asciiTheme="majorBidi" w:eastAsia="SimSun" w:hAnsiTheme="majorBidi" w:cstheme="majorBidi"/>
          <w:lang w:val="fr-FR"/>
        </w:rPr>
        <w:t>.</w:t>
      </w:r>
    </w:p>
    <w:p w14:paraId="4EC6C427" w14:textId="77777777" w:rsidR="00157F82" w:rsidRPr="001D6E21" w:rsidRDefault="00157F82" w:rsidP="00F769C9">
      <w:pPr>
        <w:pStyle w:val="enumlev1"/>
        <w:spacing w:line="250" w:lineRule="exact"/>
        <w:ind w:left="0" w:firstLine="0"/>
        <w:rPr>
          <w:rFonts w:asciiTheme="majorBidi" w:eastAsia="SimSun" w:hAnsiTheme="majorBidi" w:cstheme="majorBidi"/>
          <w:lang w:val="fr-FR" w:eastAsia="zh-CN"/>
        </w:rPr>
      </w:pPr>
      <w:r w:rsidRPr="001D6E21">
        <w:rPr>
          <w:rFonts w:asciiTheme="majorBidi" w:eastAsia="SimSun" w:hAnsiTheme="majorBidi" w:cstheme="majorBidi"/>
          <w:lang w:val="fr-FR" w:eastAsia="zh-CN"/>
        </w:rPr>
        <w:t>Si la valeur</w:t>
      </w:r>
      <w:r w:rsidRPr="001D6E21">
        <w:rPr>
          <w:rFonts w:asciiTheme="majorBidi" w:eastAsia="SimSun" w:hAnsiTheme="majorBidi" w:cstheme="majorBidi"/>
          <w:i/>
          <w:iCs/>
          <w:lang w:val="fr-FR"/>
        </w:rPr>
        <w:t xml:space="preserve"> (</w:t>
      </w:r>
      <w:proofErr w:type="gramStart"/>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 xml:space="preserve">Th </w:t>
      </w:r>
      <w:r w:rsidRPr="001D6E21">
        <w:rPr>
          <w:rFonts w:asciiTheme="majorBidi" w:eastAsia="SimSun" w:hAnsiTheme="majorBidi" w:cstheme="majorBidi"/>
          <w:i/>
          <w:iCs/>
          <w:lang w:val="fr-FR"/>
        </w:rPr>
        <w:t xml:space="preserve"> –</w:t>
      </w:r>
      <w:proofErr w:type="gramEnd"/>
      <w:r w:rsidRPr="001D6E21">
        <w:rPr>
          <w:rFonts w:asciiTheme="majorBidi" w:eastAsia="SimSun" w:hAnsiTheme="majorBidi" w:cstheme="majorBidi"/>
          <w:i/>
          <w:iCs/>
          <w:lang w:val="fr-FR"/>
        </w:rPr>
        <w:t xml:space="preserve"> ((C/N)</w:t>
      </w:r>
      <w:r w:rsidRPr="001D6E21">
        <w:rPr>
          <w:rFonts w:asciiTheme="majorBidi" w:eastAsia="SimSun" w:hAnsiTheme="majorBidi" w:cstheme="majorBidi"/>
          <w:i/>
          <w:iCs/>
          <w:vertAlign w:val="subscript"/>
          <w:lang w:val="fr-FR"/>
        </w:rPr>
        <w:t>d, 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d,</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eastAsia="zh-CN"/>
        </w:rPr>
        <w:t>est inférieure à</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eastAsia="zh-CN"/>
        </w:rPr>
        <w:t xml:space="preserve">, </w:t>
      </w:r>
      <w:r w:rsidRPr="001D6E21">
        <w:rPr>
          <w:rFonts w:asciiTheme="majorBidi" w:eastAsia="SimSun" w:hAnsiTheme="majorBidi" w:cstheme="majorBidi"/>
          <w:lang w:val="fr-FR" w:eastAsia="zh-CN"/>
        </w:rPr>
        <w:br/>
        <w:t xml:space="preserve">alors </w:t>
      </w:r>
      <w:r w:rsidRPr="001D6E21">
        <w:rPr>
          <w:rFonts w:asciiTheme="majorBidi" w:eastAsia="SimSun" w:hAnsiTheme="majorBidi" w:cstheme="majorBidi"/>
          <w:i/>
          <w:iCs/>
          <w:lang w:val="fr-FR"/>
        </w:rPr>
        <w:t>(R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Th </w:t>
      </w:r>
      <w:r w:rsidRPr="001D6E21">
        <w:rPr>
          <w:rFonts w:asciiTheme="majorBidi" w:eastAsia="SimSun" w:hAnsiTheme="majorBidi" w:cstheme="majorBidi"/>
          <w:i/>
          <w:iCs/>
          <w:lang w:val="fr-FR"/>
        </w:rPr>
        <w:t xml:space="preserve"> – (C/N)</w:t>
      </w:r>
      <w:r w:rsidRPr="001D6E21">
        <w:rPr>
          <w:rFonts w:asciiTheme="majorBidi" w:eastAsia="SimSun" w:hAnsiTheme="majorBidi" w:cstheme="majorBidi"/>
          <w:i/>
          <w:iCs/>
          <w:vertAlign w:val="subscript"/>
          <w:lang w:val="fr-FR"/>
        </w:rPr>
        <w:t xml:space="preserve">d, </w:t>
      </w:r>
      <w:r w:rsidRPr="001D6E21">
        <w:rPr>
          <w:rFonts w:asciiTheme="majorBidi" w:eastAsia="SimSun" w:hAnsiTheme="majorBidi" w:cstheme="majorBidi"/>
          <w:i/>
          <w:iCs/>
          <w:vertAlign w:val="subscript"/>
          <w:lang w:val="fr-FR" w:eastAsia="zh-CN"/>
        </w:rPr>
        <w:t>E</w:t>
      </w:r>
      <w:r w:rsidRPr="001D6E21">
        <w:rPr>
          <w:rFonts w:asciiTheme="majorBidi" w:eastAsia="SimSun" w:hAnsiTheme="majorBidi" w:cstheme="majorBidi"/>
          <w:i/>
          <w:iCs/>
          <w:vertAlign w:val="subscript"/>
          <w:lang w:val="fr-FR"/>
        </w:rPr>
        <w:t>g</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est utilisée dans</w:t>
      </w:r>
      <w:r w:rsidRPr="001D6E21">
        <w:rPr>
          <w:rFonts w:asciiTheme="majorBidi" w:eastAsia="SimSun" w:hAnsiTheme="majorBidi" w:cstheme="majorBidi"/>
          <w:i/>
          <w:iCs/>
          <w:lang w:val="fr-FR"/>
        </w:rPr>
        <w:t xml:space="preserve"> </w:t>
      </w:r>
      <w:r w:rsidRPr="001D6E21">
        <w:rPr>
          <w:rFonts w:asciiTheme="majorBidi" w:eastAsia="SimSun" w:hAnsiTheme="majorBidi" w:cstheme="majorBidi"/>
          <w:lang w:val="fr-FR"/>
        </w:rPr>
        <w:t>(1) en lieu et place de</w:t>
      </w:r>
      <w:r w:rsidRPr="001D6E21">
        <w:rPr>
          <w:rFonts w:asciiTheme="majorBidi" w:eastAsia="SimSun" w:hAnsiTheme="majorBidi" w:cstheme="majorBidi"/>
          <w:i/>
          <w:iCs/>
          <w:lang w:val="fr-FR"/>
        </w:rPr>
        <w:t xml:space="preserve"> R</w:t>
      </w:r>
      <w:r w:rsidRPr="001D6E21">
        <w:rPr>
          <w:rFonts w:asciiTheme="majorBidi" w:eastAsia="SimSun" w:hAnsiTheme="majorBidi" w:cstheme="majorBidi"/>
          <w:i/>
          <w:iCs/>
          <w:vertAlign w:val="subscript"/>
          <w:lang w:val="fr-FR"/>
        </w:rPr>
        <w:t>Th</w:t>
      </w:r>
      <w:r w:rsidRPr="001D6E21">
        <w:rPr>
          <w:rFonts w:asciiTheme="majorBidi" w:eastAsia="SimSun" w:hAnsiTheme="majorBidi" w:cstheme="majorBidi"/>
          <w:lang w:val="fr-FR"/>
        </w:rPr>
        <w:t xml:space="preserve">, </w:t>
      </w:r>
    </w:p>
    <w:p w14:paraId="3A5FF7B1" w14:textId="77777777" w:rsidR="00157F82" w:rsidRPr="00CD09AC" w:rsidRDefault="00157F82" w:rsidP="00F769C9">
      <w:pPr>
        <w:spacing w:line="250" w:lineRule="exact"/>
        <w:rPr>
          <w:rFonts w:asciiTheme="majorBidi" w:eastAsia="SimSun" w:hAnsiTheme="majorBidi" w:cstheme="majorBidi"/>
          <w:lang w:val="fr-FR"/>
        </w:rPr>
      </w:pPr>
      <w:r w:rsidRPr="001D6E21">
        <w:rPr>
          <w:rFonts w:asciiTheme="majorBidi" w:eastAsia="SimSun" w:hAnsiTheme="majorBidi" w:cstheme="majorBidi"/>
          <w:lang w:val="fr-FR"/>
        </w:rPr>
        <w:t>où:</w:t>
      </w:r>
    </w:p>
    <w:p w14:paraId="0EAE0DE1" w14:textId="77777777" w:rsidR="00157F82" w:rsidRPr="00CD09AC" w:rsidRDefault="00157F82" w:rsidP="00C857EE">
      <w:pPr>
        <w:pStyle w:val="enumlev2"/>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 Th</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 xml:space="preserve"> </w:t>
      </w:r>
      <w:r w:rsidRPr="00CD09AC">
        <w:rPr>
          <w:rFonts w:asciiTheme="majorBidi" w:eastAsia="SimSun" w:hAnsiTheme="majorBidi" w:cstheme="majorBidi"/>
          <w:lang w:val="fr-FR" w:eastAsia="zh-CN"/>
        </w:rPr>
        <w:tab/>
        <w:t>valeur du rapport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w:t>
      </w:r>
      <w:r w:rsidRPr="00CD09AC">
        <w:rPr>
          <w:rFonts w:asciiTheme="majorBidi" w:eastAsia="SimSun" w:hAnsiTheme="majorBidi" w:cstheme="majorBidi"/>
          <w:lang w:val="fr-FR" w:eastAsia="zh-CN"/>
        </w:rPr>
        <w:t>au point de mesure</w:t>
      </w:r>
      <w:r w:rsidRPr="00CD09AC">
        <w:rPr>
          <w:rFonts w:asciiTheme="majorBidi" w:eastAsia="SimSun" w:hAnsiTheme="majorBidi" w:cstheme="majorBidi"/>
          <w:i/>
          <w:iCs/>
          <w:lang w:val="fr-FR"/>
        </w:rPr>
        <w:t xml:space="preserve"> Th</w:t>
      </w:r>
      <w:r w:rsidRPr="00CD09AC">
        <w:rPr>
          <w:rFonts w:eastAsia="SimSun"/>
          <w:lang w:val="fr-FR"/>
        </w:rPr>
        <w:t>;</w:t>
      </w:r>
    </w:p>
    <w:p w14:paraId="46573CA4" w14:textId="77777777" w:rsidR="00157F82" w:rsidRPr="00CD09AC" w:rsidRDefault="00157F82" w:rsidP="00C857EE">
      <w:pPr>
        <w:pStyle w:val="enumlev2"/>
        <w:tabs>
          <w:tab w:val="left" w:pos="1418"/>
        </w:tabs>
        <w:spacing w:before="80" w:line="250" w:lineRule="exact"/>
        <w:ind w:left="1871" w:hanging="1077"/>
        <w:rPr>
          <w:rFonts w:asciiTheme="majorBidi" w:eastAsia="SimSun" w:hAnsiTheme="majorBidi" w:cstheme="majorBidi"/>
          <w:i/>
          <w:iCs/>
          <w:lang w:val="fr-FR" w:eastAsia="zh-CN"/>
        </w:rPr>
      </w:pPr>
      <w:r w:rsidRPr="00CD09AC">
        <w:rPr>
          <w:rFonts w:asciiTheme="majorBidi" w:eastAsia="SimSun" w:hAnsiTheme="majorBidi" w:cstheme="majorBidi"/>
          <w:i/>
          <w:iCs/>
          <w:lang w:val="fr-FR"/>
        </w:rPr>
        <w:t>(C/N)</w:t>
      </w:r>
      <w:r w:rsidRPr="00CD09AC">
        <w:rPr>
          <w:rFonts w:asciiTheme="majorBidi" w:eastAsia="SimSun" w:hAnsiTheme="majorBidi" w:cstheme="majorBidi"/>
          <w:i/>
          <w:iCs/>
          <w:vertAlign w:val="subscript"/>
          <w:lang w:val="fr-FR"/>
        </w:rPr>
        <w:t>d</w:t>
      </w:r>
      <w:r w:rsidRPr="00CD09AC">
        <w:rPr>
          <w:rFonts w:asciiTheme="majorBidi" w:eastAsia="SimSun" w:hAnsiTheme="majorBidi" w:cstheme="majorBidi"/>
          <w:i/>
          <w:iCs/>
          <w:vertAlign w:val="subscript"/>
          <w:lang w:val="fr-FR" w:eastAsia="zh-CN"/>
        </w:rPr>
        <w:t>, Eg</w:t>
      </w:r>
      <w:r w:rsidRPr="00CD09AC">
        <w:rPr>
          <w:rFonts w:asciiTheme="majorBidi" w:eastAsia="SimSun" w:hAnsiTheme="majorBidi" w:cstheme="majorBidi"/>
          <w:lang w:val="fr-FR"/>
        </w:rPr>
        <w:t>:</w:t>
      </w:r>
      <w:r w:rsidRPr="00CD09AC">
        <w:rPr>
          <w:rFonts w:asciiTheme="majorBidi" w:eastAsia="SimSun" w:hAnsiTheme="majorBidi" w:cstheme="majorBidi"/>
          <w:lang w:val="fr-FR" w:eastAsia="zh-CN"/>
        </w:rPr>
        <w:tab/>
        <w:t xml:space="preserve">valeur du </w:t>
      </w:r>
      <w:r w:rsidRPr="00CD09AC">
        <w:rPr>
          <w:rFonts w:asciiTheme="majorBidi" w:eastAsia="SimSun" w:hAnsiTheme="majorBidi" w:cstheme="majorBidi"/>
          <w:lang w:val="fr-FR"/>
        </w:rPr>
        <w:t>rapport</w:t>
      </w:r>
      <w:r w:rsidRPr="00CD09AC">
        <w:rPr>
          <w:rFonts w:asciiTheme="majorBidi" w:eastAsia="SimSun" w:hAnsiTheme="majorBidi" w:cstheme="majorBidi"/>
          <w:lang w:val="fr-FR" w:eastAsia="zh-CN"/>
        </w:rPr>
        <w:t xml:space="preserve"> porteuse/bruit (</w:t>
      </w:r>
      <w:r w:rsidRPr="00CD09AC">
        <w:rPr>
          <w:rFonts w:asciiTheme="majorBidi" w:eastAsia="SimSun" w:hAnsiTheme="majorBidi" w:cstheme="majorBidi"/>
          <w:i/>
          <w:iCs/>
          <w:lang w:val="fr-FR"/>
        </w:rPr>
        <w:t xml:space="preserve">C/N) </w:t>
      </w:r>
      <w:r w:rsidRPr="00CD09AC">
        <w:rPr>
          <w:rFonts w:asciiTheme="majorBidi" w:eastAsia="SimSun" w:hAnsiTheme="majorBidi" w:cstheme="majorBidi"/>
          <w:lang w:val="fr-FR"/>
        </w:rPr>
        <w:t xml:space="preserve">sur la liaison descendante, au point de la grille </w:t>
      </w:r>
      <w:r w:rsidRPr="00CD09AC">
        <w:rPr>
          <w:rFonts w:asciiTheme="majorBidi" w:eastAsia="SimSun" w:hAnsiTheme="majorBidi" w:cstheme="majorBidi"/>
          <w:i/>
          <w:iCs/>
          <w:lang w:val="fr-FR"/>
        </w:rPr>
        <w:t>Eg</w:t>
      </w:r>
      <w:r w:rsidRPr="00CD09AC">
        <w:rPr>
          <w:rFonts w:asciiTheme="majorBidi" w:eastAsia="SimSun" w:hAnsiTheme="majorBidi" w:cstheme="majorBidi"/>
          <w:i/>
          <w:iCs/>
          <w:lang w:val="fr-FR" w:eastAsia="zh-CN"/>
        </w:rPr>
        <w:t xml:space="preserve">. </w:t>
      </w:r>
    </w:p>
    <w:p w14:paraId="1BBE397F" w14:textId="1BD5879D" w:rsidR="0079064C" w:rsidRPr="001D6E21" w:rsidRDefault="00157F82" w:rsidP="00F769C9">
      <w:pPr>
        <w:spacing w:line="250" w:lineRule="exact"/>
        <w:rPr>
          <w:rFonts w:asciiTheme="majorBidi" w:eastAsia="SimSun" w:hAnsiTheme="majorBidi" w:cstheme="majorBidi"/>
          <w:sz w:val="22"/>
          <w:lang w:val="fr-FR"/>
        </w:rPr>
      </w:pPr>
      <w:r w:rsidRPr="001D6E21">
        <w:rPr>
          <w:rFonts w:asciiTheme="majorBidi" w:eastAsia="SimSun" w:hAnsiTheme="majorBidi" w:cstheme="majorBidi"/>
          <w:sz w:val="22"/>
          <w:lang w:val="fr-FR"/>
        </w:rPr>
        <w:t>3</w:t>
      </w:r>
      <w:r w:rsidRPr="001D6E21">
        <w:rPr>
          <w:rFonts w:asciiTheme="majorBidi" w:eastAsia="SimSun" w:hAnsiTheme="majorBidi" w:cstheme="majorBidi"/>
          <w:sz w:val="22"/>
          <w:lang w:val="fr-FR"/>
        </w:rPr>
        <w:tab/>
        <w:t xml:space="preserve">Si la valeur d'interpolation </w:t>
      </w:r>
      <w:r w:rsidRPr="001D6E21">
        <w:rPr>
          <w:rFonts w:asciiTheme="majorBidi" w:eastAsia="SimSun" w:hAnsiTheme="majorBidi" w:cstheme="majorBidi"/>
          <w:i/>
          <w:iCs/>
          <w:sz w:val="22"/>
          <w:lang w:val="fr-FR"/>
        </w:rPr>
        <w:t>V</w:t>
      </w:r>
      <w:r w:rsidRPr="001D6E21">
        <w:rPr>
          <w:rFonts w:asciiTheme="majorBidi" w:eastAsia="SimSun" w:hAnsiTheme="majorBidi" w:cstheme="majorBidi"/>
          <w:i/>
          <w:iCs/>
          <w:sz w:val="22"/>
          <w:vertAlign w:val="subscript"/>
          <w:lang w:val="fr-FR"/>
        </w:rPr>
        <w:t>Eg</w:t>
      </w:r>
      <w:r w:rsidRPr="001D6E21">
        <w:rPr>
          <w:rFonts w:asciiTheme="majorBidi" w:eastAsia="SimSun" w:hAnsiTheme="majorBidi" w:cstheme="majorBidi"/>
          <w:sz w:val="22"/>
          <w:lang w:val="fr-FR"/>
        </w:rPr>
        <w:t xml:space="preserve"> est supérieure à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la valeur (</w:t>
      </w:r>
      <w:r w:rsidRPr="001D6E21">
        <w:rPr>
          <w:rFonts w:asciiTheme="majorBidi" w:eastAsia="SimSun" w:hAnsiTheme="majorBidi" w:cstheme="majorBidi"/>
          <w:i/>
          <w:iCs/>
          <w:sz w:val="22"/>
          <w:lang w:val="fr-FR"/>
        </w:rPr>
        <w:t>C</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lang w:val="fr-FR"/>
        </w:rPr>
        <w:t>N</w:t>
      </w:r>
      <w:r w:rsidRPr="001D6E21">
        <w:rPr>
          <w:rFonts w:asciiTheme="majorBidi" w:eastAsia="SimSun" w:hAnsiTheme="majorBidi" w:cstheme="majorBidi"/>
          <w:sz w:val="22"/>
          <w:lang w:val="fr-FR"/>
        </w:rPr>
        <w:t>)</w:t>
      </w:r>
      <w:r w:rsidRPr="001D6E21">
        <w:rPr>
          <w:rFonts w:asciiTheme="majorBidi" w:eastAsia="SimSun" w:hAnsiTheme="majorBidi" w:cstheme="majorBidi"/>
          <w:i/>
          <w:iCs/>
          <w:sz w:val="22"/>
          <w:vertAlign w:val="subscript"/>
          <w:lang w:val="fr-FR"/>
        </w:rPr>
        <w:t>d</w:t>
      </w:r>
      <w:r w:rsidRPr="001D6E21">
        <w:rPr>
          <w:rFonts w:asciiTheme="majorBidi" w:eastAsia="SimSun" w:hAnsiTheme="majorBidi" w:cstheme="majorBidi"/>
          <w:i/>
          <w:iCs/>
          <w:sz w:val="22"/>
          <w:vertAlign w:val="subscript"/>
          <w:lang w:val="fr-FR" w:eastAsia="zh-CN"/>
        </w:rPr>
        <w:t>, Eg</w:t>
      </w:r>
      <w:r w:rsidRPr="001D6E21">
        <w:rPr>
          <w:rFonts w:asciiTheme="majorBidi" w:eastAsia="SimSun" w:hAnsiTheme="majorBidi" w:cstheme="majorBidi"/>
          <w:sz w:val="22"/>
          <w:lang w:val="fr-FR"/>
        </w:rPr>
        <w:t xml:space="preserve"> + 11,65 dB est alors utilisée comme valeur de référence pour le point de la grille </w:t>
      </w:r>
      <w:r w:rsidRPr="001D6E21">
        <w:rPr>
          <w:rFonts w:asciiTheme="majorBidi" w:eastAsia="SimSun" w:hAnsiTheme="majorBidi" w:cstheme="majorBidi"/>
          <w:i/>
          <w:iCs/>
          <w:sz w:val="22"/>
          <w:lang w:val="fr-FR"/>
        </w:rPr>
        <w:t>Eg</w:t>
      </w:r>
      <w:r w:rsidRPr="001D6E21">
        <w:rPr>
          <w:rFonts w:asciiTheme="majorBidi" w:eastAsia="SimSun" w:hAnsiTheme="majorBidi" w:cstheme="majorBidi"/>
          <w:sz w:val="22"/>
          <w:lang w:val="fr-FR" w:eastAsia="zh-CN"/>
        </w:rPr>
        <w:t>.</w:t>
      </w:r>
      <w:r w:rsidRPr="001D6E21">
        <w:rPr>
          <w:rFonts w:asciiTheme="majorBidi" w:eastAsia="SimSun" w:hAnsiTheme="majorBidi" w:cstheme="majorBidi"/>
          <w:sz w:val="22"/>
          <w:lang w:val="fr-FR"/>
        </w:rPr>
        <w:t xml:space="preserve"> Sinon, la valeur d'interpolation est la valeur de référence.</w:t>
      </w:r>
    </w:p>
    <w:p w14:paraId="54EB9CF6" w14:textId="77777777" w:rsidR="00946A46" w:rsidRPr="001D6E21" w:rsidRDefault="00946A46" w:rsidP="00946A46">
      <w:pPr>
        <w:tabs>
          <w:tab w:val="left" w:pos="0"/>
          <w:tab w:val="left" w:pos="709"/>
        </w:tabs>
        <w:spacing w:before="240"/>
        <w:rPr>
          <w:rFonts w:eastAsia="SimSun"/>
          <w:lang w:val="fr-FR"/>
        </w:rPr>
      </w:pPr>
      <w:r w:rsidRPr="001D6E21">
        <w:rPr>
          <w:rFonts w:eastAsia="SimSun"/>
          <w:lang w:val="fr-FR"/>
        </w:rPr>
        <w:t>4</w:t>
      </w:r>
      <w:r w:rsidRPr="001D6E21">
        <w:rPr>
          <w:rFonts w:eastAsia="SimSun"/>
          <w:lang w:val="fr-FR"/>
        </w:rPr>
        <w:tab/>
        <w:t xml:space="preserve">La note de bas de page 10 se rapportant au § 2.1 de l'Appendice 1 à la Pièce jointe 1 à la Résolution </w:t>
      </w:r>
      <w:r w:rsidRPr="001D6E21">
        <w:rPr>
          <w:rFonts w:eastAsia="SimSun"/>
          <w:b/>
          <w:bCs/>
          <w:lang w:val="fr-FR"/>
        </w:rPr>
        <w:t>170 (CMR-19)</w:t>
      </w:r>
      <w:r w:rsidRPr="001D6E21">
        <w:rPr>
          <w:rFonts w:eastAsia="SimSun"/>
          <w:lang w:val="fr-FR"/>
        </w:rPr>
        <w:t xml:space="preserve"> renvoie à la même méthode d'interpolation que celle qui est décrite ci</w:t>
      </w:r>
      <w:r w:rsidRPr="001D6E21">
        <w:rPr>
          <w:rFonts w:eastAsia="SimSun"/>
          <w:lang w:val="fr-FR"/>
        </w:rPr>
        <w:noBreakHyphen/>
        <w:t xml:space="preserve">dessus. En conséquence, lors de l'application du § 2.1 de l'Appendice 1 à la Pièce jointe 1 à la Résolution </w:t>
      </w:r>
      <w:r w:rsidRPr="001D6E21">
        <w:rPr>
          <w:rFonts w:eastAsia="SimSun"/>
          <w:b/>
          <w:bCs/>
          <w:lang w:val="fr-FR"/>
        </w:rPr>
        <w:t>170 (CMR-19)</w:t>
      </w:r>
      <w:r w:rsidRPr="001D6E21">
        <w:rPr>
          <w:rFonts w:eastAsia="SimSun"/>
          <w:lang w:val="fr-FR"/>
        </w:rPr>
        <w:t>,</w:t>
      </w:r>
      <w:r w:rsidRPr="001D6E21">
        <w:rPr>
          <w:rFonts w:eastAsia="SimSun"/>
          <w:b/>
          <w:bCs/>
          <w:lang w:val="fr-FR"/>
        </w:rPr>
        <w:t xml:space="preserve"> </w:t>
      </w:r>
      <w:r w:rsidRPr="001D6E21">
        <w:rPr>
          <w:rFonts w:eastAsia="SimSun"/>
          <w:bCs/>
          <w:lang w:val="fr-FR"/>
        </w:rPr>
        <w:t xml:space="preserve">la méthode exposée aux </w:t>
      </w:r>
      <w:r w:rsidRPr="001D6E21">
        <w:rPr>
          <w:rFonts w:eastAsia="SimSun"/>
          <w:lang w:val="fr-FR"/>
        </w:rPr>
        <w:t xml:space="preserve">§ 2 et 3 </w:t>
      </w:r>
      <w:r w:rsidRPr="001D6E21">
        <w:rPr>
          <w:rFonts w:eastAsia="SimSun"/>
          <w:bCs/>
          <w:lang w:val="fr-FR"/>
        </w:rPr>
        <w:t>ci-dessus doit être utilisée pour calculer les valeurs d'interpolation aux points de la grille couvrant la zone de service en liaison descendante, moyennant les modifications suivantes:</w:t>
      </w:r>
    </w:p>
    <w:p w14:paraId="6DF16647" w14:textId="77777777" w:rsidR="00946A46" w:rsidRPr="001D6E21" w:rsidRDefault="00946A46" w:rsidP="00946A46">
      <w:pPr>
        <w:tabs>
          <w:tab w:val="clear" w:pos="1134"/>
        </w:tabs>
        <w:spacing w:before="160"/>
        <w:ind w:left="720"/>
        <w:rPr>
          <w:rFonts w:eastAsia="SimSun"/>
          <w:lang w:val="fr-FR"/>
        </w:rPr>
      </w:pPr>
      <w:r w:rsidRPr="001D6E21">
        <w:rPr>
          <w:rFonts w:eastAsia="SimSun"/>
          <w:i/>
          <w:iCs/>
          <w:lang w:val="fr-FR"/>
        </w:rPr>
        <w:t>R</w:t>
      </w:r>
      <w:r w:rsidRPr="001D6E21">
        <w:rPr>
          <w:rFonts w:eastAsia="SimSun"/>
          <w:i/>
          <w:iCs/>
          <w:vertAlign w:val="subscript"/>
          <w:lang w:val="fr-FR"/>
        </w:rPr>
        <w:t>Th</w:t>
      </w:r>
      <w:r w:rsidRPr="001D6E21">
        <w:rPr>
          <w:rFonts w:eastAsia="SimSun"/>
          <w:lang w:val="fr-FR"/>
        </w:rPr>
        <w:t xml:space="preserve"> est défini comme étant la valeur de référence du rapport porteuse/brouillage (C/I) pour un brouillage dû à une source unique (dB) au point de mesure </w:t>
      </w:r>
      <w:r w:rsidRPr="001D6E21">
        <w:rPr>
          <w:rFonts w:eastAsia="SimSun"/>
          <w:i/>
          <w:iCs/>
          <w:lang w:val="fr-FR"/>
        </w:rPr>
        <w:t>Th</w:t>
      </w:r>
      <w:r w:rsidRPr="001D6E21">
        <w:rPr>
          <w:rFonts w:eastAsia="SimSun"/>
          <w:lang w:val="fr-FR"/>
        </w:rPr>
        <w:t xml:space="preserve"> (c'est-à-dire 23,65 dB, </w:t>
      </w:r>
      <w:r w:rsidRPr="001D6E21">
        <w:rPr>
          <w:rFonts w:eastAsia="SimSun"/>
          <w:szCs w:val="24"/>
          <w:lang w:val="fr-FR" w:eastAsia="zh-CN"/>
        </w:rPr>
        <w:t>ou (</w:t>
      </w:r>
      <w:r w:rsidRPr="001D6E21">
        <w:rPr>
          <w:rFonts w:eastAsia="SimSun"/>
          <w:i/>
          <w:iCs/>
          <w:szCs w:val="24"/>
          <w:lang w:val="fr-FR" w:eastAsia="zh-CN"/>
        </w:rPr>
        <w:t>C</w:t>
      </w:r>
      <w:r w:rsidRPr="001D6E21">
        <w:rPr>
          <w:rFonts w:eastAsia="SimSun"/>
          <w:szCs w:val="24"/>
          <w:lang w:val="fr-FR" w:eastAsia="zh-CN"/>
        </w:rPr>
        <w:t>/</w:t>
      </w:r>
      <w:r w:rsidRPr="001D6E21">
        <w:rPr>
          <w:rFonts w:eastAsia="SimSun"/>
          <w:i/>
          <w:iCs/>
          <w:szCs w:val="24"/>
          <w:lang w:val="fr-FR" w:eastAsia="zh-CN"/>
        </w:rPr>
        <w:t>N</w:t>
      </w:r>
      <w:r w:rsidRPr="001D6E21">
        <w:rPr>
          <w:rFonts w:eastAsia="SimSun"/>
          <w:szCs w:val="24"/>
          <w:lang w:val="fr-FR" w:eastAsia="zh-CN"/>
        </w:rPr>
        <w:t>)</w:t>
      </w:r>
      <w:r w:rsidRPr="001D6E21">
        <w:rPr>
          <w:rFonts w:eastAsia="SimSun"/>
          <w:i/>
          <w:iCs/>
          <w:sz w:val="16"/>
          <w:szCs w:val="16"/>
          <w:lang w:val="fr-FR" w:eastAsia="zh-CN"/>
        </w:rPr>
        <w:t xml:space="preserve">d </w:t>
      </w:r>
      <w:r w:rsidRPr="001D6E21">
        <w:rPr>
          <w:rFonts w:eastAsia="SimSun"/>
          <w:i/>
          <w:iCs/>
          <w:szCs w:val="24"/>
          <w:lang w:val="fr-FR" w:eastAsia="zh-CN"/>
        </w:rPr>
        <w:t xml:space="preserve">+ </w:t>
      </w:r>
      <w:r w:rsidRPr="001D6E21">
        <w:rPr>
          <w:rFonts w:eastAsia="SimSun"/>
          <w:szCs w:val="24"/>
          <w:lang w:val="fr-FR" w:eastAsia="zh-CN"/>
        </w:rPr>
        <w:t>8,65 dB, ou toute autre valeur déjà acceptée, en retenant la plus petite de ces valeurs)</w:t>
      </w:r>
      <w:r w:rsidRPr="001D6E21">
        <w:rPr>
          <w:rFonts w:eastAsia="SimSun"/>
          <w:lang w:val="fr-FR"/>
        </w:rPr>
        <w:t>;</w:t>
      </w:r>
    </w:p>
    <w:p w14:paraId="60ED949F" w14:textId="16FE4879" w:rsidR="00946A46" w:rsidRDefault="00946A46" w:rsidP="00D001BB">
      <w:pPr>
        <w:tabs>
          <w:tab w:val="left" w:pos="0"/>
          <w:tab w:val="left" w:pos="709"/>
        </w:tabs>
        <w:spacing w:before="120"/>
        <w:ind w:left="709" w:hanging="709"/>
        <w:rPr>
          <w:rFonts w:eastAsia="SimSun"/>
          <w:lang w:val="fr-FR"/>
        </w:rPr>
      </w:pPr>
      <w:r w:rsidRPr="001D6E21">
        <w:rPr>
          <w:rFonts w:eastAsia="SimSun"/>
          <w:lang w:val="fr-FR"/>
        </w:rPr>
        <w:tab/>
      </w:r>
      <w:proofErr w:type="gramStart"/>
      <w:r w:rsidRPr="001D6E21">
        <w:rPr>
          <w:rFonts w:eastAsia="SimSun"/>
          <w:lang w:val="fr-FR"/>
        </w:rPr>
        <w:t>une</w:t>
      </w:r>
      <w:proofErr w:type="gramEnd"/>
      <w:r w:rsidRPr="001D6E21">
        <w:rPr>
          <w:rFonts w:eastAsia="SimSun"/>
          <w:lang w:val="fr-FR"/>
        </w:rPr>
        <w:t xml:space="preserve"> valeur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+8,65 dB doit être utilisée en lieu et place de (</w:t>
      </w:r>
      <w:r w:rsidRPr="001D6E21">
        <w:rPr>
          <w:rFonts w:eastAsia="SimSun"/>
          <w:i/>
          <w:iCs/>
          <w:lang w:val="fr-FR"/>
        </w:rPr>
        <w:t>C</w:t>
      </w:r>
      <w:r w:rsidRPr="001D6E21">
        <w:rPr>
          <w:rFonts w:eastAsia="SimSun"/>
          <w:lang w:val="fr-FR"/>
        </w:rPr>
        <w:t>/</w:t>
      </w:r>
      <w:r w:rsidRPr="001D6E21">
        <w:rPr>
          <w:rFonts w:eastAsia="SimSun"/>
          <w:i/>
          <w:iCs/>
          <w:lang w:val="fr-FR"/>
        </w:rPr>
        <w:t>N</w:t>
      </w:r>
      <w:r w:rsidRPr="001D6E21">
        <w:rPr>
          <w:rFonts w:eastAsia="SimSun"/>
          <w:lang w:val="fr-FR"/>
        </w:rPr>
        <w:t>)</w:t>
      </w:r>
      <w:r w:rsidRPr="001D6E21">
        <w:rPr>
          <w:rFonts w:eastAsia="SimSun"/>
          <w:i/>
          <w:iCs/>
          <w:vertAlign w:val="subscript"/>
          <w:lang w:val="fr-FR"/>
        </w:rPr>
        <w:t>d</w:t>
      </w:r>
      <w:r w:rsidRPr="001D6E21">
        <w:rPr>
          <w:rFonts w:eastAsia="SimSun"/>
          <w:i/>
          <w:iCs/>
          <w:vertAlign w:val="subscript"/>
          <w:lang w:val="fr-FR" w:eastAsia="zh-CN"/>
        </w:rPr>
        <w:t>, Eg</w:t>
      </w:r>
      <w:r w:rsidRPr="001D6E21">
        <w:rPr>
          <w:rFonts w:eastAsia="SimSun"/>
          <w:lang w:val="fr-FR"/>
        </w:rPr>
        <w:t xml:space="preserve"> +11,65 dB.</w:t>
      </w:r>
    </w:p>
    <w:p w14:paraId="2DF825D0" w14:textId="77777777" w:rsidR="00D001BB" w:rsidRDefault="00D001BB" w:rsidP="00A35D0B">
      <w:pPr>
        <w:tabs>
          <w:tab w:val="left" w:pos="0"/>
          <w:tab w:val="left" w:pos="709"/>
        </w:tabs>
        <w:spacing w:before="120"/>
        <w:rPr>
          <w:rFonts w:eastAsia="SimSun"/>
          <w:lang w:val="fr-FR"/>
        </w:rPr>
      </w:pPr>
    </w:p>
    <w:p w14:paraId="50A1A04C" w14:textId="77777777" w:rsidR="00D001BB" w:rsidRDefault="00D001BB" w:rsidP="00A35D0B">
      <w:pPr>
        <w:tabs>
          <w:tab w:val="left" w:pos="0"/>
          <w:tab w:val="left" w:pos="709"/>
        </w:tabs>
        <w:spacing w:before="120"/>
        <w:rPr>
          <w:rFonts w:eastAsia="SimSun"/>
          <w:lang w:val="fr-FR"/>
        </w:rPr>
        <w:sectPr w:rsidR="00D001BB" w:rsidSect="006578C3">
          <w:headerReference w:type="default" r:id="rId20"/>
          <w:footnotePr>
            <w:pos w:val="beneathText"/>
          </w:footnotePr>
          <w:pgSz w:w="11907" w:h="16840" w:code="9"/>
          <w:pgMar w:top="1701" w:right="851" w:bottom="1134" w:left="1985" w:header="720" w:footer="482" w:gutter="0"/>
          <w:cols w:space="720"/>
          <w:vAlign w:val="both"/>
        </w:sectPr>
      </w:pPr>
    </w:p>
    <w:p w14:paraId="497A0786" w14:textId="3A9A3BF5" w:rsidR="00A35D0B" w:rsidRPr="00A35D0B" w:rsidRDefault="00A35D0B" w:rsidP="00A35D0B">
      <w:pPr>
        <w:pStyle w:val="Heading8"/>
        <w:pBdr>
          <w:top w:val="double" w:sz="4" w:space="1" w:color="auto"/>
          <w:left w:val="double" w:sz="4" w:space="1" w:color="auto"/>
          <w:bottom w:val="double" w:sz="4" w:space="1" w:color="auto"/>
          <w:right w:val="double" w:sz="4" w:space="1" w:color="auto"/>
        </w:pBdr>
        <w:rPr>
          <w:lang w:val="fr-CH"/>
        </w:rPr>
      </w:pPr>
      <w:r w:rsidRPr="00A35D0B">
        <w:rPr>
          <w:lang w:val="fr-CH"/>
        </w:rPr>
        <w:lastRenderedPageBreak/>
        <w:t>2.2</w:t>
      </w:r>
    </w:p>
    <w:p w14:paraId="23A78E49" w14:textId="2AFC3F58" w:rsidR="00A35D0B" w:rsidRPr="00A35D0B" w:rsidRDefault="00A35D0B" w:rsidP="00A35D0B">
      <w:pPr>
        <w:tabs>
          <w:tab w:val="left" w:pos="0"/>
          <w:tab w:val="left" w:pos="709"/>
        </w:tabs>
        <w:spacing w:before="240"/>
        <w:rPr>
          <w:rFonts w:eastAsia="SimSun"/>
          <w:lang w:val="fr-FR"/>
        </w:rPr>
      </w:pPr>
      <w:r w:rsidRPr="00A35D0B">
        <w:rPr>
          <w:rFonts w:eastAsia="SimSun"/>
          <w:b/>
          <w:bCs/>
          <w:lang w:val="fr-CH"/>
        </w:rPr>
        <w:t>Note</w:t>
      </w:r>
      <w:r w:rsidRPr="00A35D0B">
        <w:rPr>
          <w:rFonts w:eastAsia="SimSun"/>
          <w:lang w:val="fr-CH"/>
        </w:rPr>
        <w:t>: La CMR-19 a pris la décision suivante, lors de la 8ème séance plénière, concernant les points de la grille et les points de mesure situés en mer, voir les paragraphes 3.11 à 3.15 du Document CMR19/569, dans le cadre de l’approbation des parties du Document CMR19/451 relatives au paragraphe 3.2.5.6 du Document CMR19/4(Add.2):</w:t>
      </w:r>
    </w:p>
    <w:p w14:paraId="131A374B" w14:textId="2554539C" w:rsidR="00045B98" w:rsidRDefault="00A35D0B" w:rsidP="00A35D0B">
      <w:pPr>
        <w:tabs>
          <w:tab w:val="left" w:pos="0"/>
          <w:tab w:val="left" w:pos="709"/>
        </w:tabs>
        <w:spacing w:before="240"/>
        <w:rPr>
          <w:rFonts w:eastAsia="SimSun"/>
          <w:lang w:val="fr-FR"/>
        </w:rPr>
      </w:pPr>
      <w:bookmarkStart w:id="3" w:name="lt_pId215"/>
      <w:r w:rsidRPr="00A35D0B">
        <w:rPr>
          <w:rFonts w:eastAsia="SimSun"/>
          <w:b/>
          <w:bCs/>
          <w:lang w:val="fr-CH"/>
        </w:rPr>
        <w:t>«</w:t>
      </w:r>
      <w:r w:rsidRPr="00A83DC7">
        <w:rPr>
          <w:rFonts w:eastAsia="SimSun"/>
          <w:bCs/>
          <w:i/>
          <w:iCs/>
          <w:lang w:val="fr-CH"/>
        </w:rPr>
        <w:t xml:space="preserve">En ce qui concerne l'examen de la section 3.2.5.6, intitulée «Points de la grille en mer lors de l'examen à l'aide des méthodes énoncées à l'Annexe 4 de l'Appendice </w:t>
      </w:r>
      <w:r w:rsidRPr="00A83DC7">
        <w:rPr>
          <w:rFonts w:eastAsia="SimSun"/>
          <w:b/>
          <w:i/>
          <w:iCs/>
          <w:lang w:val="fr-CH"/>
        </w:rPr>
        <w:t>30B</w:t>
      </w:r>
      <w:r w:rsidRPr="00A83DC7">
        <w:rPr>
          <w:rFonts w:eastAsia="SimSun"/>
          <w:bCs/>
          <w:i/>
          <w:iCs/>
          <w:lang w:val="fr-CH"/>
        </w:rPr>
        <w:t xml:space="preserve"> du RR», la CMR-19 a décidé que seuls les points de la grille situés sur terre et à l'intérieur de la zone de service devraient être pris en compte en plus des points de mesure en application du paragraphe 2.2 de l'Annexe 4 de l'Appendice </w:t>
      </w:r>
      <w:r w:rsidRPr="00A83DC7">
        <w:rPr>
          <w:rFonts w:eastAsia="SimSun"/>
          <w:b/>
          <w:i/>
          <w:iCs/>
          <w:lang w:val="fr-CH"/>
        </w:rPr>
        <w:t>30B</w:t>
      </w:r>
      <w:r w:rsidRPr="00A83DC7">
        <w:rPr>
          <w:rFonts w:eastAsia="SimSun"/>
          <w:bCs/>
          <w:i/>
          <w:iCs/>
          <w:lang w:val="fr-CH"/>
        </w:rPr>
        <w:t>.</w:t>
      </w:r>
      <w:bookmarkEnd w:id="3"/>
      <w:r w:rsidRPr="00A83DC7">
        <w:rPr>
          <w:rFonts w:eastAsia="SimSun"/>
          <w:bCs/>
          <w:i/>
          <w:iCs/>
          <w:lang w:val="fr-CH"/>
        </w:rPr>
        <w:t xml:space="preserve"> </w:t>
      </w:r>
      <w:bookmarkStart w:id="4" w:name="lt_pId216"/>
      <w:r w:rsidRPr="00A83DC7">
        <w:rPr>
          <w:rFonts w:eastAsia="SimSun"/>
          <w:bCs/>
          <w:i/>
          <w:iCs/>
          <w:lang w:val="fr-CH"/>
        </w:rPr>
        <w:t>En prenant cette décision, la CMR</w:t>
      </w:r>
      <w:r w:rsidRPr="00A83DC7">
        <w:rPr>
          <w:rFonts w:eastAsia="SimSun"/>
          <w:bCs/>
          <w:i/>
          <w:iCs/>
          <w:lang w:val="fr-CH"/>
        </w:rPr>
        <w:noBreakHyphen/>
        <w:t xml:space="preserve">19 a reconnu que, si l'utilisation de l'Appendice </w:t>
      </w:r>
      <w:r w:rsidRPr="00A83DC7">
        <w:rPr>
          <w:rFonts w:eastAsia="SimSun"/>
          <w:b/>
          <w:i/>
          <w:iCs/>
          <w:lang w:val="fr-CH"/>
        </w:rPr>
        <w:t>30B</w:t>
      </w:r>
      <w:r w:rsidRPr="00A83DC7">
        <w:rPr>
          <w:rFonts w:eastAsia="SimSun"/>
          <w:bCs/>
          <w:i/>
          <w:iCs/>
          <w:lang w:val="fr-CH"/>
        </w:rPr>
        <w:t xml:space="preserve"> venait à s'étendre au-delà de son utilisation actuelle, il sera peut-être nécessaire de revoir cette décision à l'avenir.</w:t>
      </w:r>
      <w:bookmarkEnd w:id="4"/>
      <w:r w:rsidRPr="00A83DC7">
        <w:rPr>
          <w:rFonts w:eastAsia="SimSun"/>
          <w:bCs/>
          <w:i/>
          <w:iCs/>
          <w:lang w:val="fr-CH"/>
        </w:rPr>
        <w:t xml:space="preserve"> La CMR</w:t>
      </w:r>
      <w:r w:rsidRPr="00A83DC7">
        <w:rPr>
          <w:rFonts w:eastAsia="SimSun"/>
          <w:bCs/>
          <w:i/>
          <w:iCs/>
          <w:lang w:val="fr-CH"/>
        </w:rPr>
        <w:noBreakHyphen/>
        <w:t>19 a en outre décidé que le Bureau des radiocommunications ne devrait pas prendre en considération les points de mesure situés en mer dans son examen technique et réglementaire des soumissions pertinentes qui lui sont présentées</w:t>
      </w:r>
      <w:r w:rsidRPr="00A35D0B">
        <w:rPr>
          <w:rFonts w:eastAsia="SimSun"/>
          <w:bCs/>
          <w:lang w:val="fr-CH"/>
        </w:rPr>
        <w:t>».</w:t>
      </w:r>
    </w:p>
    <w:p w14:paraId="77BCCFE0" w14:textId="3673F500" w:rsidR="00D001BB" w:rsidRPr="00D001BB" w:rsidRDefault="00D001BB" w:rsidP="00D001BB">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jc w:val="left"/>
        <w:outlineLvl w:val="7"/>
        <w:rPr>
          <w:rFonts w:eastAsiaTheme="minorEastAsia"/>
          <w:b/>
          <w:lang w:val="en-US"/>
        </w:rPr>
      </w:pPr>
      <w:bookmarkStart w:id="5" w:name="_Hlk184203092"/>
      <w:r w:rsidRPr="00D001BB">
        <w:rPr>
          <w:rFonts w:eastAsiaTheme="minorEastAsia"/>
          <w:b/>
        </w:rPr>
        <w:t>Annexe 7</w:t>
      </w:r>
      <w:r w:rsidRPr="00D001BB">
        <w:rPr>
          <w:rFonts w:eastAsiaTheme="minorEastAsia"/>
          <w:b/>
        </w:rPr>
        <w:tab/>
      </w:r>
      <w:r w:rsidRPr="00D001BB">
        <w:rPr>
          <w:rFonts w:eastAsiaTheme="minorEastAsia"/>
          <w:b/>
        </w:rPr>
        <w:tab/>
      </w:r>
      <w:r w:rsidRPr="00D001BB">
        <w:rPr>
          <w:rFonts w:eastAsiaTheme="minorEastAsia"/>
          <w:b/>
        </w:rPr>
        <w:tab/>
      </w:r>
      <w:r w:rsidRPr="00D001BB">
        <w:rPr>
          <w:rFonts w:eastAsiaTheme="minorEastAsia"/>
          <w:bCs/>
          <w:sz w:val="16"/>
          <w:szCs w:val="16"/>
        </w:rPr>
        <w:t>(ADD RRB24/510)</w:t>
      </w:r>
    </w:p>
    <w:bookmarkEnd w:id="5"/>
    <w:p w14:paraId="217FCAA6" w14:textId="024FBFB6" w:rsidR="00D001BB" w:rsidRDefault="00D001BB" w:rsidP="00D001BB">
      <w:pPr>
        <w:keepNext/>
        <w:keepLines/>
        <w:tabs>
          <w:tab w:val="clear" w:pos="1134"/>
          <w:tab w:val="clear" w:pos="1871"/>
          <w:tab w:val="clear" w:pos="2268"/>
        </w:tabs>
        <w:spacing w:before="360"/>
        <w:jc w:val="center"/>
        <w:rPr>
          <w:rFonts w:eastAsia="SimSun"/>
          <w:b/>
          <w:noProof/>
          <w:sz w:val="28"/>
          <w:lang w:val="en-US" w:eastAsia="zh-CN"/>
        </w:rPr>
      </w:pPr>
      <w:r w:rsidRPr="00D001BB">
        <w:rPr>
          <w:rFonts w:eastAsia="SimSun"/>
          <w:b/>
          <w:noProof/>
          <w:sz w:val="28"/>
          <w:lang w:val="en-US" w:eastAsia="zh-CN"/>
        </w:rPr>
        <w:t>Mesures visant à faciliter l'adjonction d'un nouvel allotissement au</w:t>
      </w:r>
      <w:r w:rsidRPr="00D001BB">
        <w:rPr>
          <w:rFonts w:eastAsia="SimSun"/>
          <w:b/>
          <w:noProof/>
          <w:sz w:val="28"/>
          <w:lang w:val="en-US" w:eastAsia="zh-CN"/>
        </w:rPr>
        <w:br/>
        <w:t>Plan pour un nouvel État Membre de l'Union</w:t>
      </w:r>
    </w:p>
    <w:p w14:paraId="1E8281EB" w14:textId="77777777" w:rsidR="00D001BB" w:rsidRPr="00D001BB" w:rsidRDefault="00D001BB" w:rsidP="00D001BB">
      <w:pPr>
        <w:keepNext/>
        <w:keepLines/>
        <w:pBdr>
          <w:top w:val="double" w:sz="4" w:space="1" w:color="auto"/>
          <w:left w:val="double" w:sz="4" w:space="1" w:color="auto"/>
          <w:bottom w:val="double" w:sz="4" w:space="1" w:color="auto"/>
          <w:right w:val="double" w:sz="4" w:space="1" w:color="auto"/>
        </w:pBdr>
        <w:tabs>
          <w:tab w:val="clear" w:pos="2268"/>
        </w:tabs>
        <w:spacing w:before="400"/>
        <w:ind w:left="85" w:right="7938"/>
        <w:outlineLvl w:val="7"/>
        <w:rPr>
          <w:rFonts w:eastAsiaTheme="minorEastAsia"/>
          <w:b/>
        </w:rPr>
      </w:pPr>
      <w:r w:rsidRPr="00D001BB">
        <w:rPr>
          <w:rFonts w:eastAsiaTheme="minorEastAsia"/>
          <w:b/>
        </w:rPr>
        <w:t xml:space="preserve">§ 5 </w:t>
      </w:r>
      <w:r w:rsidRPr="00D001BB">
        <w:rPr>
          <w:rFonts w:eastAsiaTheme="minorEastAsia"/>
          <w:b/>
          <w:i/>
          <w:iCs/>
        </w:rPr>
        <w:t>a)</w:t>
      </w:r>
    </w:p>
    <w:p w14:paraId="42D4F217" w14:textId="48FF8D61" w:rsidR="00D001BB" w:rsidRPr="00D001BB" w:rsidRDefault="00D001BB" w:rsidP="00D001BB">
      <w:pPr>
        <w:rPr>
          <w:rFonts w:eastAsia="SimSun"/>
          <w:lang w:val="fr-FR"/>
        </w:rPr>
      </w:pPr>
      <w:r w:rsidRPr="00D001BB">
        <w:rPr>
          <w:rFonts w:eastAsia="SimSun"/>
          <w:lang w:val="fr-FR"/>
        </w:rPr>
        <w:t>Le §</w:t>
      </w:r>
      <w:r>
        <w:rPr>
          <w:rFonts w:eastAsia="SimSun"/>
          <w:lang w:val="fr-FR"/>
        </w:rPr>
        <w:t> </w:t>
      </w:r>
      <w:r w:rsidRPr="00D001BB">
        <w:rPr>
          <w:rFonts w:eastAsia="SimSun"/>
          <w:lang w:val="fr-FR"/>
        </w:rPr>
        <w:t>5 indique que «</w:t>
      </w:r>
      <w:r w:rsidRPr="00D001BB">
        <w:rPr>
          <w:rFonts w:eastAsia="SimSun"/>
          <w:i/>
          <w:iCs/>
          <w:lang w:val="fr-FR"/>
        </w:rPr>
        <w:t>si la densité de puissance d'un nouvel allotissement proposé est limitée à une valeur minimale unique conforme aux objectifs en termes de rapport porteuse/bruit (C/N) et à une valeur du rapport porteuse/brouillage global de 21</w:t>
      </w:r>
      <w:r>
        <w:rPr>
          <w:rFonts w:eastAsia="SimSun"/>
          <w:i/>
          <w:iCs/>
          <w:lang w:val="fr-FR"/>
        </w:rPr>
        <w:t> </w:t>
      </w:r>
      <w:r w:rsidRPr="00D001BB">
        <w:rPr>
          <w:rFonts w:eastAsia="SimSun"/>
          <w:i/>
          <w:iCs/>
          <w:lang w:val="fr-FR"/>
        </w:rPr>
        <w:t>dB, comme indiqué dans l'Annexe</w:t>
      </w:r>
      <w:r>
        <w:rPr>
          <w:rFonts w:eastAsia="SimSun"/>
          <w:i/>
          <w:iCs/>
          <w:lang w:val="fr-FR"/>
        </w:rPr>
        <w:t> </w:t>
      </w:r>
      <w:r w:rsidRPr="00D001BB">
        <w:rPr>
          <w:rFonts w:eastAsia="SimSun"/>
          <w:i/>
          <w:iCs/>
          <w:lang w:val="fr-FR"/>
        </w:rPr>
        <w:t>1 de l'Appendice 30B</w:t>
      </w:r>
      <w:r>
        <w:rPr>
          <w:rFonts w:eastAsia="SimSun"/>
          <w:i/>
          <w:iCs/>
          <w:lang w:val="fr-FR"/>
        </w:rPr>
        <w:t xml:space="preserve">, </w:t>
      </w:r>
      <w:proofErr w:type="gramStart"/>
      <w:r>
        <w:rPr>
          <w:rFonts w:eastAsia="SimSun"/>
          <w:i/>
          <w:iCs/>
          <w:lang w:val="fr-FR"/>
        </w:rPr>
        <w:t>...</w:t>
      </w:r>
      <w:r w:rsidRPr="00D001BB">
        <w:rPr>
          <w:rFonts w:eastAsia="SimSun"/>
          <w:lang w:val="fr-FR"/>
        </w:rPr>
        <w:t>»</w:t>
      </w:r>
      <w:proofErr w:type="gramEnd"/>
      <w:r w:rsidRPr="00D001BB">
        <w:rPr>
          <w:rFonts w:eastAsia="SimSun"/>
          <w:lang w:val="fr-FR"/>
        </w:rPr>
        <w:t>, des mesures additionnelles, y compris le §</w:t>
      </w:r>
      <w:r>
        <w:rPr>
          <w:rFonts w:eastAsia="SimSun"/>
          <w:lang w:val="fr-FR"/>
        </w:rPr>
        <w:t> </w:t>
      </w:r>
      <w:r w:rsidRPr="00D001BB">
        <w:rPr>
          <w:rFonts w:eastAsia="SimSun"/>
          <w:lang w:val="fr-FR"/>
        </w:rPr>
        <w:t>5</w:t>
      </w:r>
      <w:r>
        <w:rPr>
          <w:rFonts w:eastAsia="SimSun"/>
          <w:lang w:val="fr-FR"/>
        </w:rPr>
        <w:t> </w:t>
      </w:r>
      <w:r w:rsidRPr="00D001BB">
        <w:rPr>
          <w:rFonts w:eastAsia="SimSun"/>
          <w:i/>
          <w:iCs/>
          <w:lang w:val="fr-FR"/>
        </w:rPr>
        <w:t>a)</w:t>
      </w:r>
      <w:r w:rsidRPr="00D001BB">
        <w:rPr>
          <w:rFonts w:eastAsia="SimSun"/>
          <w:lang w:val="fr-FR"/>
        </w:rPr>
        <w:t xml:space="preserve"> doivent être appliquées.</w:t>
      </w:r>
    </w:p>
    <w:p w14:paraId="7E5832BF" w14:textId="77777777" w:rsidR="00D001BB" w:rsidRPr="00D001BB" w:rsidRDefault="00D001BB" w:rsidP="00D001BB">
      <w:pPr>
        <w:rPr>
          <w:rFonts w:eastAsia="SimSun"/>
          <w:lang w:val="fr-FR"/>
        </w:rPr>
      </w:pPr>
      <w:r w:rsidRPr="00D001BB">
        <w:rPr>
          <w:rFonts w:eastAsia="SimSun"/>
          <w:lang w:val="fr-FR"/>
        </w:rPr>
        <w:t>Le Comité a noté que, dans l'application du § 7.3 de l'Article 7 de l'Appendice </w:t>
      </w:r>
      <w:r w:rsidRPr="00D001BB">
        <w:rPr>
          <w:rFonts w:eastAsia="SimSun"/>
          <w:b/>
          <w:bCs/>
          <w:lang w:val="fr-FR"/>
        </w:rPr>
        <w:t>30B</w:t>
      </w:r>
      <w:r w:rsidRPr="00D001BB">
        <w:rPr>
          <w:rFonts w:eastAsia="SimSun"/>
          <w:lang w:val="fr-FR"/>
        </w:rPr>
        <w:t xml:space="preserve"> en vue d'identifier les caractéristiques techniques de nouveaux allotissements possibles, les valeurs de densité de puissance sont calculées sur la base des critères relatifs au rapport </w:t>
      </w:r>
      <w:r w:rsidRPr="00D001BB">
        <w:rPr>
          <w:i/>
          <w:iCs/>
          <w:lang w:val="fr-FR"/>
        </w:rPr>
        <w:t>C</w:t>
      </w:r>
      <w:r w:rsidRPr="00D001BB">
        <w:rPr>
          <w:lang w:val="fr-FR"/>
        </w:rPr>
        <w:t>/</w:t>
      </w:r>
      <w:r w:rsidRPr="00D001BB">
        <w:rPr>
          <w:i/>
          <w:iCs/>
          <w:lang w:val="fr-FR"/>
        </w:rPr>
        <w:t>N</w:t>
      </w:r>
      <w:r w:rsidRPr="00D001BB">
        <w:rPr>
          <w:lang w:val="fr-FR"/>
        </w:rPr>
        <w:t xml:space="preserve"> </w:t>
      </w:r>
      <w:r w:rsidRPr="00D001BB">
        <w:rPr>
          <w:rFonts w:eastAsia="SimSun"/>
          <w:lang w:val="fr-FR"/>
        </w:rPr>
        <w:t>énoncés au § 1.2 de l'Annexe 1 de l'Appendice </w:t>
      </w:r>
      <w:r w:rsidRPr="00D001BB">
        <w:rPr>
          <w:rFonts w:eastAsia="SimSun"/>
          <w:b/>
          <w:bCs/>
          <w:lang w:val="fr-FR"/>
        </w:rPr>
        <w:t>30B</w:t>
      </w:r>
      <w:r w:rsidRPr="00D001BB">
        <w:rPr>
          <w:rFonts w:eastAsia="SimSun"/>
          <w:lang w:val="fr-FR"/>
        </w:rPr>
        <w:t xml:space="preserve"> sans qu'il soit tenu compte des valeurs du rapport </w:t>
      </w:r>
      <w:r w:rsidRPr="00D001BB">
        <w:rPr>
          <w:rFonts w:eastAsia="SimSun"/>
          <w:i/>
          <w:iCs/>
          <w:lang w:val="fr-FR"/>
        </w:rPr>
        <w:t>C</w:t>
      </w:r>
      <w:r w:rsidRPr="00D001BB">
        <w:rPr>
          <w:rFonts w:eastAsia="SimSun"/>
          <w:lang w:val="fr-FR"/>
        </w:rPr>
        <w:t>/</w:t>
      </w:r>
      <w:r w:rsidRPr="00D001BB">
        <w:rPr>
          <w:rFonts w:eastAsia="SimSun"/>
          <w:i/>
          <w:iCs/>
          <w:lang w:val="fr-FR"/>
        </w:rPr>
        <w:t>I</w:t>
      </w:r>
      <w:r w:rsidRPr="00D001BB">
        <w:rPr>
          <w:rFonts w:eastAsia="SimSun"/>
          <w:lang w:val="fr-FR"/>
        </w:rPr>
        <w:t xml:space="preserve"> cumulatif.</w:t>
      </w:r>
    </w:p>
    <w:p w14:paraId="189FB3CA" w14:textId="77777777" w:rsidR="00D001BB" w:rsidRPr="00D001BB" w:rsidRDefault="00D001BB" w:rsidP="00D001BB">
      <w:pPr>
        <w:rPr>
          <w:lang w:val="fr-FR"/>
        </w:rPr>
      </w:pPr>
      <w:r w:rsidRPr="00D001BB">
        <w:rPr>
          <w:rFonts w:eastAsia="SimSun"/>
          <w:lang w:val="fr-FR" w:eastAsia="en-GB"/>
        </w:rPr>
        <w:t>Toutefois, lorsqu'elle choisit les caractéristiques du nouvel allotissement parmi celles proposées par le Bureau, l'administration requérante peut demander au Bureau d'augmenter les valeurs de la densité de puissance du nouvel allotissement choisi si l'une quelconque des valeurs de son rapport </w:t>
      </w:r>
      <w:r w:rsidRPr="00D001BB">
        <w:rPr>
          <w:rFonts w:eastAsia="SimSun"/>
          <w:i/>
          <w:iCs/>
          <w:lang w:val="fr-FR" w:eastAsia="en-GB"/>
        </w:rPr>
        <w:t>C</w:t>
      </w:r>
      <w:r w:rsidRPr="00D001BB">
        <w:rPr>
          <w:rFonts w:eastAsia="SimSun"/>
          <w:lang w:val="fr-FR" w:eastAsia="en-GB"/>
        </w:rPr>
        <w:t>/</w:t>
      </w:r>
      <w:r w:rsidRPr="00D001BB">
        <w:rPr>
          <w:rFonts w:eastAsia="SimSun"/>
          <w:i/>
          <w:iCs/>
          <w:lang w:val="fr-FR" w:eastAsia="en-GB"/>
        </w:rPr>
        <w:t>I</w:t>
      </w:r>
      <w:r w:rsidRPr="00D001BB">
        <w:rPr>
          <w:rFonts w:eastAsia="SimSun"/>
          <w:lang w:val="fr-FR" w:eastAsia="en-GB"/>
        </w:rPr>
        <w:t xml:space="preserve"> cumulatif est inférieure à 21 dB. Le Comité a chargé le Bureau de calculer ensuite à nouveau les valeurs de la densité de puissance du nouvel allotissement, afin de ne pas dépasser la valeur cible de 21 dB en ce qui concerne le rapport </w:t>
      </w:r>
      <w:r w:rsidRPr="00D001BB">
        <w:rPr>
          <w:rFonts w:eastAsia="SimSun"/>
          <w:i/>
          <w:iCs/>
          <w:lang w:val="fr-FR" w:eastAsia="en-GB"/>
        </w:rPr>
        <w:t>C</w:t>
      </w:r>
      <w:r w:rsidRPr="00D001BB">
        <w:rPr>
          <w:rFonts w:eastAsia="SimSun"/>
          <w:lang w:val="fr-FR" w:eastAsia="en-GB"/>
        </w:rPr>
        <w:t>/</w:t>
      </w:r>
      <w:r w:rsidRPr="00D001BB">
        <w:rPr>
          <w:rFonts w:eastAsia="SimSun"/>
          <w:i/>
          <w:iCs/>
          <w:lang w:val="fr-FR" w:eastAsia="en-GB"/>
        </w:rPr>
        <w:t>I</w:t>
      </w:r>
      <w:r w:rsidRPr="00D001BB">
        <w:rPr>
          <w:rFonts w:eastAsia="SimSun"/>
          <w:lang w:val="fr-FR" w:eastAsia="en-GB"/>
        </w:rPr>
        <w:t xml:space="preserve"> cumulatif, compte tenu de toute limite appropriée énoncée dans les Articles </w:t>
      </w:r>
      <w:r w:rsidRPr="00D001BB">
        <w:rPr>
          <w:rFonts w:eastAsia="SimSun"/>
          <w:b/>
          <w:bCs/>
          <w:lang w:val="fr-FR" w:eastAsia="en-GB"/>
        </w:rPr>
        <w:t>21</w:t>
      </w:r>
      <w:r w:rsidRPr="00D001BB">
        <w:rPr>
          <w:rFonts w:eastAsia="SimSun"/>
          <w:lang w:val="fr-FR" w:eastAsia="en-GB"/>
        </w:rPr>
        <w:t xml:space="preserve"> et </w:t>
      </w:r>
      <w:r w:rsidRPr="00D001BB">
        <w:rPr>
          <w:rFonts w:eastAsia="SimSun"/>
          <w:b/>
          <w:bCs/>
          <w:lang w:val="fr-FR" w:eastAsia="en-GB"/>
        </w:rPr>
        <w:t>22</w:t>
      </w:r>
      <w:r w:rsidRPr="00D001BB">
        <w:rPr>
          <w:rFonts w:eastAsia="SimSun"/>
          <w:lang w:val="fr-FR" w:eastAsia="en-GB"/>
        </w:rPr>
        <w:t xml:space="preserve"> et dans l'Annexe 3 de l'Appendice</w:t>
      </w:r>
      <w:r w:rsidRPr="00D001BB">
        <w:rPr>
          <w:lang w:val="fr-FR"/>
        </w:rPr>
        <w:t> </w:t>
      </w:r>
      <w:r w:rsidRPr="00D001BB">
        <w:rPr>
          <w:b/>
          <w:bCs/>
          <w:lang w:val="fr-FR"/>
        </w:rPr>
        <w:t>30B</w:t>
      </w:r>
      <w:r w:rsidRPr="00D001BB">
        <w:rPr>
          <w:lang w:val="fr-FR"/>
        </w:rPr>
        <w:t>.</w:t>
      </w:r>
    </w:p>
    <w:p w14:paraId="2724C04A" w14:textId="77777777" w:rsidR="00D001BB" w:rsidRDefault="00D001BB" w:rsidP="00D001BB">
      <w:pPr>
        <w:rPr>
          <w:lang w:val="fr-FR"/>
        </w:rPr>
      </w:pPr>
    </w:p>
    <w:p w14:paraId="12ADA8BF" w14:textId="77777777" w:rsidR="00D001BB" w:rsidRDefault="00D001BB" w:rsidP="00D001BB">
      <w:pPr>
        <w:rPr>
          <w:lang w:val="fr-FR"/>
        </w:rPr>
        <w:sectPr w:rsidR="00D001BB" w:rsidSect="006578C3">
          <w:headerReference w:type="default" r:id="rId21"/>
          <w:footnotePr>
            <w:pos w:val="beneathText"/>
          </w:footnotePr>
          <w:pgSz w:w="11907" w:h="16840" w:code="9"/>
          <w:pgMar w:top="1701" w:right="851" w:bottom="1134" w:left="1985" w:header="720" w:footer="482" w:gutter="0"/>
          <w:cols w:space="720"/>
          <w:vAlign w:val="both"/>
        </w:sectPr>
      </w:pPr>
    </w:p>
    <w:p w14:paraId="64B30EDC" w14:textId="77777777" w:rsidR="00D001BB" w:rsidRPr="00D001BB" w:rsidRDefault="00D001BB" w:rsidP="00D001BB">
      <w:pPr>
        <w:keepNext/>
        <w:keepLines/>
        <w:pBdr>
          <w:top w:val="double" w:sz="4" w:space="1" w:color="auto"/>
          <w:left w:val="double" w:sz="4" w:space="1" w:color="auto"/>
          <w:bottom w:val="double" w:sz="4" w:space="1" w:color="auto"/>
          <w:right w:val="double" w:sz="4" w:space="1" w:color="auto"/>
        </w:pBdr>
        <w:tabs>
          <w:tab w:val="clear" w:pos="2268"/>
        </w:tabs>
        <w:spacing w:before="400"/>
        <w:ind w:left="85" w:right="7938"/>
        <w:outlineLvl w:val="7"/>
        <w:rPr>
          <w:rFonts w:eastAsiaTheme="minorEastAsia"/>
          <w:b/>
        </w:rPr>
      </w:pPr>
      <w:r w:rsidRPr="00D001BB">
        <w:rPr>
          <w:rFonts w:eastAsiaTheme="minorEastAsia"/>
          <w:b/>
        </w:rPr>
        <w:lastRenderedPageBreak/>
        <w:t xml:space="preserve">§ 5 </w:t>
      </w:r>
      <w:r w:rsidRPr="00D001BB">
        <w:rPr>
          <w:rFonts w:eastAsiaTheme="minorEastAsia"/>
          <w:b/>
          <w:i/>
          <w:iCs/>
        </w:rPr>
        <w:t>b)</w:t>
      </w:r>
    </w:p>
    <w:p w14:paraId="4C25987D" w14:textId="77777777" w:rsidR="00D001BB" w:rsidRPr="00D001BB" w:rsidRDefault="00D001BB" w:rsidP="00D001BB">
      <w:pPr>
        <w:rPr>
          <w:rFonts w:eastAsia="SimSun"/>
          <w:lang w:val="fr-FR"/>
        </w:rPr>
      </w:pPr>
      <w:r w:rsidRPr="00D001BB">
        <w:rPr>
          <w:rFonts w:eastAsia="SimSun"/>
          <w:lang w:val="fr-FR"/>
        </w:rPr>
        <w:t>Cette disposition indique que, pour l'examen d'un nouvel allotissement proposé, les § 5</w:t>
      </w:r>
      <w:r w:rsidRPr="00D001BB">
        <w:rPr>
          <w:rFonts w:eastAsia="SimSun"/>
          <w:i/>
          <w:iCs/>
          <w:lang w:val="fr-FR"/>
        </w:rPr>
        <w:t> a)</w:t>
      </w:r>
      <w:r w:rsidRPr="00D001BB">
        <w:rPr>
          <w:rFonts w:eastAsia="SimSun"/>
          <w:lang w:val="fr-FR"/>
        </w:rPr>
        <w:t xml:space="preserve"> et 5 </w:t>
      </w:r>
      <w:r w:rsidRPr="00D001BB">
        <w:rPr>
          <w:rFonts w:eastAsia="SimSun"/>
          <w:i/>
          <w:iCs/>
          <w:lang w:val="fr-FR"/>
        </w:rPr>
        <w:t>d)</w:t>
      </w:r>
      <w:r w:rsidRPr="00D001BB">
        <w:rPr>
          <w:rFonts w:eastAsia="SimSun"/>
          <w:lang w:val="fr-FR"/>
        </w:rPr>
        <w:t xml:space="preserve"> de l'Annexe 7 ne s'appliquent pas aux assignations de fréquence déjà inscrites dans la </w:t>
      </w:r>
      <w:proofErr w:type="gramStart"/>
      <w:r w:rsidRPr="00D001BB">
        <w:rPr>
          <w:rFonts w:eastAsia="SimSun"/>
          <w:lang w:val="fr-FR"/>
        </w:rPr>
        <w:t>Liste;</w:t>
      </w:r>
      <w:proofErr w:type="gramEnd"/>
      <w:r w:rsidRPr="00D001BB">
        <w:rPr>
          <w:rFonts w:eastAsia="SimSun"/>
          <w:lang w:val="fr-FR"/>
        </w:rPr>
        <w:t xml:space="preserve"> cependant, elle ne fait pas mention des critères qui devraient être utilisés dans ce cas en lieu et place de ceux indiqués au § 5 </w:t>
      </w:r>
      <w:r w:rsidRPr="00D001BB">
        <w:rPr>
          <w:rFonts w:eastAsia="SimSun"/>
          <w:i/>
          <w:iCs/>
          <w:lang w:val="fr-FR"/>
        </w:rPr>
        <w:t>a)</w:t>
      </w:r>
      <w:r w:rsidRPr="00D001BB">
        <w:rPr>
          <w:rFonts w:eastAsia="SimSun"/>
          <w:lang w:val="fr-FR"/>
        </w:rPr>
        <w:t>.</w:t>
      </w:r>
    </w:p>
    <w:p w14:paraId="5957D710" w14:textId="77777777" w:rsidR="00D001BB" w:rsidRPr="00D001BB" w:rsidRDefault="00D001BB" w:rsidP="00D001BB">
      <w:pPr>
        <w:rPr>
          <w:rFonts w:eastAsia="SimSun"/>
          <w:lang w:val="fr-FR" w:eastAsia="zh-CN"/>
        </w:rPr>
      </w:pPr>
      <w:r w:rsidRPr="00D001BB">
        <w:rPr>
          <w:rFonts w:eastAsia="SimSun"/>
          <w:lang w:val="fr-FR" w:eastAsia="zh-CN"/>
        </w:rPr>
        <w:t xml:space="preserve">En ce qui concerne les assignations de fréquence inscrites dans la Liste au plus tard à la date de réception du nouvel allotissement proposé à l'examen, le Comité a chargé le </w:t>
      </w:r>
      <w:proofErr w:type="gramStart"/>
      <w:r w:rsidRPr="00D001BB">
        <w:rPr>
          <w:rFonts w:eastAsia="SimSun"/>
          <w:lang w:val="fr-FR" w:eastAsia="zh-CN"/>
        </w:rPr>
        <w:t>Bureau:</w:t>
      </w:r>
      <w:proofErr w:type="gramEnd"/>
    </w:p>
    <w:p w14:paraId="19E270FC" w14:textId="77777777" w:rsidR="00D001BB" w:rsidRPr="00D001BB" w:rsidRDefault="00D001BB" w:rsidP="00D001BB">
      <w:pPr>
        <w:pStyle w:val="enumlev1"/>
        <w:ind w:left="851" w:hanging="851"/>
        <w:rPr>
          <w:rFonts w:eastAsia="SimSun"/>
          <w:lang w:val="fr-FR"/>
        </w:rPr>
      </w:pPr>
      <w:r w:rsidRPr="00D001BB">
        <w:rPr>
          <w:lang w:val="fr-FR"/>
        </w:rPr>
        <w:t>–</w:t>
      </w:r>
      <w:r w:rsidRPr="00D001BB">
        <w:rPr>
          <w:lang w:val="fr-FR"/>
        </w:rPr>
        <w:tab/>
        <w:t>de considérer une assignation de fréquence comme affectée</w:t>
      </w:r>
      <w:r w:rsidRPr="00D001BB">
        <w:rPr>
          <w:rFonts w:eastAsia="SimSun"/>
          <w:lang w:val="fr-FR"/>
        </w:rPr>
        <w:t xml:space="preserve"> si le rapport porteuse/brouillage pour une source unique de brouillage ((</w:t>
      </w:r>
      <w:r w:rsidRPr="00D001BB">
        <w:rPr>
          <w:rFonts w:eastAsia="SimSun"/>
          <w:i/>
          <w:iCs/>
          <w:lang w:val="fr-FR"/>
        </w:rPr>
        <w:t>C</w:t>
      </w:r>
      <w:r w:rsidRPr="00D001BB">
        <w:rPr>
          <w:rFonts w:eastAsia="SimSun"/>
          <w:lang w:val="fr-FR"/>
        </w:rPr>
        <w:t>/</w:t>
      </w:r>
      <w:proofErr w:type="gramStart"/>
      <w:r w:rsidRPr="00D001BB">
        <w:rPr>
          <w:rFonts w:eastAsia="SimSun"/>
          <w:i/>
          <w:iCs/>
          <w:lang w:val="fr-FR"/>
        </w:rPr>
        <w:t>I)d</w:t>
      </w:r>
      <w:proofErr w:type="gramEnd"/>
      <w:r w:rsidRPr="00D001BB">
        <w:rPr>
          <w:rFonts w:eastAsia="SimSun"/>
          <w:lang w:val="fr-FR"/>
        </w:rPr>
        <w:t xml:space="preserve"> et (</w:t>
      </w:r>
      <w:r w:rsidRPr="00D001BB">
        <w:rPr>
          <w:rFonts w:eastAsia="SimSun"/>
          <w:i/>
          <w:iCs/>
          <w:lang w:val="fr-FR"/>
        </w:rPr>
        <w:t>C</w:t>
      </w:r>
      <w:r w:rsidRPr="00D001BB">
        <w:rPr>
          <w:rFonts w:eastAsia="SimSun"/>
          <w:lang w:val="fr-FR"/>
        </w:rPr>
        <w:t>/</w:t>
      </w:r>
      <w:r w:rsidRPr="00D001BB">
        <w:rPr>
          <w:rFonts w:eastAsia="SimSun"/>
          <w:i/>
          <w:iCs/>
          <w:lang w:val="fr-FR"/>
        </w:rPr>
        <w:t>I)u</w:t>
      </w:r>
      <w:r w:rsidRPr="00D001BB">
        <w:rPr>
          <w:rFonts w:eastAsia="SimSun"/>
          <w:lang w:val="fr-FR"/>
        </w:rPr>
        <w:t>) ou le rapport cumulatif global ((</w:t>
      </w:r>
      <w:r w:rsidRPr="00D001BB">
        <w:rPr>
          <w:rFonts w:eastAsia="SimSun"/>
          <w:i/>
          <w:iCs/>
          <w:lang w:val="fr-FR"/>
        </w:rPr>
        <w:t>C</w:t>
      </w:r>
      <w:r w:rsidRPr="00D001BB">
        <w:rPr>
          <w:rFonts w:eastAsia="SimSun"/>
          <w:lang w:val="fr-FR"/>
        </w:rPr>
        <w:t>/</w:t>
      </w:r>
      <w:r w:rsidRPr="00D001BB">
        <w:rPr>
          <w:rFonts w:eastAsia="SimSun"/>
          <w:i/>
          <w:iCs/>
          <w:lang w:val="fr-FR"/>
        </w:rPr>
        <w:t>I)agg</w:t>
      </w:r>
      <w:r w:rsidRPr="00D001BB">
        <w:rPr>
          <w:rFonts w:eastAsia="SimSun"/>
          <w:lang w:val="fr-FR"/>
        </w:rPr>
        <w:t>) n'est pas égal ou supérieur à la valeur qui lui est associée définie dans le § 2.1 de l'Annexe 4 de l'Appendice </w:t>
      </w:r>
      <w:r w:rsidRPr="00D001BB">
        <w:rPr>
          <w:rFonts w:eastAsia="SimSun"/>
          <w:b/>
          <w:bCs/>
          <w:lang w:val="fr-FR"/>
        </w:rPr>
        <w:t>30B</w:t>
      </w:r>
      <w:r w:rsidRPr="00D001BB">
        <w:rPr>
          <w:rFonts w:eastAsia="SimSun"/>
          <w:lang w:val="fr-FR"/>
        </w:rPr>
        <w:t>; et</w:t>
      </w:r>
    </w:p>
    <w:p w14:paraId="1F1523CE" w14:textId="77777777" w:rsidR="00D001BB" w:rsidRPr="00D001BB" w:rsidRDefault="00D001BB" w:rsidP="00D001BB">
      <w:pPr>
        <w:pStyle w:val="enumlev1"/>
        <w:ind w:left="851" w:hanging="851"/>
        <w:rPr>
          <w:rFonts w:eastAsia="SimSun"/>
          <w:lang w:val="fr-FR"/>
        </w:rPr>
      </w:pPr>
      <w:r w:rsidRPr="00D001BB">
        <w:rPr>
          <w:lang w:val="fr-FR"/>
        </w:rPr>
        <w:t>–</w:t>
      </w:r>
      <w:r w:rsidRPr="00D001BB">
        <w:rPr>
          <w:lang w:val="fr-FR"/>
        </w:rPr>
        <w:tab/>
        <w:t xml:space="preserve">si l'assignation de fréquence figurant dans la </w:t>
      </w:r>
      <w:r w:rsidRPr="00D001BB">
        <w:rPr>
          <w:rFonts w:eastAsia="SimSun"/>
          <w:lang w:val="fr-FR"/>
        </w:rPr>
        <w:t>Liste est identifiée comme affectée, de ne pas prendre en compte le nouvel allotissement proposé au moment de la mise à jour de la situation de référence de cette assignation de fréquence, dès lors que le nouvel allotissement proposé est inscrit dans la Liste et/ou dans le Plan.</w:t>
      </w:r>
    </w:p>
    <w:p w14:paraId="69C049EE" w14:textId="716DBA76" w:rsidR="00946A46" w:rsidRPr="00A35D0B" w:rsidRDefault="00946A46" w:rsidP="00A35D0B">
      <w:pPr>
        <w:spacing w:before="120"/>
        <w:jc w:val="center"/>
      </w:pPr>
      <w:r w:rsidRPr="00CD09AC">
        <w:rPr>
          <w:color w:val="000000"/>
          <w:lang w:val="fr-FR"/>
        </w:rPr>
        <w:t>___________________</w:t>
      </w:r>
    </w:p>
    <w:p w14:paraId="6BB06F69" w14:textId="76B5F974" w:rsidR="00F769C9" w:rsidRDefault="00F769C9" w:rsidP="00D001BB">
      <w:pPr>
        <w:rPr>
          <w:lang w:val="fr-FR"/>
        </w:rPr>
      </w:pPr>
    </w:p>
    <w:p w14:paraId="672C36D6" w14:textId="77777777" w:rsidR="00D001BB" w:rsidRDefault="00D001BB" w:rsidP="00D001BB">
      <w:pPr>
        <w:rPr>
          <w:lang w:val="fr-FR"/>
        </w:rPr>
      </w:pPr>
    </w:p>
    <w:p w14:paraId="16AF0AEF" w14:textId="77777777" w:rsidR="00D001BB" w:rsidRDefault="00D001BB" w:rsidP="00D001BB">
      <w:pPr>
        <w:rPr>
          <w:lang w:val="fr-FR"/>
        </w:rPr>
      </w:pPr>
    </w:p>
    <w:p w14:paraId="0CEF18F0" w14:textId="77777777" w:rsidR="00D001BB" w:rsidRDefault="00D001BB" w:rsidP="00D001BB">
      <w:pPr>
        <w:rPr>
          <w:lang w:val="fr-FR"/>
        </w:rPr>
      </w:pPr>
    </w:p>
    <w:p w14:paraId="0CB90736" w14:textId="77777777" w:rsidR="00D001BB" w:rsidRDefault="00D001BB" w:rsidP="00D001BB">
      <w:pPr>
        <w:rPr>
          <w:lang w:val="fr-FR"/>
        </w:rPr>
      </w:pPr>
    </w:p>
    <w:p w14:paraId="120AFACF" w14:textId="77777777" w:rsidR="00D001BB" w:rsidRDefault="00D001BB" w:rsidP="00D001BB">
      <w:pPr>
        <w:rPr>
          <w:lang w:val="fr-FR"/>
        </w:rPr>
      </w:pPr>
    </w:p>
    <w:p w14:paraId="21E10261" w14:textId="77777777" w:rsidR="00D001BB" w:rsidRDefault="00D001BB" w:rsidP="00D001BB">
      <w:pPr>
        <w:rPr>
          <w:lang w:val="fr-FR"/>
        </w:rPr>
      </w:pPr>
    </w:p>
    <w:p w14:paraId="68C0BF7D" w14:textId="77777777" w:rsidR="00D001BB" w:rsidRDefault="00D001BB" w:rsidP="00D001BB">
      <w:pPr>
        <w:rPr>
          <w:lang w:val="fr-FR"/>
        </w:rPr>
      </w:pPr>
    </w:p>
    <w:p w14:paraId="29A2304C" w14:textId="77777777" w:rsidR="00D001BB" w:rsidRDefault="00D001BB" w:rsidP="00D001BB">
      <w:pPr>
        <w:rPr>
          <w:lang w:val="fr-FR"/>
        </w:rPr>
      </w:pPr>
    </w:p>
    <w:p w14:paraId="21E648C1" w14:textId="77777777" w:rsidR="00D001BB" w:rsidRDefault="00D001BB" w:rsidP="00D001BB">
      <w:pPr>
        <w:rPr>
          <w:lang w:val="fr-FR"/>
        </w:rPr>
      </w:pPr>
    </w:p>
    <w:p w14:paraId="231998F0" w14:textId="77777777" w:rsidR="00D001BB" w:rsidRDefault="00D001BB" w:rsidP="00D001BB">
      <w:pPr>
        <w:rPr>
          <w:lang w:val="fr-FR"/>
        </w:rPr>
      </w:pPr>
    </w:p>
    <w:p w14:paraId="3793182E" w14:textId="77777777" w:rsidR="00D001BB" w:rsidRDefault="00D001BB" w:rsidP="00D001BB">
      <w:pPr>
        <w:rPr>
          <w:lang w:val="fr-FR"/>
        </w:rPr>
      </w:pPr>
    </w:p>
    <w:p w14:paraId="22E0DC89" w14:textId="77777777" w:rsidR="00D001BB" w:rsidRPr="00CD09AC" w:rsidRDefault="00D001BB" w:rsidP="00D001BB">
      <w:pPr>
        <w:rPr>
          <w:lang w:val="fr-FR"/>
        </w:rPr>
      </w:pPr>
    </w:p>
    <w:p w14:paraId="6AAF0AC6" w14:textId="77777777" w:rsidR="00B97D6D" w:rsidRPr="00CD09AC" w:rsidRDefault="00B97D6D" w:rsidP="00D001BB">
      <w:pPr>
        <w:rPr>
          <w:lang w:val="fr-FR"/>
        </w:rPr>
        <w:sectPr w:rsidR="00B97D6D" w:rsidRPr="00CD09AC" w:rsidSect="006578C3">
          <w:headerReference w:type="even" r:id="rId22"/>
          <w:footnotePr>
            <w:pos w:val="beneathText"/>
          </w:footnotePr>
          <w:pgSz w:w="11907" w:h="16840" w:code="9"/>
          <w:pgMar w:top="1701" w:right="851" w:bottom="1134" w:left="1985" w:header="720" w:footer="482" w:gutter="0"/>
          <w:cols w:space="720"/>
          <w:vAlign w:val="both"/>
        </w:sectPr>
      </w:pPr>
    </w:p>
    <w:p w14:paraId="583D430B" w14:textId="77777777" w:rsidR="00F769C9" w:rsidRPr="00CD09AC" w:rsidRDefault="00F769C9" w:rsidP="00F769C9">
      <w:pPr>
        <w:spacing w:line="250" w:lineRule="exact"/>
        <w:rPr>
          <w:rFonts w:asciiTheme="majorBidi" w:eastAsia="SimSun" w:hAnsiTheme="majorBidi" w:cstheme="majorBidi"/>
          <w:sz w:val="22"/>
          <w:lang w:val="fr-FR"/>
        </w:rPr>
      </w:pPr>
    </w:p>
    <w:sectPr w:rsidR="00F769C9" w:rsidRPr="00CD09AC" w:rsidSect="00E674CE">
      <w:headerReference w:type="even" r:id="rId23"/>
      <w:headerReference w:type="first" r:id="rId2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632B5" w14:textId="77777777" w:rsidR="009720AC" w:rsidRDefault="009720AC">
      <w:r>
        <w:separator/>
      </w:r>
    </w:p>
  </w:endnote>
  <w:endnote w:type="continuationSeparator" w:id="0">
    <w:p w14:paraId="58A59D99" w14:textId="77777777" w:rsidR="009720AC" w:rsidRDefault="00972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4EC7C1" w14:textId="77777777" w:rsidR="009720AC" w:rsidRDefault="009720AC">
      <w:r>
        <w:rPr>
          <w:b/>
        </w:rPr>
        <w:t>_______________</w:t>
      </w:r>
    </w:p>
  </w:footnote>
  <w:footnote w:type="continuationSeparator" w:id="0">
    <w:p w14:paraId="051443D9" w14:textId="77777777" w:rsidR="009720AC" w:rsidRDefault="009720AC">
      <w:r>
        <w:continuationSeparator/>
      </w:r>
    </w:p>
  </w:footnote>
  <w:footnote w:id="1">
    <w:p w14:paraId="64A43A8C" w14:textId="77777777" w:rsidR="009720AC" w:rsidRPr="00FB797A" w:rsidRDefault="009720AC" w:rsidP="005076E5">
      <w:pPr>
        <w:pStyle w:val="FootnoteText"/>
        <w:rPr>
          <w:lang w:val="fr-CH"/>
        </w:rPr>
      </w:pPr>
      <w:r w:rsidRPr="00FB797A">
        <w:rPr>
          <w:rStyle w:val="FootnoteReference"/>
          <w:lang w:val="fr-CH"/>
        </w:rPr>
        <w:t>1</w:t>
      </w:r>
      <w:r w:rsidRPr="00FB797A">
        <w:rPr>
          <w:lang w:val="fr-CH"/>
        </w:rPr>
        <w:tab/>
      </w:r>
      <w:r w:rsidRPr="00C46CBB">
        <w:rPr>
          <w:lang w:val="fr-CH"/>
        </w:rPr>
        <w:t xml:space="preserve">Voir les Règles de procédure relatives au numéro </w:t>
      </w:r>
      <w:r w:rsidRPr="00C46CBB">
        <w:rPr>
          <w:b/>
          <w:bCs/>
          <w:lang w:val="fr-CH"/>
        </w:rPr>
        <w:t>21.11</w:t>
      </w:r>
      <w:r w:rsidRPr="00C46CBB">
        <w:rPr>
          <w:lang w:val="fr-CH"/>
        </w:rPr>
        <w:t>.</w:t>
      </w:r>
    </w:p>
  </w:footnote>
  <w:footnote w:id="2">
    <w:p w14:paraId="0B66EAAC" w14:textId="77777777" w:rsidR="009720AC" w:rsidRPr="00FB797A" w:rsidRDefault="009720AC" w:rsidP="005076E5">
      <w:pPr>
        <w:pStyle w:val="FootnoteText"/>
        <w:rPr>
          <w:lang w:val="fr-CH"/>
        </w:rPr>
      </w:pPr>
      <w:r w:rsidRPr="00FB797A">
        <w:rPr>
          <w:rStyle w:val="FootnoteReference"/>
          <w:lang w:val="fr-CH"/>
        </w:rPr>
        <w:t>2</w:t>
      </w:r>
      <w:r w:rsidRPr="00FB797A">
        <w:rPr>
          <w:lang w:val="fr-CH"/>
        </w:rPr>
        <w:tab/>
      </w:r>
      <w:r w:rsidRPr="00C46CBB">
        <w:rPr>
          <w:lang w:val="fr-CH"/>
        </w:rPr>
        <w:t xml:space="preserve">Voir les Règles de procédure relatives au numéro </w:t>
      </w:r>
      <w:r w:rsidRPr="00C46CBB">
        <w:rPr>
          <w:b/>
          <w:bCs/>
          <w:lang w:val="fr-CH"/>
        </w:rPr>
        <w:t>21.14.</w:t>
      </w:r>
    </w:p>
  </w:footnote>
  <w:footnote w:id="3">
    <w:p w14:paraId="2999BF00" w14:textId="1DB1703B" w:rsidR="00113128" w:rsidRPr="00113128" w:rsidRDefault="00113128" w:rsidP="00113128">
      <w:pPr>
        <w:pStyle w:val="FootnoteText"/>
        <w:tabs>
          <w:tab w:val="left" w:pos="426"/>
        </w:tabs>
      </w:pPr>
      <w:r w:rsidRPr="00113128">
        <w:rPr>
          <w:rStyle w:val="FootnoteReference"/>
        </w:rPr>
        <w:t>2bis</w:t>
      </w:r>
      <w:r w:rsidRPr="00113128">
        <w:tab/>
      </w:r>
      <w:r>
        <w:tab/>
      </w:r>
      <w:r w:rsidRPr="00113128">
        <w:rPr>
          <w:sz w:val="22"/>
          <w:szCs w:val="22"/>
        </w:rPr>
        <w:t>Les administrations concernées peuvent demander au Bureau d'utiliser une autre base de données de référence.</w:t>
      </w:r>
    </w:p>
  </w:footnote>
  <w:footnote w:id="4">
    <w:p w14:paraId="22EE12C2" w14:textId="4B05A1CD" w:rsidR="00045B98" w:rsidRPr="00045B98" w:rsidRDefault="00946A46" w:rsidP="00045B98">
      <w:pPr>
        <w:pStyle w:val="FootnoteText"/>
        <w:rPr>
          <w:rFonts w:eastAsia="SimSun"/>
          <w:lang w:val="fr-CH"/>
        </w:rPr>
      </w:pPr>
      <w:r w:rsidRPr="00045B98">
        <w:rPr>
          <w:rStyle w:val="FootnoteReference"/>
          <w:sz w:val="20"/>
          <w:lang w:val="fr-CH"/>
        </w:rPr>
        <w:t>4</w:t>
      </w:r>
      <w:r w:rsidRPr="00045B98">
        <w:rPr>
          <w:lang w:val="fr-CH"/>
        </w:rPr>
        <w:tab/>
        <w:t>La zone de service est couverte par une grille de points régulière</w:t>
      </w:r>
      <w:r w:rsidRPr="00045B98">
        <w:rPr>
          <w:rFonts w:eastAsiaTheme="minorHAnsi"/>
          <w:lang w:val="fr-CH"/>
        </w:rPr>
        <w:t xml:space="preserve"> </w:t>
      </w:r>
      <w:r w:rsidRPr="00045B98">
        <w:rPr>
          <w:lang w:val="fr-CH"/>
        </w:rPr>
        <w:t>situés sur terre et à l'intérieur de la zone de service</w:t>
      </w:r>
      <w:r w:rsidRPr="00045B98">
        <w:rPr>
          <w:rFonts w:eastAsia="SimSun"/>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053584F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E9E6CA6" w14:textId="04F84859" w:rsidR="00946A46" w:rsidRDefault="00946A46">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BB15CE" w14:textId="3C718AFC" w:rsidR="00946A46" w:rsidRDefault="00F5166E">
          <w:pPr>
            <w:pStyle w:val="HeaderRegProc"/>
            <w:rPr>
              <w:lang w:val="fr-FR"/>
            </w:rPr>
          </w:pPr>
          <w:fldSimple w:instr=" DOCPROPERTY &quot;Header1&quot; \* MERGEFORMAT ">
            <w:r w:rsidR="00AF10D9">
              <w:t>AP</w:t>
            </w:r>
          </w:fldSimple>
          <w:r w:rsidR="00946A46">
            <w:fldChar w:fldCharType="begin"/>
          </w:r>
          <w:r w:rsidR="00946A46">
            <w:instrText>styleref href2</w:instrText>
          </w:r>
          <w:r w:rsidR="00946A46">
            <w:fldChar w:fldCharType="separate"/>
          </w:r>
          <w:r w:rsidR="00AF10D9">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403484" w14:textId="77777777" w:rsidR="00946A46" w:rsidRDefault="00946A46">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B53AA" w14:textId="04129435" w:rsidR="00946A46" w:rsidRDefault="00946A46" w:rsidP="007A26EB">
          <w:pPr>
            <w:pStyle w:val="HeaderRegProc"/>
            <w:rPr>
              <w:lang w:val="fr-CH"/>
            </w:rPr>
          </w:pPr>
          <w:proofErr w:type="gramStart"/>
          <w:r>
            <w:rPr>
              <w:lang w:val="fr-CH"/>
            </w:rPr>
            <w:t>rév</w:t>
          </w:r>
          <w:proofErr w:type="gramEnd"/>
          <w:r>
            <w:rPr>
              <w:lang w:val="fr-CH"/>
            </w:rPr>
            <w:t>.</w:t>
          </w:r>
          <w:r w:rsidR="00113128">
            <w:rPr>
              <w:lang w:val="fr-CH"/>
            </w:rPr>
            <w:t xml:space="preserve"> </w:t>
          </w:r>
          <w:r w:rsidR="003C4C29">
            <w:rPr>
              <w:lang w:val="fr-CH"/>
            </w:rPr>
            <w:t>-</w:t>
          </w:r>
        </w:p>
      </w:tc>
    </w:tr>
  </w:tbl>
  <w:p w14:paraId="7139BF67" w14:textId="77777777" w:rsidR="00946A46" w:rsidRDefault="00946A46">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78C2" w14:paraId="70EBE319"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3879D733" w14:textId="157D8BC2" w:rsidR="006B78C2" w:rsidRDefault="006B78C2" w:rsidP="00617D8B">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418AD5" w14:textId="0FA57C80" w:rsidR="006B78C2" w:rsidRDefault="00F5166E" w:rsidP="00617D8B">
          <w:pPr>
            <w:pStyle w:val="HeaderRegProc"/>
            <w:rPr>
              <w:lang w:val="fr-FR"/>
            </w:rPr>
          </w:pPr>
          <w:fldSimple w:instr=" DOCPROPERTY &quot;Header1&quot; \* MERGEFORMAT ">
            <w:r w:rsidR="00AF10D9">
              <w:t>AP</w:t>
            </w:r>
          </w:fldSimple>
          <w:r w:rsidR="006B78C2">
            <w:fldChar w:fldCharType="begin"/>
          </w:r>
          <w:r w:rsidR="006B78C2">
            <w:instrText>styleref href2</w:instrText>
          </w:r>
          <w:r w:rsidR="006B78C2">
            <w:fldChar w:fldCharType="separate"/>
          </w:r>
          <w:r w:rsidR="00AF10D9">
            <w:rPr>
              <w:noProof/>
            </w:rPr>
            <w:t>30B</w:t>
          </w:r>
          <w:r w:rsidR="006B78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7D5E9" w14:textId="77777777" w:rsidR="006B78C2" w:rsidRDefault="006B78C2"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561EE4" w14:textId="77777777" w:rsidR="006B78C2" w:rsidRDefault="006B78C2" w:rsidP="00617D8B">
          <w:pPr>
            <w:pStyle w:val="HeaderRegProc"/>
            <w:rPr>
              <w:lang w:val="fr-CH"/>
            </w:rPr>
          </w:pPr>
          <w:proofErr w:type="gramStart"/>
          <w:r>
            <w:rPr>
              <w:lang w:val="fr-CH"/>
            </w:rPr>
            <w:t>rév</w:t>
          </w:r>
          <w:proofErr w:type="gramEnd"/>
          <w:r>
            <w:rPr>
              <w:lang w:val="fr-CH"/>
            </w:rPr>
            <w:t>. 3</w:t>
          </w:r>
        </w:p>
      </w:tc>
    </w:tr>
  </w:tbl>
  <w:p w14:paraId="247420DB" w14:textId="77777777" w:rsidR="006B78C2" w:rsidRDefault="006B78C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B78C2" w14:paraId="4477142B"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23470957" w14:textId="407509C9" w:rsidR="006B78C2" w:rsidRDefault="006B78C2" w:rsidP="00617D8B">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3E1C01" w14:textId="1664E41D" w:rsidR="006B78C2" w:rsidRDefault="00F5166E" w:rsidP="00617D8B">
          <w:pPr>
            <w:pStyle w:val="HeaderRegProc"/>
            <w:rPr>
              <w:lang w:val="fr-FR"/>
            </w:rPr>
          </w:pPr>
          <w:fldSimple w:instr=" DOCPROPERTY &quot;Header1&quot; \* MERGEFORMAT ">
            <w:r w:rsidR="00AF10D9">
              <w:t>AP</w:t>
            </w:r>
          </w:fldSimple>
          <w:r w:rsidR="006B78C2">
            <w:fldChar w:fldCharType="begin"/>
          </w:r>
          <w:r w:rsidR="006B78C2">
            <w:instrText>styleref href2</w:instrText>
          </w:r>
          <w:r w:rsidR="006B78C2">
            <w:fldChar w:fldCharType="separate"/>
          </w:r>
          <w:r w:rsidR="00AF10D9">
            <w:rPr>
              <w:noProof/>
            </w:rPr>
            <w:t>30B</w:t>
          </w:r>
          <w:r w:rsidR="006B78C2">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C5448E" w14:textId="77777777" w:rsidR="006B78C2" w:rsidRDefault="006B78C2"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E3CE88" w14:textId="46B4F104" w:rsidR="006B78C2" w:rsidRDefault="006B78C2" w:rsidP="00617D8B">
          <w:pPr>
            <w:pStyle w:val="HeaderRegProc"/>
            <w:rPr>
              <w:lang w:val="fr-CH"/>
            </w:rPr>
          </w:pPr>
          <w:proofErr w:type="gramStart"/>
          <w:r>
            <w:rPr>
              <w:lang w:val="fr-CH"/>
            </w:rPr>
            <w:t>rév</w:t>
          </w:r>
          <w:proofErr w:type="gramEnd"/>
          <w:r>
            <w:rPr>
              <w:lang w:val="fr-CH"/>
            </w:rPr>
            <w:t>.</w:t>
          </w:r>
          <w:r w:rsidR="00D001BB">
            <w:rPr>
              <w:lang w:val="fr-CH"/>
            </w:rPr>
            <w:t xml:space="preserve"> </w:t>
          </w:r>
          <w:r>
            <w:rPr>
              <w:lang w:val="fr-CH"/>
            </w:rPr>
            <w:t>-</w:t>
          </w:r>
        </w:p>
      </w:tc>
    </w:tr>
  </w:tbl>
  <w:p w14:paraId="274D8A84" w14:textId="77777777" w:rsidR="006B78C2" w:rsidRDefault="006B78C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001BB" w14:paraId="3BF9F74B"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2CDE5754" w14:textId="1FDBB306" w:rsidR="00D001BB" w:rsidRDefault="00D001BB" w:rsidP="00617D8B">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C9038F" w14:textId="39338A87" w:rsidR="00D001BB" w:rsidRDefault="00F5166E" w:rsidP="00617D8B">
          <w:pPr>
            <w:pStyle w:val="HeaderRegProc"/>
            <w:rPr>
              <w:lang w:val="fr-FR"/>
            </w:rPr>
          </w:pPr>
          <w:fldSimple w:instr=" DOCPROPERTY &quot;Header1&quot; \* MERGEFORMAT ">
            <w:r w:rsidR="00AF10D9">
              <w:t>AP</w:t>
            </w:r>
          </w:fldSimple>
          <w:r w:rsidR="00D001BB">
            <w:fldChar w:fldCharType="begin"/>
          </w:r>
          <w:r w:rsidR="00D001BB">
            <w:instrText>styleref href2</w:instrText>
          </w:r>
          <w:r w:rsidR="00D001BB">
            <w:fldChar w:fldCharType="separate"/>
          </w:r>
          <w:r w:rsidR="00AF10D9">
            <w:rPr>
              <w:noProof/>
            </w:rPr>
            <w:t>30B</w:t>
          </w:r>
          <w:r w:rsidR="00D001B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9A812F" w14:textId="77777777" w:rsidR="00D001BB" w:rsidRDefault="00D001BB"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5AA1B1" w14:textId="231B1623" w:rsidR="00D001BB" w:rsidRDefault="00D001BB" w:rsidP="00617D8B">
          <w:pPr>
            <w:pStyle w:val="HeaderRegProc"/>
            <w:rPr>
              <w:lang w:val="fr-CH"/>
            </w:rPr>
          </w:pPr>
          <w:proofErr w:type="gramStart"/>
          <w:r>
            <w:rPr>
              <w:lang w:val="fr-CH"/>
            </w:rPr>
            <w:t>rév</w:t>
          </w:r>
          <w:proofErr w:type="gramEnd"/>
          <w:r>
            <w:rPr>
              <w:lang w:val="fr-CH"/>
            </w:rPr>
            <w:t>. 5</w:t>
          </w:r>
        </w:p>
      </w:tc>
    </w:tr>
  </w:tbl>
  <w:p w14:paraId="7F90C9B1" w14:textId="77777777" w:rsidR="00D001BB" w:rsidRDefault="00D001BB">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001BB" w14:paraId="0331383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A3DB8C7" w14:textId="4CD77E83" w:rsidR="00D001BB" w:rsidRDefault="00D001BB">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E6A33B" w14:textId="392FD5F1" w:rsidR="00D001BB" w:rsidRDefault="00F5166E">
          <w:pPr>
            <w:pStyle w:val="HeaderRegProc"/>
            <w:rPr>
              <w:lang w:val="fr-FR"/>
            </w:rPr>
          </w:pPr>
          <w:fldSimple w:instr=" DOCPROPERTY &quot;Header1&quot; \* MERGEFORMAT ">
            <w:r w:rsidR="00AF10D9">
              <w:t>AP</w:t>
            </w:r>
          </w:fldSimple>
          <w:r w:rsidR="00D001BB">
            <w:fldChar w:fldCharType="begin"/>
          </w:r>
          <w:r w:rsidR="00D001BB">
            <w:instrText>styleref href2</w:instrText>
          </w:r>
          <w:r w:rsidR="00D001BB">
            <w:fldChar w:fldCharType="separate"/>
          </w:r>
          <w:r w:rsidR="00AF10D9">
            <w:rPr>
              <w:noProof/>
            </w:rPr>
            <w:t>30B</w:t>
          </w:r>
          <w:r w:rsidR="00D001BB">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10C881" w14:textId="77777777" w:rsidR="00D001BB" w:rsidRDefault="00D001B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E8CDEF" w14:textId="6CEC3EB4" w:rsidR="00D001BB" w:rsidRDefault="00D001BB" w:rsidP="007A26EB">
          <w:pPr>
            <w:pStyle w:val="HeaderRegProc"/>
            <w:rPr>
              <w:lang w:val="fr-CH"/>
            </w:rPr>
          </w:pPr>
          <w:proofErr w:type="gramStart"/>
          <w:r>
            <w:rPr>
              <w:lang w:val="fr-CH"/>
            </w:rPr>
            <w:t>rév</w:t>
          </w:r>
          <w:proofErr w:type="gramEnd"/>
          <w:r>
            <w:rPr>
              <w:lang w:val="fr-CH"/>
            </w:rPr>
            <w:t>. 5</w:t>
          </w:r>
        </w:p>
      </w:tc>
    </w:tr>
  </w:tbl>
  <w:p w14:paraId="12459EFF" w14:textId="77777777" w:rsidR="00D001BB" w:rsidRDefault="00D001BB">
    <w:pPr>
      <w:rPr>
        <w:lang w:val="fr-C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97D6D" w14:paraId="72EFEA7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B94C125" w14:textId="77777777" w:rsidR="00B97D6D" w:rsidRDefault="00B97D6D">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14:paraId="44C28BB9" w14:textId="02AC0DB6" w:rsidR="00B97D6D" w:rsidRDefault="00F5166E">
          <w:pPr>
            <w:pStyle w:val="HeaderRegProc"/>
            <w:rPr>
              <w:lang w:val="fr-FR"/>
            </w:rPr>
          </w:pPr>
          <w:fldSimple w:instr=" DOCPROPERTY &quot;Header1&quot; \* MERGEFORMAT ">
            <w:r w:rsidR="00AF10D9" w:rsidRPr="00AF10D9">
              <w:rPr>
                <w:lang w:val="fr-FR"/>
              </w:rPr>
              <w:t>AP</w:t>
            </w:r>
          </w:fldSimple>
          <w:r w:rsidR="00B97D6D">
            <w:fldChar w:fldCharType="begin"/>
          </w:r>
          <w:r w:rsidR="00B97D6D">
            <w:rPr>
              <w:lang w:val="fr-FR"/>
            </w:rPr>
            <w:instrText>styleref href2</w:instrText>
          </w:r>
          <w:r w:rsidR="00B97D6D">
            <w:fldChar w:fldCharType="separate"/>
          </w:r>
          <w:r w:rsidR="00AF10D9">
            <w:rPr>
              <w:noProof/>
              <w:lang w:val="fr-FR"/>
            </w:rPr>
            <w:t>30B</w:t>
          </w:r>
          <w:r w:rsidR="00B97D6D">
            <w:fldChar w:fldCharType="end"/>
          </w:r>
        </w:p>
      </w:tc>
      <w:tc>
        <w:tcPr>
          <w:tcW w:w="1701" w:type="dxa"/>
          <w:tcBorders>
            <w:top w:val="single" w:sz="6" w:space="0" w:color="auto"/>
            <w:left w:val="single" w:sz="6" w:space="0" w:color="auto"/>
            <w:bottom w:val="single" w:sz="6" w:space="0" w:color="auto"/>
            <w:right w:val="single" w:sz="6" w:space="0" w:color="auto"/>
          </w:tcBorders>
        </w:tcPr>
        <w:p w14:paraId="7677059B" w14:textId="77777777" w:rsidR="00B97D6D" w:rsidRDefault="00B97D6D">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1EFD80" w14:textId="77777777" w:rsidR="00B97D6D" w:rsidRDefault="00B97D6D" w:rsidP="003F13B1">
          <w:pPr>
            <w:pStyle w:val="HeaderRegProc"/>
            <w:rPr>
              <w:lang w:val="fr-CH"/>
            </w:rPr>
          </w:pPr>
          <w:proofErr w:type="gramStart"/>
          <w:r>
            <w:rPr>
              <w:lang w:val="fr-CH"/>
            </w:rPr>
            <w:t>rév</w:t>
          </w:r>
          <w:proofErr w:type="gramEnd"/>
          <w:r>
            <w:rPr>
              <w:lang w:val="fr-CH"/>
            </w:rPr>
            <w:t>.</w:t>
          </w:r>
          <w:r>
            <w:t xml:space="preserve"> 11</w:t>
          </w:r>
        </w:p>
      </w:tc>
    </w:tr>
  </w:tbl>
  <w:p w14:paraId="7901F42C" w14:textId="77777777" w:rsidR="00B97D6D" w:rsidRPr="00C65F7B" w:rsidRDefault="00B97D6D" w:rsidP="009720AC">
    <w:pPr>
      <w:spacing w:before="0"/>
      <w:rPr>
        <w:sz w:val="8"/>
        <w:szCs w:val="8"/>
        <w:lang w:val="fr-CH"/>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6D776" w14:textId="77777777" w:rsidR="009720AC" w:rsidRDefault="009720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46A46" w14:paraId="59B81ECD"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16D83E84" w14:textId="74DDEBAE" w:rsidR="00946A46" w:rsidRDefault="00946A46" w:rsidP="00617D8B">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E317A7" w14:textId="2FF1BFE1" w:rsidR="00946A46" w:rsidRDefault="00F5166E" w:rsidP="00617D8B">
          <w:pPr>
            <w:pStyle w:val="HeaderRegProc"/>
            <w:rPr>
              <w:lang w:val="fr-FR"/>
            </w:rPr>
          </w:pPr>
          <w:fldSimple w:instr=" DOCPROPERTY &quot;Header1&quot; \* MERGEFORMAT ">
            <w:r w:rsidR="00AF10D9">
              <w:t>AP</w:t>
            </w:r>
          </w:fldSimple>
          <w:r w:rsidR="00946A46">
            <w:fldChar w:fldCharType="begin"/>
          </w:r>
          <w:r w:rsidR="00946A46">
            <w:instrText>styleref href2</w:instrText>
          </w:r>
          <w:r w:rsidR="00946A46">
            <w:fldChar w:fldCharType="separate"/>
          </w:r>
          <w:r w:rsidR="00AF10D9">
            <w:rPr>
              <w:noProof/>
            </w:rPr>
            <w:t>30B</w:t>
          </w:r>
          <w:r w:rsidR="00946A4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30F0B4B" w14:textId="77777777" w:rsidR="00946A46" w:rsidRDefault="00946A46" w:rsidP="00617D8B">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0FF20" w14:textId="7F56757A" w:rsidR="00946A46" w:rsidRDefault="00946A46" w:rsidP="00617D8B">
          <w:pPr>
            <w:pStyle w:val="HeaderRegProc"/>
            <w:rPr>
              <w:lang w:val="fr-CH"/>
            </w:rPr>
          </w:pPr>
          <w:proofErr w:type="gramStart"/>
          <w:r>
            <w:rPr>
              <w:lang w:val="fr-CH"/>
            </w:rPr>
            <w:t>r</w:t>
          </w:r>
          <w:r w:rsidR="007B40C9">
            <w:rPr>
              <w:lang w:val="fr-CH"/>
            </w:rPr>
            <w:t>é</w:t>
          </w:r>
          <w:r>
            <w:rPr>
              <w:lang w:val="fr-CH"/>
            </w:rPr>
            <w:t>v</w:t>
          </w:r>
          <w:proofErr w:type="gramEnd"/>
          <w:r>
            <w:rPr>
              <w:lang w:val="fr-CH"/>
            </w:rPr>
            <w:t>.</w:t>
          </w:r>
          <w:r w:rsidR="00113128">
            <w:rPr>
              <w:lang w:val="fr-CH"/>
            </w:rPr>
            <w:t xml:space="preserve"> </w:t>
          </w:r>
          <w:r w:rsidR="003C4C29">
            <w:rPr>
              <w:lang w:val="fr-CH"/>
            </w:rPr>
            <w:t>-</w:t>
          </w:r>
        </w:p>
      </w:tc>
    </w:tr>
  </w:tbl>
  <w:p w14:paraId="078296D0" w14:textId="77777777" w:rsidR="00946A46" w:rsidRDefault="00946A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13128" w14:paraId="055375F1"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5D55E08D" w14:textId="206E7B01" w:rsidR="00113128" w:rsidRDefault="00113128" w:rsidP="00617D8B">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945644" w14:textId="23A13185" w:rsidR="00113128" w:rsidRDefault="00F5166E" w:rsidP="00617D8B">
          <w:pPr>
            <w:pStyle w:val="HeaderRegProc"/>
            <w:rPr>
              <w:lang w:val="fr-FR"/>
            </w:rPr>
          </w:pPr>
          <w:fldSimple w:instr=" DOCPROPERTY &quot;Header1&quot; \* MERGEFORMAT ">
            <w:r w:rsidR="00AF10D9">
              <w:t>AP</w:t>
            </w:r>
          </w:fldSimple>
          <w:r w:rsidR="00113128">
            <w:fldChar w:fldCharType="begin"/>
          </w:r>
          <w:r w:rsidR="00113128">
            <w:instrText>styleref href2</w:instrText>
          </w:r>
          <w:r w:rsidR="00113128">
            <w:fldChar w:fldCharType="separate"/>
          </w:r>
          <w:r w:rsidR="00AF10D9">
            <w:rPr>
              <w:noProof/>
            </w:rPr>
            <w:t>30B</w:t>
          </w:r>
          <w:r w:rsidR="0011312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BE4EC3" w14:textId="2A3ED80A" w:rsidR="00113128" w:rsidRDefault="00113128" w:rsidP="00617D8B">
          <w:pPr>
            <w:pStyle w:val="HeaderRegProc"/>
            <w:rPr>
              <w:lang w:val="fr-CH"/>
            </w:rPr>
          </w:pPr>
          <w:proofErr w:type="gramStart"/>
          <w:r>
            <w:rPr>
              <w:lang w:val="fr-FR"/>
            </w:rPr>
            <w:t>page</w:t>
          </w:r>
          <w:proofErr w:type="gramEnd"/>
          <w:r>
            <w:rPr>
              <w:lang w:val="fr-FR"/>
            </w:rPr>
            <w:t xml:space="preserve"> </w:t>
          </w:r>
          <w:r>
            <w:rPr>
              <w:rStyle w:val="PageNumber"/>
            </w:rPr>
            <w:t>5</w:t>
          </w:r>
        </w:p>
      </w:tc>
      <w:tc>
        <w:tcPr>
          <w:tcW w:w="1701" w:type="dxa"/>
          <w:tcBorders>
            <w:top w:val="single" w:sz="6" w:space="0" w:color="auto"/>
            <w:left w:val="single" w:sz="6" w:space="0" w:color="auto"/>
            <w:bottom w:val="single" w:sz="6" w:space="0" w:color="auto"/>
            <w:right w:val="single" w:sz="6" w:space="0" w:color="auto"/>
          </w:tcBorders>
        </w:tcPr>
        <w:p w14:paraId="52E0636F" w14:textId="5077FA22" w:rsidR="00113128" w:rsidRDefault="00113128" w:rsidP="00617D8B">
          <w:pPr>
            <w:pStyle w:val="HeaderRegProc"/>
            <w:rPr>
              <w:lang w:val="fr-CH"/>
            </w:rPr>
          </w:pPr>
          <w:proofErr w:type="gramStart"/>
          <w:r>
            <w:rPr>
              <w:lang w:val="fr-CH"/>
            </w:rPr>
            <w:t>rév</w:t>
          </w:r>
          <w:proofErr w:type="gramEnd"/>
          <w:r>
            <w:rPr>
              <w:lang w:val="fr-CH"/>
            </w:rPr>
            <w:t>. 5</w:t>
          </w:r>
        </w:p>
      </w:tc>
    </w:tr>
  </w:tbl>
  <w:p w14:paraId="6DE03F24" w14:textId="77777777" w:rsidR="00113128" w:rsidRDefault="001131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4451" w14:paraId="28F49FD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C8E379D" w14:textId="5C1A8034" w:rsidR="00874451" w:rsidRDefault="00874451">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F8549C" w14:textId="65E9CD9A" w:rsidR="00874451" w:rsidRDefault="00F5166E">
          <w:pPr>
            <w:pStyle w:val="HeaderRegProc"/>
            <w:rPr>
              <w:lang w:val="fr-FR"/>
            </w:rPr>
          </w:pPr>
          <w:fldSimple w:instr=" DOCPROPERTY &quot;Header1&quot; \* MERGEFORMAT ">
            <w:r w:rsidR="00AF10D9">
              <w:t>AP</w:t>
            </w:r>
          </w:fldSimple>
          <w:r w:rsidR="00874451">
            <w:fldChar w:fldCharType="begin"/>
          </w:r>
          <w:r w:rsidR="00874451">
            <w:instrText>styleref href2</w:instrText>
          </w:r>
          <w:r w:rsidR="00874451">
            <w:fldChar w:fldCharType="separate"/>
          </w:r>
          <w:r w:rsidR="00AF10D9">
            <w:rPr>
              <w:noProof/>
            </w:rPr>
            <w:t>30B</w:t>
          </w:r>
          <w:r w:rsidR="0087445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D2B598" w14:textId="14D8BF35" w:rsidR="00874451" w:rsidRDefault="00874451">
          <w:pPr>
            <w:pStyle w:val="HeaderRegProc"/>
            <w:rPr>
              <w:lang w:val="fr-CH"/>
            </w:rPr>
          </w:pPr>
          <w:proofErr w:type="gramStart"/>
          <w:r>
            <w:rPr>
              <w:lang w:val="fr-FR"/>
            </w:rPr>
            <w:t>page</w:t>
          </w:r>
          <w:proofErr w:type="gramEnd"/>
          <w:r>
            <w:rPr>
              <w:lang w:val="fr-FR"/>
            </w:rPr>
            <w:t xml:space="preserve"> </w:t>
          </w:r>
          <w:r>
            <w:rPr>
              <w:rStyle w:val="PageNumber"/>
            </w:rPr>
            <w:t>5</w:t>
          </w:r>
          <w:r w:rsidRPr="00874451">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18D68A8" w14:textId="7DBEE680" w:rsidR="00874451" w:rsidRDefault="00874451" w:rsidP="007A26EB">
          <w:pPr>
            <w:pStyle w:val="HeaderRegProc"/>
            <w:rPr>
              <w:lang w:val="fr-CH"/>
            </w:rPr>
          </w:pPr>
          <w:proofErr w:type="gramStart"/>
          <w:r>
            <w:rPr>
              <w:lang w:val="fr-CH"/>
            </w:rPr>
            <w:t>rév</w:t>
          </w:r>
          <w:proofErr w:type="gramEnd"/>
          <w:r>
            <w:rPr>
              <w:lang w:val="fr-CH"/>
            </w:rPr>
            <w:t>. 5</w:t>
          </w:r>
        </w:p>
      </w:tc>
    </w:tr>
  </w:tbl>
  <w:p w14:paraId="4BA3E3E7" w14:textId="77777777" w:rsidR="00874451" w:rsidRDefault="00874451">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74451" w14:paraId="32A263D8"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24D612C" w14:textId="4FA1E377" w:rsidR="00874451" w:rsidRDefault="00874451">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95BCE9" w14:textId="6BC19396" w:rsidR="00874451" w:rsidRDefault="00F5166E">
          <w:pPr>
            <w:pStyle w:val="HeaderRegProc"/>
            <w:rPr>
              <w:lang w:val="fr-FR"/>
            </w:rPr>
          </w:pPr>
          <w:fldSimple w:instr=" DOCPROPERTY &quot;Header1&quot; \* MERGEFORMAT ">
            <w:r w:rsidR="00AF10D9">
              <w:t>AP</w:t>
            </w:r>
          </w:fldSimple>
          <w:r w:rsidR="00874451">
            <w:fldChar w:fldCharType="begin"/>
          </w:r>
          <w:r w:rsidR="00874451">
            <w:instrText>styleref href2</w:instrText>
          </w:r>
          <w:r w:rsidR="00874451">
            <w:fldChar w:fldCharType="separate"/>
          </w:r>
          <w:r w:rsidR="00AF10D9">
            <w:rPr>
              <w:noProof/>
            </w:rPr>
            <w:t>30B</w:t>
          </w:r>
          <w:r w:rsidR="0087445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7D0E04" w14:textId="5D39175C" w:rsidR="00874451" w:rsidRDefault="00874451">
          <w:pPr>
            <w:pStyle w:val="HeaderRegProc"/>
            <w:rPr>
              <w:lang w:val="fr-CH"/>
            </w:rPr>
          </w:pPr>
          <w:proofErr w:type="gramStart"/>
          <w:r>
            <w:rPr>
              <w:lang w:val="fr-FR"/>
            </w:rPr>
            <w:t>page</w:t>
          </w:r>
          <w:proofErr w:type="gramEnd"/>
          <w:r>
            <w:rPr>
              <w:lang w:val="fr-FR"/>
            </w:rPr>
            <w:t xml:space="preserve"> </w:t>
          </w:r>
          <w:r>
            <w:rPr>
              <w:rStyle w:val="PageNumber"/>
            </w:rPr>
            <w:t>6</w:t>
          </w:r>
        </w:p>
      </w:tc>
      <w:tc>
        <w:tcPr>
          <w:tcW w:w="1701" w:type="dxa"/>
          <w:tcBorders>
            <w:top w:val="single" w:sz="6" w:space="0" w:color="auto"/>
            <w:left w:val="single" w:sz="6" w:space="0" w:color="auto"/>
            <w:bottom w:val="single" w:sz="6" w:space="0" w:color="auto"/>
            <w:right w:val="single" w:sz="6" w:space="0" w:color="auto"/>
          </w:tcBorders>
        </w:tcPr>
        <w:p w14:paraId="4C8F5AFC" w14:textId="77777777" w:rsidR="00874451" w:rsidRDefault="00874451" w:rsidP="007A26EB">
          <w:pPr>
            <w:pStyle w:val="HeaderRegProc"/>
            <w:rPr>
              <w:lang w:val="fr-CH"/>
            </w:rPr>
          </w:pPr>
          <w:proofErr w:type="gramStart"/>
          <w:r>
            <w:rPr>
              <w:lang w:val="fr-CH"/>
            </w:rPr>
            <w:t>rév</w:t>
          </w:r>
          <w:proofErr w:type="gramEnd"/>
          <w:r>
            <w:rPr>
              <w:lang w:val="fr-CH"/>
            </w:rPr>
            <w:t>. 5</w:t>
          </w:r>
        </w:p>
      </w:tc>
    </w:tr>
  </w:tbl>
  <w:p w14:paraId="1ADD1755" w14:textId="77777777" w:rsidR="00874451" w:rsidRDefault="00874451">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74451" w14:paraId="69F74F51"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489EE56D" w14:textId="3D3BB17E" w:rsidR="00874451" w:rsidRDefault="00874451" w:rsidP="00617D8B">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D45520" w14:textId="5E2695A8" w:rsidR="00874451" w:rsidRDefault="00F5166E" w:rsidP="00617D8B">
          <w:pPr>
            <w:pStyle w:val="HeaderRegProc"/>
            <w:rPr>
              <w:lang w:val="fr-FR"/>
            </w:rPr>
          </w:pPr>
          <w:fldSimple w:instr=" DOCPROPERTY &quot;Header1&quot; \* MERGEFORMAT ">
            <w:r w:rsidR="00AF10D9">
              <w:t>AP</w:t>
            </w:r>
          </w:fldSimple>
          <w:r w:rsidR="00874451">
            <w:fldChar w:fldCharType="begin"/>
          </w:r>
          <w:r w:rsidR="00874451">
            <w:instrText>styleref href2</w:instrText>
          </w:r>
          <w:r w:rsidR="00874451">
            <w:fldChar w:fldCharType="separate"/>
          </w:r>
          <w:r w:rsidR="00AF10D9">
            <w:rPr>
              <w:noProof/>
            </w:rPr>
            <w:t>30B</w:t>
          </w:r>
          <w:r w:rsidR="00874451">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D26DE2" w14:textId="0CE86A2B" w:rsidR="00874451" w:rsidRDefault="00874451" w:rsidP="00617D8B">
          <w:pPr>
            <w:pStyle w:val="HeaderRegProc"/>
            <w:rPr>
              <w:lang w:val="fr-CH"/>
            </w:rPr>
          </w:pPr>
          <w:proofErr w:type="gramStart"/>
          <w:r>
            <w:rPr>
              <w:lang w:val="fr-FR"/>
            </w:rPr>
            <w:t>page</w:t>
          </w:r>
          <w:proofErr w:type="gramEnd"/>
          <w:r>
            <w:rPr>
              <w:lang w:val="fr-FR"/>
            </w:rPr>
            <w:t xml:space="preserve"> </w:t>
          </w:r>
          <w:r>
            <w:rPr>
              <w:rStyle w:val="PageNumber"/>
            </w:rPr>
            <w:t>5</w:t>
          </w:r>
          <w:r w:rsidRPr="00874451">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01CE7F53" w14:textId="77777777" w:rsidR="00874451" w:rsidRDefault="00874451" w:rsidP="00617D8B">
          <w:pPr>
            <w:pStyle w:val="HeaderRegProc"/>
            <w:rPr>
              <w:lang w:val="fr-CH"/>
            </w:rPr>
          </w:pPr>
          <w:proofErr w:type="gramStart"/>
          <w:r>
            <w:rPr>
              <w:lang w:val="fr-CH"/>
            </w:rPr>
            <w:t>rév</w:t>
          </w:r>
          <w:proofErr w:type="gramEnd"/>
          <w:r>
            <w:rPr>
              <w:lang w:val="fr-CH"/>
            </w:rPr>
            <w:t>. 5</w:t>
          </w:r>
        </w:p>
      </w:tc>
    </w:tr>
  </w:tbl>
  <w:p w14:paraId="4FAAD129" w14:textId="77777777" w:rsidR="00874451" w:rsidRDefault="008744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78C3" w14:paraId="13DBDF7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BC429BB" w14:textId="67E795D3" w:rsidR="006578C3" w:rsidRDefault="006578C3">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F81E55E" w14:textId="4E259A59" w:rsidR="006578C3" w:rsidRDefault="00F5166E">
          <w:pPr>
            <w:pStyle w:val="HeaderRegProc"/>
            <w:rPr>
              <w:lang w:val="fr-FR"/>
            </w:rPr>
          </w:pPr>
          <w:fldSimple w:instr=" DOCPROPERTY &quot;Header1&quot; \* MERGEFORMAT ">
            <w:r w:rsidR="00AF10D9">
              <w:t>AP</w:t>
            </w:r>
          </w:fldSimple>
          <w:r w:rsidR="006578C3">
            <w:fldChar w:fldCharType="begin"/>
          </w:r>
          <w:r w:rsidR="006578C3">
            <w:instrText>styleref href2</w:instrText>
          </w:r>
          <w:r w:rsidR="006578C3">
            <w:fldChar w:fldCharType="separate"/>
          </w:r>
          <w:r w:rsidR="00AF10D9">
            <w:rPr>
              <w:noProof/>
            </w:rPr>
            <w:t>30B</w:t>
          </w:r>
          <w:r w:rsidR="006578C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49197F" w14:textId="7B28700D" w:rsidR="006578C3" w:rsidRPr="006B78C2" w:rsidRDefault="006578C3">
          <w:pPr>
            <w:pStyle w:val="HeaderRegProc"/>
            <w:rPr>
              <w:i/>
              <w:iCs/>
              <w:lang w:val="fr-CH"/>
            </w:rPr>
          </w:pPr>
          <w:proofErr w:type="gramStart"/>
          <w:r>
            <w:rPr>
              <w:lang w:val="fr-FR"/>
            </w:rPr>
            <w:t>page</w:t>
          </w:r>
          <w:proofErr w:type="gramEnd"/>
          <w:r>
            <w:rPr>
              <w:lang w:val="fr-FR"/>
            </w:rPr>
            <w:t xml:space="preserve"> </w:t>
          </w:r>
          <w:r w:rsidR="006B78C2">
            <w:rPr>
              <w:lang w:val="fr-FR"/>
            </w:rPr>
            <w:t>7</w:t>
          </w:r>
          <w:r w:rsidR="006B78C2">
            <w:rPr>
              <w:i/>
              <w:iCs/>
              <w:lang w:val="fr-FR"/>
            </w:rPr>
            <w:t>bis</w:t>
          </w:r>
        </w:p>
      </w:tc>
      <w:tc>
        <w:tcPr>
          <w:tcW w:w="1701" w:type="dxa"/>
          <w:tcBorders>
            <w:top w:val="single" w:sz="6" w:space="0" w:color="auto"/>
            <w:left w:val="single" w:sz="6" w:space="0" w:color="auto"/>
            <w:bottom w:val="single" w:sz="6" w:space="0" w:color="auto"/>
            <w:right w:val="single" w:sz="6" w:space="0" w:color="auto"/>
          </w:tcBorders>
        </w:tcPr>
        <w:p w14:paraId="0063E885" w14:textId="5F92E94F" w:rsidR="006578C3" w:rsidRDefault="006578C3" w:rsidP="007A26EB">
          <w:pPr>
            <w:pStyle w:val="HeaderRegProc"/>
            <w:rPr>
              <w:lang w:val="fr-CH"/>
            </w:rPr>
          </w:pPr>
          <w:proofErr w:type="gramStart"/>
          <w:r>
            <w:rPr>
              <w:lang w:val="fr-CH"/>
            </w:rPr>
            <w:t>rév</w:t>
          </w:r>
          <w:proofErr w:type="gramEnd"/>
          <w:r>
            <w:rPr>
              <w:lang w:val="fr-CH"/>
            </w:rPr>
            <w:t>.</w:t>
          </w:r>
          <w:r w:rsidR="006B78C2">
            <w:rPr>
              <w:lang w:val="fr-CH"/>
            </w:rPr>
            <w:t xml:space="preserve"> 3</w:t>
          </w:r>
        </w:p>
      </w:tc>
    </w:tr>
  </w:tbl>
  <w:p w14:paraId="75183443" w14:textId="77777777" w:rsidR="006578C3" w:rsidRDefault="006578C3">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578C3" w14:paraId="575FCFAF" w14:textId="77777777" w:rsidTr="00B274E5">
      <w:trPr>
        <w:cantSplit/>
        <w:jc w:val="right"/>
      </w:trPr>
      <w:tc>
        <w:tcPr>
          <w:tcW w:w="1701" w:type="dxa"/>
          <w:tcBorders>
            <w:top w:val="single" w:sz="6" w:space="0" w:color="auto"/>
            <w:left w:val="single" w:sz="6" w:space="0" w:color="auto"/>
            <w:bottom w:val="single" w:sz="6" w:space="0" w:color="auto"/>
            <w:right w:val="single" w:sz="6" w:space="0" w:color="auto"/>
          </w:tcBorders>
        </w:tcPr>
        <w:p w14:paraId="7431C3B2" w14:textId="5DA6A4BF" w:rsidR="006578C3" w:rsidRDefault="006578C3" w:rsidP="00617D8B">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2D7A94" w14:textId="0B9720CA" w:rsidR="006578C3" w:rsidRDefault="00F5166E" w:rsidP="00617D8B">
          <w:pPr>
            <w:pStyle w:val="HeaderRegProc"/>
            <w:rPr>
              <w:lang w:val="fr-FR"/>
            </w:rPr>
          </w:pPr>
          <w:fldSimple w:instr=" DOCPROPERTY &quot;Header1&quot; \* MERGEFORMAT ">
            <w:r w:rsidR="00AF10D9">
              <w:t>AP</w:t>
            </w:r>
          </w:fldSimple>
          <w:r w:rsidR="006578C3">
            <w:fldChar w:fldCharType="begin"/>
          </w:r>
          <w:r w:rsidR="006578C3">
            <w:instrText>styleref href2</w:instrText>
          </w:r>
          <w:r w:rsidR="006578C3">
            <w:fldChar w:fldCharType="separate"/>
          </w:r>
          <w:r w:rsidR="00AF10D9">
            <w:rPr>
              <w:noProof/>
            </w:rPr>
            <w:t>30B</w:t>
          </w:r>
          <w:r w:rsidR="006578C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FC43D6E" w14:textId="3101AA9C" w:rsidR="006578C3" w:rsidRDefault="006578C3" w:rsidP="00617D8B">
          <w:pPr>
            <w:pStyle w:val="HeaderRegProc"/>
            <w:rPr>
              <w:lang w:val="fr-CH"/>
            </w:rPr>
          </w:pPr>
          <w:proofErr w:type="gramStart"/>
          <w:r>
            <w:rPr>
              <w:lang w:val="fr-FR"/>
            </w:rPr>
            <w:t>page</w:t>
          </w:r>
          <w:proofErr w:type="gramEnd"/>
          <w:r>
            <w:rPr>
              <w:lang w:val="fr-FR"/>
            </w:rPr>
            <w:t xml:space="preserve"> </w:t>
          </w:r>
          <w:r w:rsidR="00DE65C4">
            <w:rPr>
              <w:rStyle w:val="PageNumber"/>
            </w:rPr>
            <w:t>7</w:t>
          </w:r>
        </w:p>
      </w:tc>
      <w:tc>
        <w:tcPr>
          <w:tcW w:w="1701" w:type="dxa"/>
          <w:tcBorders>
            <w:top w:val="single" w:sz="6" w:space="0" w:color="auto"/>
            <w:left w:val="single" w:sz="6" w:space="0" w:color="auto"/>
            <w:bottom w:val="single" w:sz="6" w:space="0" w:color="auto"/>
            <w:right w:val="single" w:sz="6" w:space="0" w:color="auto"/>
          </w:tcBorders>
        </w:tcPr>
        <w:p w14:paraId="3675919C" w14:textId="4E894F1A" w:rsidR="006578C3" w:rsidRDefault="006578C3" w:rsidP="00617D8B">
          <w:pPr>
            <w:pStyle w:val="HeaderRegProc"/>
            <w:rPr>
              <w:lang w:val="fr-CH"/>
            </w:rPr>
          </w:pPr>
          <w:proofErr w:type="gramStart"/>
          <w:r>
            <w:rPr>
              <w:lang w:val="fr-CH"/>
            </w:rPr>
            <w:t>rév</w:t>
          </w:r>
          <w:proofErr w:type="gramEnd"/>
          <w:r>
            <w:rPr>
              <w:lang w:val="fr-CH"/>
            </w:rPr>
            <w:t xml:space="preserve">. </w:t>
          </w:r>
          <w:r w:rsidR="00DE65C4">
            <w:rPr>
              <w:lang w:val="fr-CH"/>
            </w:rPr>
            <w:t>5</w:t>
          </w:r>
        </w:p>
      </w:tc>
    </w:tr>
  </w:tbl>
  <w:p w14:paraId="11AF4764" w14:textId="77777777" w:rsidR="006578C3" w:rsidRDefault="006578C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578C3" w14:paraId="3D85B4CF"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9E4AC25" w14:textId="15B42BAF" w:rsidR="006578C3" w:rsidRDefault="006578C3">
          <w:pPr>
            <w:pStyle w:val="HeaderRegProc"/>
          </w:pPr>
          <w:r>
            <w:t>Partie A</w:t>
          </w:r>
          <w:r>
            <w:fldChar w:fldCharType="begin"/>
          </w:r>
          <w:r>
            <w:instrText>styleref href</w:instrText>
          </w:r>
          <w:r>
            <w:fldChar w:fldCharType="separate"/>
          </w:r>
          <w:r w:rsidR="00AF10D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ACFFDA" w14:textId="652AC2A6" w:rsidR="006578C3" w:rsidRDefault="00F5166E">
          <w:pPr>
            <w:pStyle w:val="HeaderRegProc"/>
            <w:rPr>
              <w:lang w:val="fr-FR"/>
            </w:rPr>
          </w:pPr>
          <w:fldSimple w:instr=" DOCPROPERTY &quot;Header1&quot; \* MERGEFORMAT ">
            <w:r w:rsidR="00AF10D9">
              <w:t>AP</w:t>
            </w:r>
          </w:fldSimple>
          <w:r w:rsidR="006578C3">
            <w:fldChar w:fldCharType="begin"/>
          </w:r>
          <w:r w:rsidR="006578C3">
            <w:instrText>styleref href2</w:instrText>
          </w:r>
          <w:r w:rsidR="006578C3">
            <w:fldChar w:fldCharType="separate"/>
          </w:r>
          <w:r w:rsidR="00AF10D9">
            <w:rPr>
              <w:noProof/>
            </w:rPr>
            <w:t>30B</w:t>
          </w:r>
          <w:r w:rsidR="006578C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E02410" w14:textId="77777777" w:rsidR="006578C3" w:rsidRDefault="006578C3">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0D459CD" w14:textId="0D396D1B" w:rsidR="006578C3" w:rsidRDefault="006578C3" w:rsidP="007A26EB">
          <w:pPr>
            <w:pStyle w:val="HeaderRegProc"/>
            <w:rPr>
              <w:lang w:val="fr-CH"/>
            </w:rPr>
          </w:pPr>
          <w:proofErr w:type="gramStart"/>
          <w:r>
            <w:rPr>
              <w:lang w:val="fr-CH"/>
            </w:rPr>
            <w:t>rév</w:t>
          </w:r>
          <w:proofErr w:type="gramEnd"/>
          <w:r>
            <w:rPr>
              <w:lang w:val="fr-CH"/>
            </w:rPr>
            <w:t>.</w:t>
          </w:r>
          <w:r w:rsidR="00D001BB">
            <w:rPr>
              <w:lang w:val="fr-CH"/>
            </w:rPr>
            <w:t xml:space="preserve"> </w:t>
          </w:r>
          <w:r>
            <w:rPr>
              <w:lang w:val="fr-CH"/>
            </w:rPr>
            <w:t>-</w:t>
          </w:r>
        </w:p>
      </w:tc>
    </w:tr>
  </w:tbl>
  <w:p w14:paraId="4D7650E6" w14:textId="77777777" w:rsidR="006578C3" w:rsidRDefault="006578C3">
    <w:pPr>
      <w:rPr>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730DE7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734BC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9E4A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04F4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15:restartNumberingAfterBreak="0">
    <w:nsid w:val="02315390"/>
    <w:multiLevelType w:val="singleLevel"/>
    <w:tmpl w:val="0C090019"/>
    <w:lvl w:ilvl="0">
      <w:start w:val="1"/>
      <w:numFmt w:val="lowerLetter"/>
      <w:lvlText w:val="(%1)"/>
      <w:lvlJc w:val="left"/>
      <w:pPr>
        <w:tabs>
          <w:tab w:val="num" w:pos="360"/>
        </w:tabs>
        <w:ind w:left="360" w:hanging="360"/>
      </w:pPr>
    </w:lvl>
  </w:abstractNum>
  <w:abstractNum w:abstractNumId="13"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15:restartNumberingAfterBreak="0">
    <w:nsid w:val="14EA125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189D77DD"/>
    <w:multiLevelType w:val="singleLevel"/>
    <w:tmpl w:val="0C090019"/>
    <w:lvl w:ilvl="0">
      <w:start w:val="1"/>
      <w:numFmt w:val="lowerLetter"/>
      <w:lvlText w:val="(%1)"/>
      <w:lvlJc w:val="left"/>
      <w:pPr>
        <w:tabs>
          <w:tab w:val="num" w:pos="360"/>
        </w:tabs>
        <w:ind w:left="360" w:hanging="360"/>
      </w:pPr>
    </w:lvl>
  </w:abstractNum>
  <w:abstractNum w:abstractNumId="19"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15:restartNumberingAfterBreak="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15:restartNumberingAfterBreak="0">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15:restartNumberingAfterBreak="0">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15:restartNumberingAfterBreak="0">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15:restartNumberingAfterBreak="0">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16cid:durableId="410154985">
    <w:abstractNumId w:val="15"/>
  </w:num>
  <w:num w:numId="2" w16cid:durableId="674914542">
    <w:abstractNumId w:val="31"/>
  </w:num>
  <w:num w:numId="3" w16cid:durableId="1445999938">
    <w:abstractNumId w:val="32"/>
  </w:num>
  <w:num w:numId="4" w16cid:durableId="450825900">
    <w:abstractNumId w:val="28"/>
  </w:num>
  <w:num w:numId="5" w16cid:durableId="1089934257">
    <w:abstractNumId w:val="30"/>
  </w:num>
  <w:num w:numId="6" w16cid:durableId="1369144978">
    <w:abstractNumId w:val="11"/>
  </w:num>
  <w:num w:numId="7" w16cid:durableId="1675301445">
    <w:abstractNumId w:val="22"/>
  </w:num>
  <w:num w:numId="8" w16cid:durableId="994845003">
    <w:abstractNumId w:val="19"/>
  </w:num>
  <w:num w:numId="9" w16cid:durableId="890924264">
    <w:abstractNumId w:val="13"/>
  </w:num>
  <w:num w:numId="10" w16cid:durableId="2040007430">
    <w:abstractNumId w:val="24"/>
  </w:num>
  <w:num w:numId="11" w16cid:durableId="1350982917">
    <w:abstractNumId w:val="21"/>
  </w:num>
  <w:num w:numId="12" w16cid:durableId="426778655">
    <w:abstractNumId w:val="29"/>
  </w:num>
  <w:num w:numId="13" w16cid:durableId="339622234">
    <w:abstractNumId w:val="8"/>
  </w:num>
  <w:num w:numId="14" w16cid:durableId="112908570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554271625">
    <w:abstractNumId w:val="14"/>
  </w:num>
  <w:num w:numId="16" w16cid:durableId="893470016">
    <w:abstractNumId w:val="9"/>
  </w:num>
  <w:num w:numId="17" w16cid:durableId="1456027178">
    <w:abstractNumId w:val="7"/>
  </w:num>
  <w:num w:numId="18" w16cid:durableId="59713386">
    <w:abstractNumId w:val="6"/>
  </w:num>
  <w:num w:numId="19" w16cid:durableId="1736928706">
    <w:abstractNumId w:val="5"/>
  </w:num>
  <w:num w:numId="20" w16cid:durableId="2063287667">
    <w:abstractNumId w:val="4"/>
  </w:num>
  <w:num w:numId="21" w16cid:durableId="242033951">
    <w:abstractNumId w:val="3"/>
  </w:num>
  <w:num w:numId="22" w16cid:durableId="1758330967">
    <w:abstractNumId w:val="2"/>
  </w:num>
  <w:num w:numId="23" w16cid:durableId="1812021165">
    <w:abstractNumId w:val="1"/>
  </w:num>
  <w:num w:numId="24" w16cid:durableId="1547715873">
    <w:abstractNumId w:val="0"/>
  </w:num>
  <w:num w:numId="25" w16cid:durableId="1488478060">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16cid:durableId="1956011700">
    <w:abstractNumId w:val="17"/>
  </w:num>
  <w:num w:numId="27" w16cid:durableId="1221866416">
    <w:abstractNumId w:val="33"/>
  </w:num>
  <w:num w:numId="28" w16cid:durableId="1557739999">
    <w:abstractNumId w:val="18"/>
  </w:num>
  <w:num w:numId="29" w16cid:durableId="1109812765">
    <w:abstractNumId w:val="20"/>
  </w:num>
  <w:num w:numId="30" w16cid:durableId="1293052946">
    <w:abstractNumId w:val="23"/>
  </w:num>
  <w:num w:numId="31" w16cid:durableId="1187522041">
    <w:abstractNumId w:val="27"/>
  </w:num>
  <w:num w:numId="32" w16cid:durableId="448083952">
    <w:abstractNumId w:val="12"/>
  </w:num>
  <w:num w:numId="33" w16cid:durableId="362022542">
    <w:abstractNumId w:val="16"/>
  </w:num>
  <w:num w:numId="34" w16cid:durableId="1011957943">
    <w:abstractNumId w:val="25"/>
  </w:num>
  <w:num w:numId="35" w16cid:durableId="122487045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523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E018E"/>
    <w:rsid w:val="000220DF"/>
    <w:rsid w:val="00045B98"/>
    <w:rsid w:val="00097CAC"/>
    <w:rsid w:val="000A3EF8"/>
    <w:rsid w:val="000C32E3"/>
    <w:rsid w:val="000D780D"/>
    <w:rsid w:val="001076A7"/>
    <w:rsid w:val="00113128"/>
    <w:rsid w:val="00142456"/>
    <w:rsid w:val="00150641"/>
    <w:rsid w:val="00157F82"/>
    <w:rsid w:val="0016684A"/>
    <w:rsid w:val="001957E4"/>
    <w:rsid w:val="001C4052"/>
    <w:rsid w:val="001D098B"/>
    <w:rsid w:val="001D1ED2"/>
    <w:rsid w:val="001D6E21"/>
    <w:rsid w:val="001E3CB6"/>
    <w:rsid w:val="001E5E5A"/>
    <w:rsid w:val="00201618"/>
    <w:rsid w:val="002070E0"/>
    <w:rsid w:val="00210A4C"/>
    <w:rsid w:val="00227146"/>
    <w:rsid w:val="0023244B"/>
    <w:rsid w:val="00245237"/>
    <w:rsid w:val="00291509"/>
    <w:rsid w:val="002A2DB9"/>
    <w:rsid w:val="002C6F56"/>
    <w:rsid w:val="002D1C71"/>
    <w:rsid w:val="002E700A"/>
    <w:rsid w:val="0032121A"/>
    <w:rsid w:val="003243BE"/>
    <w:rsid w:val="00356C34"/>
    <w:rsid w:val="003A01B3"/>
    <w:rsid w:val="003A0205"/>
    <w:rsid w:val="003C05C0"/>
    <w:rsid w:val="003C4C29"/>
    <w:rsid w:val="003D4A1B"/>
    <w:rsid w:val="003F13B1"/>
    <w:rsid w:val="003F7CE2"/>
    <w:rsid w:val="0041093A"/>
    <w:rsid w:val="00431CB2"/>
    <w:rsid w:val="004A3A71"/>
    <w:rsid w:val="004C2F07"/>
    <w:rsid w:val="004C34B6"/>
    <w:rsid w:val="004C74F2"/>
    <w:rsid w:val="004D6739"/>
    <w:rsid w:val="0050103B"/>
    <w:rsid w:val="005076E5"/>
    <w:rsid w:val="00535E7C"/>
    <w:rsid w:val="00544C4E"/>
    <w:rsid w:val="0055047B"/>
    <w:rsid w:val="00550AB6"/>
    <w:rsid w:val="00574972"/>
    <w:rsid w:val="00575593"/>
    <w:rsid w:val="00582797"/>
    <w:rsid w:val="005A0C79"/>
    <w:rsid w:val="005A4450"/>
    <w:rsid w:val="005E018E"/>
    <w:rsid w:val="005E1660"/>
    <w:rsid w:val="0060425E"/>
    <w:rsid w:val="00617D8B"/>
    <w:rsid w:val="00645077"/>
    <w:rsid w:val="006578C3"/>
    <w:rsid w:val="00660116"/>
    <w:rsid w:val="00682543"/>
    <w:rsid w:val="00695BB9"/>
    <w:rsid w:val="006972AE"/>
    <w:rsid w:val="006B78C2"/>
    <w:rsid w:val="006F1CAB"/>
    <w:rsid w:val="006F2A91"/>
    <w:rsid w:val="007524B1"/>
    <w:rsid w:val="00787CD3"/>
    <w:rsid w:val="00790474"/>
    <w:rsid w:val="0079064C"/>
    <w:rsid w:val="007A09E9"/>
    <w:rsid w:val="007A26EB"/>
    <w:rsid w:val="007B40C9"/>
    <w:rsid w:val="007D6A1A"/>
    <w:rsid w:val="007D6FF6"/>
    <w:rsid w:val="007E47B5"/>
    <w:rsid w:val="008001EF"/>
    <w:rsid w:val="00814A89"/>
    <w:rsid w:val="0082425A"/>
    <w:rsid w:val="00824FBC"/>
    <w:rsid w:val="008739E8"/>
    <w:rsid w:val="00874451"/>
    <w:rsid w:val="00875B0B"/>
    <w:rsid w:val="008C7276"/>
    <w:rsid w:val="008D4B93"/>
    <w:rsid w:val="00907EB4"/>
    <w:rsid w:val="00931A63"/>
    <w:rsid w:val="00946A46"/>
    <w:rsid w:val="009542A2"/>
    <w:rsid w:val="00971EC1"/>
    <w:rsid w:val="009720AC"/>
    <w:rsid w:val="009769D8"/>
    <w:rsid w:val="00980915"/>
    <w:rsid w:val="009D0B61"/>
    <w:rsid w:val="009E054F"/>
    <w:rsid w:val="009E26F1"/>
    <w:rsid w:val="00A10D7D"/>
    <w:rsid w:val="00A20A6C"/>
    <w:rsid w:val="00A21560"/>
    <w:rsid w:val="00A32C63"/>
    <w:rsid w:val="00A35D0B"/>
    <w:rsid w:val="00A4036B"/>
    <w:rsid w:val="00A6799D"/>
    <w:rsid w:val="00A70BED"/>
    <w:rsid w:val="00A83DC7"/>
    <w:rsid w:val="00A94E4F"/>
    <w:rsid w:val="00AD458E"/>
    <w:rsid w:val="00AF10D9"/>
    <w:rsid w:val="00AF4206"/>
    <w:rsid w:val="00B057D2"/>
    <w:rsid w:val="00B26D33"/>
    <w:rsid w:val="00B36714"/>
    <w:rsid w:val="00B40C37"/>
    <w:rsid w:val="00B40E92"/>
    <w:rsid w:val="00B77062"/>
    <w:rsid w:val="00B82A69"/>
    <w:rsid w:val="00B9244F"/>
    <w:rsid w:val="00B97D6D"/>
    <w:rsid w:val="00BD15E5"/>
    <w:rsid w:val="00C046A5"/>
    <w:rsid w:val="00C46CBB"/>
    <w:rsid w:val="00C857EE"/>
    <w:rsid w:val="00C91C81"/>
    <w:rsid w:val="00CA2612"/>
    <w:rsid w:val="00CA4A0D"/>
    <w:rsid w:val="00CC3B78"/>
    <w:rsid w:val="00CD09AC"/>
    <w:rsid w:val="00CE0D3B"/>
    <w:rsid w:val="00CF4196"/>
    <w:rsid w:val="00D001BB"/>
    <w:rsid w:val="00D06527"/>
    <w:rsid w:val="00D06F79"/>
    <w:rsid w:val="00D20AC1"/>
    <w:rsid w:val="00D24B5E"/>
    <w:rsid w:val="00D3227C"/>
    <w:rsid w:val="00D351FC"/>
    <w:rsid w:val="00D54032"/>
    <w:rsid w:val="00D65694"/>
    <w:rsid w:val="00DA022F"/>
    <w:rsid w:val="00DE65C4"/>
    <w:rsid w:val="00E61EC1"/>
    <w:rsid w:val="00E674CE"/>
    <w:rsid w:val="00E7323E"/>
    <w:rsid w:val="00E9544E"/>
    <w:rsid w:val="00EB67BA"/>
    <w:rsid w:val="00EC2ADC"/>
    <w:rsid w:val="00EC5775"/>
    <w:rsid w:val="00ED22E9"/>
    <w:rsid w:val="00EE0E5D"/>
    <w:rsid w:val="00F00885"/>
    <w:rsid w:val="00F4779C"/>
    <w:rsid w:val="00F5166E"/>
    <w:rsid w:val="00F51CE5"/>
    <w:rsid w:val="00F769C9"/>
    <w:rsid w:val="00FB797A"/>
    <w:rsid w:val="00FC257D"/>
    <w:rsid w:val="00FD26F1"/>
    <w:rsid w:val="00FD7FF2"/>
    <w:rsid w:val="00FF72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3AE0D6C3"/>
  <w15:docId w15:val="{0E48386C-59EF-4459-AC56-E74C12B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6"/>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8C7276"/>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rsid w:val="008C7276"/>
    <w:pPr>
      <w:spacing w:before="480"/>
      <w:outlineLvl w:val="1"/>
    </w:pPr>
    <w:rPr>
      <w:sz w:val="26"/>
    </w:rPr>
  </w:style>
  <w:style w:type="paragraph" w:styleId="Heading3">
    <w:name w:val="heading 3"/>
    <w:basedOn w:val="Heading1"/>
    <w:next w:val="Normal"/>
    <w:qFormat/>
    <w:rsid w:val="008C7276"/>
    <w:pPr>
      <w:spacing w:before="360"/>
      <w:outlineLvl w:val="2"/>
    </w:pPr>
    <w:rPr>
      <w:sz w:val="24"/>
    </w:rPr>
  </w:style>
  <w:style w:type="paragraph" w:styleId="Heading4">
    <w:name w:val="heading 4"/>
    <w:basedOn w:val="Heading3"/>
    <w:next w:val="Normal"/>
    <w:qFormat/>
    <w:rsid w:val="008C7276"/>
    <w:pPr>
      <w:outlineLvl w:val="3"/>
    </w:pPr>
  </w:style>
  <w:style w:type="paragraph" w:styleId="Heading5">
    <w:name w:val="heading 5"/>
    <w:basedOn w:val="Heading3"/>
    <w:next w:val="Normal"/>
    <w:qFormat/>
    <w:rsid w:val="008C7276"/>
    <w:pPr>
      <w:outlineLvl w:val="4"/>
    </w:pPr>
  </w:style>
  <w:style w:type="paragraph" w:styleId="Heading6">
    <w:name w:val="heading 6"/>
    <w:basedOn w:val="Heading3"/>
    <w:next w:val="Normal"/>
    <w:qFormat/>
    <w:rsid w:val="008C7276"/>
    <w:pPr>
      <w:outlineLvl w:val="5"/>
    </w:pPr>
  </w:style>
  <w:style w:type="paragraph" w:styleId="Heading7">
    <w:name w:val="heading 7"/>
    <w:basedOn w:val="Heading3"/>
    <w:next w:val="Normal"/>
    <w:qFormat/>
    <w:rsid w:val="008C7276"/>
    <w:pPr>
      <w:outlineLvl w:val="6"/>
    </w:pPr>
  </w:style>
  <w:style w:type="paragraph" w:styleId="Heading8">
    <w:name w:val="heading 8"/>
    <w:basedOn w:val="Heading3"/>
    <w:next w:val="Normal"/>
    <w:link w:val="Heading8Char"/>
    <w:qFormat/>
    <w:rsid w:val="008C727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8C727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8C7276"/>
    <w:rPr>
      <w:vertAlign w:val="superscript"/>
    </w:rPr>
  </w:style>
  <w:style w:type="paragraph" w:styleId="TOC8">
    <w:name w:val="toc 8"/>
    <w:basedOn w:val="Normal"/>
    <w:next w:val="Normal"/>
    <w:semiHidden/>
    <w:rsid w:val="008C7276"/>
    <w:pPr>
      <w:tabs>
        <w:tab w:val="left" w:pos="7711"/>
        <w:tab w:val="right" w:leader="dot" w:pos="9725"/>
      </w:tabs>
      <w:ind w:left="6350"/>
    </w:pPr>
  </w:style>
  <w:style w:type="paragraph" w:styleId="TOC7">
    <w:name w:val="toc 7"/>
    <w:basedOn w:val="Normal"/>
    <w:next w:val="Normal"/>
    <w:semiHidden/>
    <w:rsid w:val="008C7276"/>
    <w:pPr>
      <w:tabs>
        <w:tab w:val="left" w:pos="6350"/>
        <w:tab w:val="right" w:leader="dot" w:pos="9725"/>
      </w:tabs>
      <w:ind w:left="5103"/>
    </w:pPr>
  </w:style>
  <w:style w:type="paragraph" w:styleId="TOC6">
    <w:name w:val="toc 6"/>
    <w:basedOn w:val="TOC4"/>
    <w:next w:val="Normal"/>
    <w:semiHidden/>
    <w:rsid w:val="008C7276"/>
    <w:pPr>
      <w:ind w:left="3913"/>
    </w:pPr>
  </w:style>
  <w:style w:type="paragraph" w:styleId="TOC4">
    <w:name w:val="toc 4"/>
    <w:basedOn w:val="TOC3"/>
    <w:next w:val="Normal"/>
    <w:semiHidden/>
    <w:rsid w:val="008C7276"/>
    <w:pPr>
      <w:tabs>
        <w:tab w:val="clear" w:pos="2268"/>
      </w:tabs>
      <w:spacing w:before="80"/>
      <w:ind w:left="3119" w:hanging="851"/>
    </w:pPr>
  </w:style>
  <w:style w:type="paragraph" w:styleId="TOC3">
    <w:name w:val="toc 3"/>
    <w:basedOn w:val="TOC2"/>
    <w:next w:val="Normal"/>
    <w:semiHidden/>
    <w:rsid w:val="008C7276"/>
    <w:pPr>
      <w:tabs>
        <w:tab w:val="clear" w:pos="1985"/>
        <w:tab w:val="left" w:pos="2268"/>
      </w:tabs>
      <w:ind w:left="2268" w:hanging="2268"/>
    </w:pPr>
  </w:style>
  <w:style w:type="paragraph" w:styleId="TOC2">
    <w:name w:val="toc 2"/>
    <w:basedOn w:val="TOC1"/>
    <w:next w:val="Normal"/>
    <w:semiHidden/>
    <w:rsid w:val="008C727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8C727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8C7276"/>
    <w:pPr>
      <w:tabs>
        <w:tab w:val="clear" w:pos="2268"/>
        <w:tab w:val="left" w:pos="3062"/>
      </w:tabs>
      <w:ind w:left="3062" w:hanging="3062"/>
    </w:pPr>
  </w:style>
  <w:style w:type="paragraph" w:styleId="Index1">
    <w:name w:val="index 1"/>
    <w:basedOn w:val="Normal"/>
    <w:next w:val="Normal"/>
    <w:semiHidden/>
    <w:rsid w:val="008C7276"/>
  </w:style>
  <w:style w:type="paragraph" w:styleId="Footer">
    <w:name w:val="footer"/>
    <w:aliases w:val="pie de página"/>
    <w:basedOn w:val="Normal"/>
    <w:rsid w:val="008C7276"/>
    <w:pPr>
      <w:tabs>
        <w:tab w:val="left" w:pos="567"/>
        <w:tab w:val="center" w:pos="3742"/>
        <w:tab w:val="right" w:pos="6974"/>
      </w:tabs>
    </w:pPr>
  </w:style>
  <w:style w:type="paragraph" w:styleId="Header">
    <w:name w:val="header"/>
    <w:aliases w:val="encabezado"/>
    <w:basedOn w:val="Normal"/>
    <w:link w:val="HeaderChar"/>
    <w:rsid w:val="008C727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sid w:val="008C727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8C727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8C7276"/>
    <w:pPr>
      <w:spacing w:before="120"/>
      <w:ind w:left="1134"/>
    </w:pPr>
  </w:style>
  <w:style w:type="paragraph" w:customStyle="1" w:styleId="TableLegend">
    <w:name w:val="Table_Legend"/>
    <w:basedOn w:val="TableText"/>
    <w:next w:val="Normal"/>
    <w:rsid w:val="008C7276"/>
    <w:pPr>
      <w:keepNext/>
      <w:tabs>
        <w:tab w:val="left" w:pos="284"/>
        <w:tab w:val="left" w:pos="567"/>
        <w:tab w:val="left" w:pos="851"/>
        <w:tab w:val="left" w:pos="1134"/>
      </w:tabs>
      <w:spacing w:before="120" w:after="0"/>
    </w:pPr>
  </w:style>
  <w:style w:type="paragraph" w:customStyle="1" w:styleId="TableText">
    <w:name w:val="Table_Text"/>
    <w:basedOn w:val="Normal"/>
    <w:rsid w:val="008C727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8C7276"/>
    <w:pPr>
      <w:spacing w:before="0"/>
    </w:pPr>
    <w:rPr>
      <w:b/>
    </w:rPr>
  </w:style>
  <w:style w:type="paragraph" w:customStyle="1" w:styleId="Table">
    <w:name w:val="Table_#"/>
    <w:basedOn w:val="Normal"/>
    <w:next w:val="TableTitle"/>
    <w:rsid w:val="008C727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8C7276"/>
    <w:pPr>
      <w:tabs>
        <w:tab w:val="clear" w:pos="2268"/>
        <w:tab w:val="left" w:pos="2608"/>
        <w:tab w:val="left" w:pos="3345"/>
      </w:tabs>
      <w:spacing w:before="120"/>
      <w:ind w:left="454" w:hanging="454"/>
    </w:pPr>
  </w:style>
  <w:style w:type="paragraph" w:customStyle="1" w:styleId="enumlev2">
    <w:name w:val="enumlev2"/>
    <w:basedOn w:val="enumlev1"/>
    <w:rsid w:val="008C7276"/>
    <w:pPr>
      <w:tabs>
        <w:tab w:val="left" w:pos="907"/>
      </w:tabs>
      <w:ind w:left="908"/>
    </w:pPr>
  </w:style>
  <w:style w:type="paragraph" w:customStyle="1" w:styleId="enumlev3">
    <w:name w:val="enumlev3"/>
    <w:basedOn w:val="enumlev2"/>
    <w:rsid w:val="008C7276"/>
    <w:pPr>
      <w:tabs>
        <w:tab w:val="clear" w:pos="1134"/>
        <w:tab w:val="clear" w:pos="1871"/>
        <w:tab w:val="clear" w:pos="2608"/>
        <w:tab w:val="left" w:pos="1361"/>
      </w:tabs>
      <w:ind w:left="1361"/>
    </w:pPr>
  </w:style>
  <w:style w:type="paragraph" w:customStyle="1" w:styleId="Figure">
    <w:name w:val="Figure"/>
    <w:basedOn w:val="Normal"/>
    <w:rsid w:val="008C7276"/>
    <w:pPr>
      <w:keepNext/>
      <w:keepLines/>
      <w:spacing w:before="240"/>
      <w:jc w:val="center"/>
    </w:pPr>
  </w:style>
  <w:style w:type="paragraph" w:customStyle="1" w:styleId="FigureLegend">
    <w:name w:val="Figure_Legend"/>
    <w:basedOn w:val="TableLegend"/>
    <w:next w:val="Figure0"/>
    <w:rsid w:val="008C7276"/>
  </w:style>
  <w:style w:type="paragraph" w:customStyle="1" w:styleId="Figure0">
    <w:name w:val="Figure_#"/>
    <w:basedOn w:val="Table"/>
    <w:next w:val="FigureTitle"/>
    <w:rsid w:val="008C7276"/>
  </w:style>
  <w:style w:type="paragraph" w:customStyle="1" w:styleId="FigureTitle">
    <w:name w:val="Figure_Title"/>
    <w:basedOn w:val="TableTitle"/>
    <w:next w:val="Normal"/>
    <w:rsid w:val="008C7276"/>
    <w:pPr>
      <w:spacing w:after="720"/>
    </w:pPr>
  </w:style>
  <w:style w:type="paragraph" w:customStyle="1" w:styleId="Annex">
    <w:name w:val="Annex_#"/>
    <w:basedOn w:val="Art"/>
    <w:next w:val="AnnexRef"/>
    <w:rsid w:val="008C7276"/>
  </w:style>
  <w:style w:type="paragraph" w:customStyle="1" w:styleId="Art">
    <w:name w:val="Art_#"/>
    <w:basedOn w:val="Normal"/>
    <w:next w:val="Arttitle"/>
    <w:rsid w:val="008C7276"/>
    <w:pPr>
      <w:keepNext/>
      <w:keepLines/>
      <w:spacing w:before="720"/>
      <w:jc w:val="center"/>
    </w:pPr>
    <w:rPr>
      <w:sz w:val="28"/>
    </w:rPr>
  </w:style>
  <w:style w:type="paragraph" w:customStyle="1" w:styleId="Arttitle">
    <w:name w:val="Art_title"/>
    <w:next w:val="Normalaftertitle"/>
    <w:rsid w:val="008C727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8C7276"/>
    <w:pPr>
      <w:spacing w:before="360"/>
    </w:pPr>
  </w:style>
  <w:style w:type="paragraph" w:customStyle="1" w:styleId="AnnexRef">
    <w:name w:val="Annex_Ref"/>
    <w:basedOn w:val="Normal"/>
    <w:rsid w:val="008C7276"/>
    <w:pPr>
      <w:jc w:val="center"/>
    </w:pPr>
  </w:style>
  <w:style w:type="paragraph" w:customStyle="1" w:styleId="AnnexTitle">
    <w:name w:val="Annex_Title"/>
    <w:basedOn w:val="Arttitle"/>
    <w:next w:val="Normal"/>
    <w:rsid w:val="008C7276"/>
    <w:pPr>
      <w:spacing w:after="0"/>
    </w:pPr>
  </w:style>
  <w:style w:type="paragraph" w:customStyle="1" w:styleId="Appendix">
    <w:name w:val="Appendix_#"/>
    <w:basedOn w:val="Art"/>
    <w:next w:val="AppendixTitle"/>
    <w:rsid w:val="008C7276"/>
  </w:style>
  <w:style w:type="paragraph" w:customStyle="1" w:styleId="AppendixTitle">
    <w:name w:val="Appendix_Title"/>
    <w:basedOn w:val="Arttitle"/>
    <w:next w:val="Normal"/>
    <w:rsid w:val="008C7276"/>
  </w:style>
  <w:style w:type="paragraph" w:customStyle="1" w:styleId="headfoot">
    <w:name w:val="head_foot"/>
    <w:basedOn w:val="Normal"/>
    <w:next w:val="Normalaftertitle"/>
    <w:rsid w:val="008C7276"/>
    <w:pPr>
      <w:spacing w:before="0"/>
    </w:pPr>
    <w:rPr>
      <w:color w:val="0000FF"/>
      <w:sz w:val="20"/>
    </w:rPr>
  </w:style>
  <w:style w:type="paragraph" w:customStyle="1" w:styleId="AppendixRef">
    <w:name w:val="Appendix_Ref"/>
    <w:basedOn w:val="AnnexRef"/>
    <w:next w:val="AppendixTitle"/>
    <w:rsid w:val="008C7276"/>
  </w:style>
  <w:style w:type="paragraph" w:customStyle="1" w:styleId="RefTitle">
    <w:name w:val="Ref_Title"/>
    <w:basedOn w:val="Normal"/>
    <w:next w:val="RefText"/>
    <w:rsid w:val="008C7276"/>
    <w:pPr>
      <w:spacing w:before="480"/>
      <w:jc w:val="left"/>
    </w:pPr>
    <w:rPr>
      <w:b/>
    </w:rPr>
  </w:style>
  <w:style w:type="paragraph" w:customStyle="1" w:styleId="RefText">
    <w:name w:val="Ref_Text"/>
    <w:basedOn w:val="Normal"/>
    <w:rsid w:val="008C7276"/>
  </w:style>
  <w:style w:type="paragraph" w:customStyle="1" w:styleId="listitem">
    <w:name w:val="listitem"/>
    <w:basedOn w:val="Normal"/>
    <w:rsid w:val="008C7276"/>
    <w:pPr>
      <w:keepLines/>
      <w:spacing w:before="0"/>
      <w:jc w:val="left"/>
    </w:pPr>
  </w:style>
  <w:style w:type="paragraph" w:customStyle="1" w:styleId="TableRef">
    <w:name w:val="Table_Ref"/>
    <w:basedOn w:val="Normal"/>
    <w:next w:val="TableTitle"/>
    <w:rsid w:val="008C7276"/>
    <w:pPr>
      <w:keepNext/>
      <w:spacing w:before="567"/>
      <w:jc w:val="center"/>
    </w:pPr>
    <w:rPr>
      <w:sz w:val="18"/>
    </w:rPr>
  </w:style>
  <w:style w:type="paragraph" w:customStyle="1" w:styleId="Signcountry">
    <w:name w:val="Sign_country"/>
    <w:basedOn w:val="Normal"/>
    <w:next w:val="SignPart"/>
    <w:rsid w:val="008C7276"/>
    <w:pPr>
      <w:keepNext/>
      <w:keepLines/>
      <w:spacing w:before="240" w:after="57"/>
      <w:jc w:val="left"/>
    </w:pPr>
    <w:rPr>
      <w:b/>
    </w:rPr>
  </w:style>
  <w:style w:type="paragraph" w:customStyle="1" w:styleId="SignPart">
    <w:name w:val="Sign_Part"/>
    <w:basedOn w:val="Signcountry"/>
    <w:rsid w:val="008C7276"/>
    <w:pPr>
      <w:keepNext w:val="0"/>
      <w:keepLines w:val="0"/>
      <w:spacing w:before="0"/>
      <w:ind w:left="284"/>
    </w:pPr>
    <w:rPr>
      <w:b w:val="0"/>
      <w:smallCaps/>
    </w:rPr>
  </w:style>
  <w:style w:type="paragraph" w:customStyle="1" w:styleId="Chap">
    <w:name w:val="Chap_#"/>
    <w:basedOn w:val="Art"/>
    <w:next w:val="Chaptitle"/>
    <w:rsid w:val="008C7276"/>
    <w:pPr>
      <w:spacing w:before="1200"/>
    </w:pPr>
    <w:rPr>
      <w:sz w:val="32"/>
    </w:rPr>
  </w:style>
  <w:style w:type="paragraph" w:customStyle="1" w:styleId="Chaptitle">
    <w:name w:val="Chap_title"/>
    <w:basedOn w:val="Arttitle"/>
    <w:next w:val="Art"/>
    <w:rsid w:val="008C7276"/>
    <w:rPr>
      <w:sz w:val="32"/>
    </w:rPr>
  </w:style>
  <w:style w:type="paragraph" w:customStyle="1" w:styleId="Protfin">
    <w:name w:val="Prot_fin"/>
    <w:basedOn w:val="Normal"/>
    <w:next w:val="Normalaftertitle"/>
    <w:rsid w:val="008C7276"/>
    <w:pPr>
      <w:pageBreakBefore/>
      <w:spacing w:before="720" w:after="240"/>
      <w:jc w:val="center"/>
    </w:pPr>
    <w:rPr>
      <w:b/>
    </w:rPr>
  </w:style>
  <w:style w:type="paragraph" w:customStyle="1" w:styleId="Prot">
    <w:name w:val="Prot_#"/>
    <w:basedOn w:val="Normal"/>
    <w:next w:val="Protlang"/>
    <w:rsid w:val="008C7276"/>
    <w:pPr>
      <w:keepNext/>
      <w:spacing w:before="240"/>
      <w:jc w:val="center"/>
    </w:pPr>
  </w:style>
  <w:style w:type="paragraph" w:customStyle="1" w:styleId="Protlang">
    <w:name w:val="Prot_lang"/>
    <w:basedOn w:val="Prot"/>
    <w:next w:val="Protpays"/>
    <w:rsid w:val="008C7276"/>
    <w:pPr>
      <w:keepLines/>
      <w:framePr w:hSpace="181" w:vSpace="181" w:wrap="auto" w:hAnchor="text" w:xAlign="right"/>
      <w:spacing w:before="0"/>
      <w:jc w:val="right"/>
    </w:pPr>
    <w:rPr>
      <w:i/>
      <w:sz w:val="18"/>
    </w:rPr>
  </w:style>
  <w:style w:type="paragraph" w:customStyle="1" w:styleId="Protpays">
    <w:name w:val="Prot_pays"/>
    <w:basedOn w:val="Protlang"/>
    <w:next w:val="headfoot"/>
    <w:rsid w:val="008C7276"/>
    <w:pPr>
      <w:framePr w:wrap="auto"/>
      <w:spacing w:before="113" w:line="199" w:lineRule="exact"/>
      <w:jc w:val="left"/>
    </w:pPr>
  </w:style>
  <w:style w:type="paragraph" w:customStyle="1" w:styleId="Prottexte">
    <w:name w:val="Prot_texte"/>
    <w:basedOn w:val="Protlang"/>
    <w:rsid w:val="008C7276"/>
    <w:pPr>
      <w:keepNext w:val="0"/>
      <w:keepLines w:val="0"/>
      <w:framePr w:wrap="auto"/>
      <w:spacing w:before="113" w:line="199" w:lineRule="exact"/>
      <w:jc w:val="both"/>
    </w:pPr>
    <w:rPr>
      <w:i w:val="0"/>
    </w:rPr>
  </w:style>
  <w:style w:type="paragraph" w:customStyle="1" w:styleId="Protcall">
    <w:name w:val="Prot_call"/>
    <w:basedOn w:val="Prottexte"/>
    <w:next w:val="Prottexte"/>
    <w:rsid w:val="008C7276"/>
    <w:pPr>
      <w:keepNext/>
      <w:keepLines/>
      <w:framePr w:wrap="auto" w:xAlign="left"/>
      <w:spacing w:before="170"/>
      <w:ind w:left="794"/>
      <w:jc w:val="left"/>
    </w:pPr>
    <w:rPr>
      <w:i/>
    </w:rPr>
  </w:style>
  <w:style w:type="paragraph" w:customStyle="1" w:styleId="Res">
    <w:name w:val="Res_#"/>
    <w:basedOn w:val="Art"/>
    <w:next w:val="Restitle"/>
    <w:rsid w:val="008C7276"/>
  </w:style>
  <w:style w:type="paragraph" w:customStyle="1" w:styleId="Restitle">
    <w:name w:val="Res_title"/>
    <w:basedOn w:val="Arttitle"/>
    <w:next w:val="headfoot"/>
    <w:rsid w:val="008C7276"/>
    <w:pPr>
      <w:spacing w:after="120"/>
    </w:pPr>
  </w:style>
  <w:style w:type="paragraph" w:customStyle="1" w:styleId="Rec">
    <w:name w:val="Rec_#"/>
    <w:basedOn w:val="Res"/>
    <w:next w:val="Rectitle"/>
    <w:rsid w:val="008C7276"/>
  </w:style>
  <w:style w:type="paragraph" w:customStyle="1" w:styleId="Rectitle">
    <w:name w:val="Rec_title"/>
    <w:basedOn w:val="Restitle"/>
    <w:next w:val="headfoot"/>
    <w:rsid w:val="008C7276"/>
  </w:style>
  <w:style w:type="paragraph" w:customStyle="1" w:styleId="Equation">
    <w:name w:val="Equation"/>
    <w:basedOn w:val="Normal"/>
    <w:rsid w:val="008C7276"/>
    <w:pPr>
      <w:tabs>
        <w:tab w:val="clear" w:pos="1871"/>
        <w:tab w:val="clear" w:pos="2268"/>
        <w:tab w:val="center" w:pos="4678"/>
        <w:tab w:val="right" w:pos="9356"/>
      </w:tabs>
      <w:jc w:val="left"/>
    </w:pPr>
  </w:style>
  <w:style w:type="paragraph" w:customStyle="1" w:styleId="Note">
    <w:name w:val="Note"/>
    <w:basedOn w:val="Normal"/>
    <w:rsid w:val="008C7276"/>
    <w:pPr>
      <w:tabs>
        <w:tab w:val="left" w:pos="284"/>
      </w:tabs>
      <w:spacing w:before="160"/>
    </w:pPr>
    <w:rPr>
      <w:sz w:val="20"/>
    </w:rPr>
  </w:style>
  <w:style w:type="paragraph" w:customStyle="1" w:styleId="Signcountry0">
    <w:name w:val="Sign country"/>
    <w:basedOn w:val="Normal"/>
    <w:next w:val="Signpart0"/>
    <w:rsid w:val="008C7276"/>
    <w:pPr>
      <w:keepNext/>
      <w:keepLines/>
      <w:spacing w:before="240" w:after="57"/>
      <w:jc w:val="left"/>
    </w:pPr>
    <w:rPr>
      <w:b/>
    </w:rPr>
  </w:style>
  <w:style w:type="paragraph" w:customStyle="1" w:styleId="Signpart0">
    <w:name w:val="Sign part"/>
    <w:basedOn w:val="Signcountry0"/>
    <w:rsid w:val="008C7276"/>
    <w:pPr>
      <w:keepNext w:val="0"/>
      <w:keepLines w:val="0"/>
      <w:spacing w:before="0"/>
      <w:ind w:left="284"/>
    </w:pPr>
    <w:rPr>
      <w:b w:val="0"/>
      <w:smallCaps/>
    </w:rPr>
  </w:style>
  <w:style w:type="paragraph" w:customStyle="1" w:styleId="Section1">
    <w:name w:val="Section_1"/>
    <w:basedOn w:val="Normal"/>
    <w:rsid w:val="008C727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8C7276"/>
    <w:pPr>
      <w:pageBreakBefore/>
      <w:spacing w:before="720" w:after="240"/>
      <w:jc w:val="center"/>
    </w:pPr>
    <w:rPr>
      <w:b/>
    </w:rPr>
  </w:style>
  <w:style w:type="paragraph" w:customStyle="1" w:styleId="Prot0">
    <w:name w:val="Prot #"/>
    <w:basedOn w:val="Normal"/>
    <w:next w:val="Protlang0"/>
    <w:rsid w:val="008C7276"/>
    <w:pPr>
      <w:keepNext/>
      <w:spacing w:before="240"/>
      <w:jc w:val="center"/>
    </w:pPr>
  </w:style>
  <w:style w:type="paragraph" w:customStyle="1" w:styleId="Protlang0">
    <w:name w:val="Prot lang"/>
    <w:basedOn w:val="Prot0"/>
    <w:next w:val="Protpays0"/>
    <w:rsid w:val="008C727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8C7276"/>
    <w:pPr>
      <w:framePr w:wrap="auto"/>
      <w:spacing w:before="113" w:line="199" w:lineRule="exact"/>
      <w:jc w:val="left"/>
    </w:pPr>
  </w:style>
  <w:style w:type="paragraph" w:customStyle="1" w:styleId="Prottexte0">
    <w:name w:val="Prot texte"/>
    <w:basedOn w:val="Protlang0"/>
    <w:rsid w:val="008C7276"/>
    <w:pPr>
      <w:keepNext w:val="0"/>
      <w:keepLines w:val="0"/>
      <w:framePr w:wrap="auto"/>
      <w:spacing w:before="113" w:line="199" w:lineRule="exact"/>
      <w:jc w:val="both"/>
    </w:pPr>
    <w:rPr>
      <w:i w:val="0"/>
    </w:rPr>
  </w:style>
  <w:style w:type="paragraph" w:customStyle="1" w:styleId="Protcall0">
    <w:name w:val="Prot call"/>
    <w:basedOn w:val="Prottexte0"/>
    <w:next w:val="Prottexte0"/>
    <w:rsid w:val="008C7276"/>
    <w:pPr>
      <w:keepNext/>
      <w:keepLines/>
      <w:framePr w:wrap="auto" w:xAlign="left"/>
      <w:spacing w:before="170"/>
      <w:ind w:left="794"/>
      <w:jc w:val="left"/>
    </w:pPr>
    <w:rPr>
      <w:i/>
    </w:rPr>
  </w:style>
  <w:style w:type="character" w:styleId="PageNumber">
    <w:name w:val="page number"/>
    <w:basedOn w:val="DefaultParagraphFont"/>
    <w:rsid w:val="008C7276"/>
  </w:style>
  <w:style w:type="paragraph" w:customStyle="1" w:styleId="TableFin">
    <w:name w:val="Table_Fin"/>
    <w:basedOn w:val="Normal"/>
    <w:rsid w:val="008C7276"/>
    <w:pPr>
      <w:tabs>
        <w:tab w:val="clear" w:pos="1134"/>
      </w:tabs>
      <w:spacing w:before="0"/>
    </w:pPr>
    <w:rPr>
      <w:sz w:val="12"/>
    </w:rPr>
  </w:style>
  <w:style w:type="paragraph" w:customStyle="1" w:styleId="MEP">
    <w:name w:val="MEP"/>
    <w:basedOn w:val="Normal"/>
    <w:rsid w:val="008C7276"/>
  </w:style>
  <w:style w:type="paragraph" w:customStyle="1" w:styleId="head">
    <w:name w:val="head"/>
    <w:basedOn w:val="headfoot"/>
    <w:rsid w:val="008C7276"/>
  </w:style>
  <w:style w:type="paragraph" w:customStyle="1" w:styleId="foot">
    <w:name w:val="foot"/>
    <w:basedOn w:val="headfoot"/>
    <w:rsid w:val="008C7276"/>
  </w:style>
  <w:style w:type="character" w:customStyle="1" w:styleId="href">
    <w:name w:val="href"/>
    <w:basedOn w:val="DefaultParagraphFont"/>
    <w:rsid w:val="008C7276"/>
  </w:style>
  <w:style w:type="paragraph" w:customStyle="1" w:styleId="Section2">
    <w:name w:val="Section_2"/>
    <w:basedOn w:val="Section1"/>
    <w:rsid w:val="008C7276"/>
    <w:pPr>
      <w:jc w:val="left"/>
    </w:pPr>
    <w:rPr>
      <w:b w:val="0"/>
      <w:i/>
    </w:rPr>
  </w:style>
  <w:style w:type="paragraph" w:customStyle="1" w:styleId="Section3">
    <w:name w:val="Section_3"/>
    <w:basedOn w:val="Section1"/>
    <w:rsid w:val="008C7276"/>
    <w:rPr>
      <w:b w:val="0"/>
    </w:rPr>
  </w:style>
  <w:style w:type="paragraph" w:customStyle="1" w:styleId="EquationLegend">
    <w:name w:val="Equation_Legend"/>
    <w:basedOn w:val="NormalIndent"/>
    <w:rsid w:val="008C7276"/>
  </w:style>
  <w:style w:type="paragraph" w:customStyle="1" w:styleId="Call">
    <w:name w:val="Call"/>
    <w:basedOn w:val="Normal"/>
    <w:next w:val="Normal"/>
    <w:rsid w:val="008C7276"/>
    <w:pPr>
      <w:tabs>
        <w:tab w:val="clear" w:pos="1871"/>
        <w:tab w:val="clear" w:pos="2268"/>
      </w:tabs>
      <w:spacing w:before="360"/>
      <w:ind w:left="1134"/>
    </w:pPr>
    <w:rPr>
      <w:i/>
    </w:rPr>
  </w:style>
  <w:style w:type="paragraph" w:customStyle="1" w:styleId="Headingb">
    <w:name w:val="Heading b"/>
    <w:basedOn w:val="Heading3"/>
    <w:rsid w:val="008C7276"/>
    <w:pPr>
      <w:spacing w:before="400"/>
      <w:ind w:left="0" w:firstLine="0"/>
      <w:outlineLvl w:val="9"/>
    </w:pPr>
  </w:style>
  <w:style w:type="paragraph" w:customStyle="1" w:styleId="TableHead">
    <w:name w:val="Table_Head"/>
    <w:basedOn w:val="TableText"/>
    <w:next w:val="TableText"/>
    <w:rsid w:val="008C7276"/>
    <w:pPr>
      <w:spacing w:before="80" w:after="80"/>
      <w:jc w:val="center"/>
    </w:pPr>
    <w:rPr>
      <w:b/>
    </w:rPr>
  </w:style>
  <w:style w:type="paragraph" w:customStyle="1" w:styleId="Line">
    <w:name w:val="Line"/>
    <w:basedOn w:val="Normal"/>
    <w:next w:val="Normal"/>
    <w:rsid w:val="008C727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8C7276"/>
    <w:rPr>
      <w:b w:val="0"/>
      <w:i/>
    </w:rPr>
  </w:style>
  <w:style w:type="paragraph" w:styleId="TableofFigures">
    <w:name w:val="table of figures"/>
    <w:basedOn w:val="Normal"/>
    <w:next w:val="Normal"/>
    <w:semiHidden/>
    <w:rsid w:val="008C727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8C727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8C7276"/>
    <w:rPr>
      <w:sz w:val="16"/>
    </w:rPr>
  </w:style>
  <w:style w:type="paragraph" w:styleId="CommentText">
    <w:name w:val="annotation text"/>
    <w:basedOn w:val="Normal"/>
    <w:semiHidden/>
    <w:rsid w:val="008C7276"/>
    <w:rPr>
      <w:sz w:val="20"/>
      <w:lang w:val="fr-FR"/>
    </w:rPr>
  </w:style>
  <w:style w:type="paragraph" w:customStyle="1" w:styleId="Tabletext0">
    <w:name w:val="Table_text"/>
    <w:basedOn w:val="Normal"/>
    <w:rsid w:val="008C727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8C727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8C7276"/>
    <w:pPr>
      <w:keepNext/>
      <w:spacing w:before="80" w:after="80"/>
      <w:jc w:val="center"/>
    </w:pPr>
    <w:rPr>
      <w:b/>
    </w:rPr>
  </w:style>
  <w:style w:type="character" w:customStyle="1" w:styleId="Artrefdef">
    <w:name w:val="Art_ref_def"/>
    <w:basedOn w:val="DefaultParagraphFont"/>
    <w:rsid w:val="008C7276"/>
  </w:style>
  <w:style w:type="character" w:customStyle="1" w:styleId="Apprefdef">
    <w:name w:val="App_ref_def"/>
    <w:basedOn w:val="DefaultParagraphFont"/>
    <w:rsid w:val="008C7276"/>
  </w:style>
  <w:style w:type="character" w:customStyle="1" w:styleId="Resrefdef">
    <w:name w:val="Res_ref_def"/>
    <w:basedOn w:val="DefaultParagraphFont"/>
    <w:rsid w:val="008C7276"/>
  </w:style>
  <w:style w:type="paragraph" w:customStyle="1" w:styleId="HeaderRegProc">
    <w:name w:val="Header_RegProc"/>
    <w:basedOn w:val="Normal"/>
    <w:rsid w:val="008C7276"/>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8C7276"/>
    <w:pPr>
      <w:tabs>
        <w:tab w:val="clear" w:pos="907"/>
        <w:tab w:val="left" w:pos="1814"/>
      </w:tabs>
      <w:spacing w:before="80"/>
      <w:ind w:left="1815"/>
    </w:pPr>
    <w:rPr>
      <w:lang w:val="fr-CH"/>
    </w:rPr>
  </w:style>
  <w:style w:type="character" w:customStyle="1" w:styleId="href2">
    <w:name w:val="href2"/>
    <w:basedOn w:val="href"/>
    <w:rsid w:val="008C7276"/>
  </w:style>
  <w:style w:type="character" w:customStyle="1" w:styleId="Style1">
    <w:name w:val="Style1"/>
    <w:basedOn w:val="DefaultParagraphFont"/>
    <w:rsid w:val="008C7276"/>
  </w:style>
  <w:style w:type="character" w:customStyle="1" w:styleId="Appdef">
    <w:name w:val="App_def"/>
    <w:basedOn w:val="DefaultParagraphFont"/>
    <w:rsid w:val="008C7276"/>
    <w:rPr>
      <w:b/>
      <w:color w:val="FFCC00"/>
    </w:rPr>
  </w:style>
  <w:style w:type="character" w:customStyle="1" w:styleId="Appref">
    <w:name w:val="App_ref"/>
    <w:basedOn w:val="DefaultParagraphFont"/>
    <w:rsid w:val="008C7276"/>
    <w:rPr>
      <w:color w:val="3366FF"/>
    </w:rPr>
  </w:style>
  <w:style w:type="character" w:customStyle="1" w:styleId="Artdef">
    <w:name w:val="Art_def"/>
    <w:basedOn w:val="DefaultParagraphFont"/>
    <w:rsid w:val="008C7276"/>
    <w:rPr>
      <w:b/>
      <w:color w:val="FFCC00"/>
    </w:rPr>
  </w:style>
  <w:style w:type="character" w:customStyle="1" w:styleId="Artref">
    <w:name w:val="Art_ref"/>
    <w:basedOn w:val="DefaultParagraphFont"/>
    <w:rsid w:val="008C7276"/>
    <w:rPr>
      <w:color w:val="3366FF"/>
    </w:rPr>
  </w:style>
  <w:style w:type="character" w:customStyle="1" w:styleId="Recdef">
    <w:name w:val="Rec_def"/>
    <w:basedOn w:val="DefaultParagraphFont"/>
    <w:rsid w:val="008C7276"/>
    <w:rPr>
      <w:b/>
      <w:color w:val="FFCC00"/>
    </w:rPr>
  </w:style>
  <w:style w:type="character" w:customStyle="1" w:styleId="Recref">
    <w:name w:val="Rec_ref"/>
    <w:basedOn w:val="DefaultParagraphFont"/>
    <w:rsid w:val="008C7276"/>
    <w:rPr>
      <w:color w:val="3366FF"/>
    </w:rPr>
  </w:style>
  <w:style w:type="character" w:customStyle="1" w:styleId="Resdef">
    <w:name w:val="Res_def"/>
    <w:basedOn w:val="DefaultParagraphFont"/>
    <w:rsid w:val="008C7276"/>
    <w:rPr>
      <w:b/>
      <w:color w:val="FFCC00"/>
    </w:rPr>
  </w:style>
  <w:style w:type="character" w:customStyle="1" w:styleId="Resref">
    <w:name w:val="Res_ref"/>
    <w:basedOn w:val="DefaultParagraphFont"/>
    <w:rsid w:val="008C7276"/>
    <w:rPr>
      <w:color w:val="3366FF"/>
    </w:rPr>
  </w:style>
  <w:style w:type="character" w:customStyle="1" w:styleId="Tableref0">
    <w:name w:val="Table_ref"/>
    <w:basedOn w:val="DefaultParagraphFont"/>
    <w:rsid w:val="008C7276"/>
    <w:rPr>
      <w:color w:val="3366FF"/>
    </w:rPr>
  </w:style>
  <w:style w:type="character" w:customStyle="1" w:styleId="Appref0">
    <w:name w:val="App#_ref"/>
    <w:basedOn w:val="DefaultParagraphFont"/>
    <w:rsid w:val="008C7276"/>
  </w:style>
  <w:style w:type="paragraph" w:customStyle="1" w:styleId="ChapNo">
    <w:name w:val="Chap_No"/>
    <w:basedOn w:val="Normal"/>
    <w:next w:val="Chaptitle"/>
    <w:rsid w:val="00D351FC"/>
    <w:pPr>
      <w:keepNext/>
      <w:keepLines/>
      <w:tabs>
        <w:tab w:val="clear" w:pos="1134"/>
        <w:tab w:val="clear" w:pos="1871"/>
        <w:tab w:val="clear" w:pos="2268"/>
        <w:tab w:val="left" w:pos="794"/>
        <w:tab w:val="left" w:pos="1191"/>
        <w:tab w:val="left" w:pos="1588"/>
        <w:tab w:val="left" w:pos="1985"/>
      </w:tabs>
      <w:spacing w:before="480"/>
      <w:jc w:val="center"/>
    </w:pPr>
    <w:rPr>
      <w:b/>
      <w:caps/>
      <w:sz w:val="28"/>
      <w:lang w:val="fr-FR"/>
    </w:rPr>
  </w:style>
  <w:style w:type="table" w:styleId="TableGrid">
    <w:name w:val="Table Grid"/>
    <w:basedOn w:val="TableNormal"/>
    <w:rsid w:val="00BD15E5"/>
    <w:pPr>
      <w:tabs>
        <w:tab w:val="left" w:pos="1134"/>
        <w:tab w:val="left" w:pos="1871"/>
        <w:tab w:val="left" w:pos="2268"/>
      </w:tabs>
      <w:overflowPunct w:val="0"/>
      <w:autoSpaceDE w:val="0"/>
      <w:autoSpaceDN w:val="0"/>
      <w:adjustRightInd w:val="0"/>
      <w:spacing w:before="200"/>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itle0">
    <w:name w:val="Normal_after_title"/>
    <w:basedOn w:val="Normal"/>
    <w:next w:val="Normal"/>
    <w:rsid w:val="00B40C3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Title4">
    <w:name w:val="Title 4"/>
    <w:basedOn w:val="Normal"/>
    <w:next w:val="Heading1"/>
    <w:rsid w:val="00B40C37"/>
    <w:pPr>
      <w:tabs>
        <w:tab w:val="clear" w:pos="1871"/>
        <w:tab w:val="left" w:pos="567"/>
        <w:tab w:val="left" w:pos="1701"/>
        <w:tab w:val="left" w:pos="2835"/>
      </w:tabs>
      <w:spacing w:before="240"/>
      <w:jc w:val="center"/>
    </w:pPr>
    <w:rPr>
      <w:b/>
      <w:sz w:val="28"/>
      <w:lang w:val="fr-FR"/>
    </w:rPr>
  </w:style>
  <w:style w:type="paragraph" w:customStyle="1" w:styleId="Proposal">
    <w:name w:val="Proposal"/>
    <w:basedOn w:val="Normal"/>
    <w:next w:val="Normal"/>
    <w:rsid w:val="00B40C37"/>
    <w:pPr>
      <w:keepNext/>
      <w:overflowPunct/>
      <w:autoSpaceDE/>
      <w:autoSpaceDN/>
      <w:adjustRightInd/>
      <w:spacing w:before="240" w:after="200" w:line="276" w:lineRule="auto"/>
      <w:jc w:val="left"/>
      <w:textAlignment w:val="auto"/>
    </w:pPr>
    <w:rPr>
      <w:rFonts w:asciiTheme="minorHAnsi" w:eastAsiaTheme="minorEastAsia" w:hAnsi="Times New Roman Bold" w:cstheme="minorBidi"/>
      <w:sz w:val="22"/>
      <w:szCs w:val="22"/>
      <w:lang w:eastAsia="zh-CN"/>
    </w:rPr>
  </w:style>
  <w:style w:type="character" w:customStyle="1" w:styleId="HeaderChar">
    <w:name w:val="Header Char"/>
    <w:aliases w:val="encabezado Char"/>
    <w:basedOn w:val="DefaultParagraphFont"/>
    <w:link w:val="Header"/>
    <w:rsid w:val="0032121A"/>
    <w:rPr>
      <w:sz w:val="24"/>
      <w:lang w:val="en-GB" w:eastAsia="en-US"/>
    </w:rPr>
  </w:style>
  <w:style w:type="character" w:customStyle="1" w:styleId="Heading8Char">
    <w:name w:val="Heading 8 Char"/>
    <w:basedOn w:val="DefaultParagraphFont"/>
    <w:link w:val="Heading8"/>
    <w:rsid w:val="00A32C63"/>
    <w:rPr>
      <w:b/>
      <w:sz w:val="24"/>
      <w:lang w:val="en-GB" w:eastAsia="en-US"/>
    </w:rPr>
  </w:style>
  <w:style w:type="paragraph" w:customStyle="1" w:styleId="Annextitle0">
    <w:name w:val="Annex_title"/>
    <w:basedOn w:val="Normal"/>
    <w:next w:val="Normal"/>
    <w:rsid w:val="00142456"/>
    <w:pPr>
      <w:keepNext/>
      <w:keepLines/>
      <w:spacing w:before="240" w:after="280"/>
      <w:jc w:val="center"/>
    </w:pPr>
    <w:rPr>
      <w:rFonts w:ascii="Times New Roman Bold" w:hAnsi="Times New Roman Bold"/>
      <w:b/>
      <w:sz w:val="28"/>
      <w:lang w:val="fr-FR"/>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157F82"/>
    <w:rPr>
      <w:lang w:val="en-GB" w:eastAsia="en-US"/>
    </w:rPr>
  </w:style>
  <w:style w:type="character" w:customStyle="1" w:styleId="enumlev1Char">
    <w:name w:val="enumlev1 Char"/>
    <w:basedOn w:val="DefaultParagraphFont"/>
    <w:link w:val="enumlev1"/>
    <w:rsid w:val="00157F82"/>
    <w:rPr>
      <w:sz w:val="24"/>
      <w:lang w:val="en-GB" w:eastAsia="en-US"/>
    </w:rPr>
  </w:style>
  <w:style w:type="table" w:customStyle="1" w:styleId="TableGrid1">
    <w:name w:val="Table Grid1"/>
    <w:basedOn w:val="TableNormal"/>
    <w:next w:val="TableGrid"/>
    <w:uiPriority w:val="59"/>
    <w:rsid w:val="00157F82"/>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NoTitle">
    <w:name w:val="Appendix_NoTitle"/>
    <w:basedOn w:val="Normal"/>
    <w:next w:val="Normalaftertitle0"/>
    <w:rsid w:val="00045B9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4.xml"/><Relationship Id="rId10" Type="http://schemas.openxmlformats.org/officeDocument/2006/relationships/header" Target="header3.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DACD-2642-4117-9D55-BD31E288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348</TotalTime>
  <Pages>19</Pages>
  <Words>6164</Words>
  <Characters>35139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AP30B</dc:subject>
  <dc:creator>Composition des Publications</dc:creator>
  <cp:keywords>FOLIOS:  1  - 6 (bl.)</cp:keywords>
  <dc:description>Edition 2009:  09.03.2009/DD (dict. ok)_x000d_
Corr. 1ère interne:  13.03.2009/DD </dc:description>
  <cp:lastModifiedBy>Saez Grau, Ricardo</cp:lastModifiedBy>
  <cp:revision>109</cp:revision>
  <cp:lastPrinted>2024-12-06T10:28:00Z</cp:lastPrinted>
  <dcterms:created xsi:type="dcterms:W3CDTF">2012-08-08T15:48:00Z</dcterms:created>
  <dcterms:modified xsi:type="dcterms:W3CDTF">2024-12-06T10:29:00Z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