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AA226" w14:textId="77777777" w:rsidR="00A42418" w:rsidRPr="00217E8A" w:rsidRDefault="00A42418" w:rsidP="002C05F8">
      <w:pPr>
        <w:pStyle w:val="Heading1"/>
        <w:spacing w:before="0"/>
        <w:jc w:val="center"/>
        <w:rPr>
          <w:color w:val="000000"/>
          <w:lang w:val="fr-FR"/>
        </w:rPr>
      </w:pPr>
      <w:r w:rsidRPr="00217E8A">
        <w:rPr>
          <w:color w:val="000000"/>
          <w:lang w:val="fr-FR"/>
        </w:rPr>
        <w:t>Règles relatives à</w:t>
      </w:r>
    </w:p>
    <w:p w14:paraId="409B6472" w14:textId="77777777" w:rsidR="00A42418" w:rsidRPr="00217E8A" w:rsidRDefault="00A42418" w:rsidP="002C05F8">
      <w:pPr>
        <w:pStyle w:val="Heading2"/>
        <w:spacing w:before="240"/>
        <w:jc w:val="center"/>
        <w:rPr>
          <w:color w:val="000000"/>
          <w:lang w:val="fr-FR"/>
        </w:rPr>
      </w:pPr>
      <w:proofErr w:type="gramStart"/>
      <w:r w:rsidRPr="00217E8A">
        <w:rPr>
          <w:color w:val="000000"/>
          <w:lang w:val="fr-FR"/>
        </w:rPr>
        <w:t>l'APPENDICE</w:t>
      </w:r>
      <w:proofErr w:type="gramEnd"/>
      <w:r w:rsidRPr="00217E8A">
        <w:rPr>
          <w:color w:val="000000"/>
          <w:lang w:val="fr-FR"/>
        </w:rPr>
        <w:t xml:space="preserve">  </w:t>
      </w:r>
      <w:r w:rsidRPr="00217E8A">
        <w:rPr>
          <w:rStyle w:val="href2"/>
          <w:color w:val="000000"/>
          <w:lang w:val="fr-FR"/>
        </w:rPr>
        <w:t>4</w:t>
      </w:r>
      <w:r w:rsidRPr="00217E8A">
        <w:rPr>
          <w:color w:val="000000"/>
          <w:lang w:val="fr-FR"/>
        </w:rPr>
        <w:t xml:space="preserve"> du RR</w:t>
      </w:r>
    </w:p>
    <w:p w14:paraId="24693EAF" w14:textId="77777777" w:rsidR="00A82587" w:rsidRPr="00217E8A" w:rsidRDefault="00A82587" w:rsidP="00217E8A">
      <w:pPr>
        <w:pStyle w:val="Heading8"/>
        <w:rPr>
          <w:color w:val="000000"/>
          <w:lang w:val="fr-FR"/>
        </w:rPr>
      </w:pPr>
      <w:r w:rsidRPr="00217E8A">
        <w:rPr>
          <w:color w:val="000000"/>
          <w:lang w:val="fr-FR"/>
        </w:rPr>
        <w:t xml:space="preserve">An. </w:t>
      </w:r>
      <w:r w:rsidRPr="00217E8A">
        <w:rPr>
          <w:rStyle w:val="href"/>
          <w:color w:val="000000"/>
          <w:lang w:val="fr-FR"/>
        </w:rPr>
        <w:t>1</w:t>
      </w:r>
    </w:p>
    <w:p w14:paraId="74968E2C" w14:textId="77777777" w:rsidR="00A82587" w:rsidRPr="00217E8A" w:rsidRDefault="00A82587" w:rsidP="00217E8A">
      <w:pPr>
        <w:pStyle w:val="Heading9"/>
        <w:ind w:right="7768"/>
        <w:rPr>
          <w:color w:val="000000"/>
          <w:lang w:val="fr-FR"/>
        </w:rPr>
      </w:pPr>
      <w:r w:rsidRPr="00217E8A">
        <w:rPr>
          <w:color w:val="000000"/>
          <w:sz w:val="22"/>
          <w:szCs w:val="22"/>
          <w:lang w:val="fr-FR"/>
        </w:rPr>
        <w:t>POINT  3A1</w:t>
      </w:r>
    </w:p>
    <w:p w14:paraId="4ED91C94" w14:textId="77777777" w:rsidR="00A42418" w:rsidRPr="00217E8A" w:rsidRDefault="00A82587" w:rsidP="00D53BE0">
      <w:pPr>
        <w:rPr>
          <w:color w:val="000000"/>
          <w:lang w:val="fr-FR"/>
        </w:rPr>
      </w:pPr>
      <w:r w:rsidRPr="00217E8A">
        <w:rPr>
          <w:color w:val="000000"/>
          <w:lang w:val="fr-FR"/>
        </w:rPr>
        <w:t>Lorsqu'elles soumettent une fiche de notification dans le cadre de la procédure de l'Article </w:t>
      </w:r>
      <w:r w:rsidRPr="00217E8A">
        <w:rPr>
          <w:rStyle w:val="Artref"/>
          <w:b/>
          <w:bCs/>
          <w:color w:val="000000"/>
          <w:lang w:val="fr-FR"/>
        </w:rPr>
        <w:t>11</w:t>
      </w:r>
      <w:r w:rsidRPr="00217E8A">
        <w:rPr>
          <w:color w:val="000000"/>
          <w:lang w:val="fr-FR"/>
        </w:rPr>
        <w:t xml:space="preserve">, les administrations sont tenues de donner des renseignements sur l'indicatif d'appel ou tout autre signal d'identification utilisé, conformément aux dispositions des numéros </w:t>
      </w:r>
      <w:r w:rsidRPr="00217E8A">
        <w:rPr>
          <w:rStyle w:val="Artref"/>
          <w:b/>
          <w:bCs/>
          <w:color w:val="000000"/>
          <w:lang w:val="fr-FR"/>
        </w:rPr>
        <w:t>19.7</w:t>
      </w:r>
      <w:r w:rsidRPr="00217E8A">
        <w:rPr>
          <w:color w:val="000000"/>
          <w:lang w:val="fr-FR"/>
        </w:rPr>
        <w:t xml:space="preserve"> à </w:t>
      </w:r>
      <w:r w:rsidRPr="00217E8A">
        <w:rPr>
          <w:rStyle w:val="Artref"/>
          <w:b/>
          <w:bCs/>
          <w:color w:val="000000"/>
          <w:lang w:val="fr-FR"/>
        </w:rPr>
        <w:t xml:space="preserve">19.9 </w:t>
      </w:r>
      <w:r w:rsidRPr="00217E8A">
        <w:rPr>
          <w:rStyle w:val="Artref"/>
          <w:color w:val="000000"/>
          <w:lang w:val="fr-FR"/>
        </w:rPr>
        <w:t>et</w:t>
      </w:r>
      <w:r w:rsidR="00D53BE0">
        <w:rPr>
          <w:rStyle w:val="Artref"/>
          <w:color w:val="000000"/>
          <w:lang w:val="fr-FR"/>
        </w:rPr>
        <w:t> </w:t>
      </w:r>
      <w:r w:rsidRPr="00217E8A">
        <w:rPr>
          <w:rStyle w:val="Artref"/>
          <w:b/>
          <w:bCs/>
          <w:color w:val="000000"/>
          <w:lang w:val="fr-FR"/>
        </w:rPr>
        <w:t>19.29</w:t>
      </w:r>
      <w:r w:rsidRPr="00217E8A">
        <w:rPr>
          <w:color w:val="000000"/>
          <w:lang w:val="fr-FR"/>
        </w:rPr>
        <w:t>. Compte tenu de la diversité des arrangements particuliers conclus entre les adminis</w:t>
      </w:r>
      <w:r w:rsidRPr="00217E8A">
        <w:rPr>
          <w:color w:val="000000"/>
          <w:lang w:val="fr-FR"/>
        </w:rPr>
        <w:softHyphen/>
        <w:t xml:space="preserve">trations au sujet de la notification d'assignations de fréquence, le Comité a chargé le Bureau de ne pas procéder à un contrôle systématique des indicatifs d'appel visés au numéro </w:t>
      </w:r>
      <w:r w:rsidRPr="00217E8A">
        <w:rPr>
          <w:b/>
          <w:bCs/>
          <w:color w:val="000000"/>
          <w:lang w:val="fr-FR"/>
        </w:rPr>
        <w:t>19.29</w:t>
      </w:r>
      <w:r w:rsidRPr="00217E8A">
        <w:rPr>
          <w:color w:val="000000"/>
          <w:lang w:val="fr-FR"/>
        </w:rPr>
        <w:t xml:space="preserve"> lors de la validation et de l'examen des fiches de notification. Cependant, en cas de non-conformité de l'indicatif d'appel utilisé avec les séries internationales d'indicatifs d'appel, l'administration notificatrice doit être informée en conséquence.</w:t>
      </w:r>
    </w:p>
    <w:p w14:paraId="29985FEA" w14:textId="32AC1B9C" w:rsidR="002C05F8" w:rsidRDefault="002C05F8" w:rsidP="002C05F8">
      <w:pPr>
        <w:rPr>
          <w:lang w:val="fr-FR"/>
        </w:rPr>
      </w:pPr>
    </w:p>
    <w:p w14:paraId="0FABF44F" w14:textId="679B00C2" w:rsidR="000D19B4" w:rsidRDefault="000D19B4" w:rsidP="002C05F8">
      <w:pPr>
        <w:rPr>
          <w:lang w:val="fr-FR"/>
        </w:rPr>
      </w:pPr>
    </w:p>
    <w:p w14:paraId="4078FA54" w14:textId="6D9B177F" w:rsidR="000D19B4" w:rsidRDefault="000D19B4" w:rsidP="002C05F8">
      <w:pPr>
        <w:rPr>
          <w:lang w:val="fr-FR"/>
        </w:rPr>
      </w:pPr>
    </w:p>
    <w:p w14:paraId="71E14909" w14:textId="77777777" w:rsidR="000D19B4" w:rsidRDefault="000D19B4" w:rsidP="002C05F8">
      <w:pPr>
        <w:rPr>
          <w:lang w:val="fr-FR"/>
        </w:rPr>
      </w:pPr>
    </w:p>
    <w:p w14:paraId="5BCA5697" w14:textId="257F6800" w:rsidR="000D19B4" w:rsidRDefault="000D19B4" w:rsidP="002C05F8">
      <w:pPr>
        <w:rPr>
          <w:lang w:val="fr-FR"/>
        </w:rPr>
      </w:pPr>
    </w:p>
    <w:p w14:paraId="23C57C4D" w14:textId="05309CDF" w:rsidR="000D19B4" w:rsidRDefault="000D19B4" w:rsidP="002C05F8">
      <w:pPr>
        <w:rPr>
          <w:lang w:val="fr-FR"/>
        </w:rPr>
      </w:pPr>
    </w:p>
    <w:p w14:paraId="34FEC29F" w14:textId="0B05DE00" w:rsidR="000D19B4" w:rsidRDefault="000D19B4" w:rsidP="002C05F8">
      <w:pPr>
        <w:rPr>
          <w:lang w:val="fr-FR"/>
        </w:rPr>
      </w:pPr>
    </w:p>
    <w:p w14:paraId="7B2254D4" w14:textId="464C98A4" w:rsidR="000D19B4" w:rsidRDefault="000D19B4" w:rsidP="002C05F8">
      <w:pPr>
        <w:rPr>
          <w:lang w:val="fr-FR"/>
        </w:rPr>
      </w:pPr>
    </w:p>
    <w:p w14:paraId="39C8FDC6" w14:textId="77777777" w:rsidR="00BD44F6" w:rsidRDefault="00BD44F6" w:rsidP="002C05F8">
      <w:pPr>
        <w:rPr>
          <w:lang w:val="fr-FR"/>
        </w:rPr>
        <w:sectPr w:rsidR="00BD44F6" w:rsidSect="000D19B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73E748B" w14:textId="77777777" w:rsidR="003412B3" w:rsidRDefault="003412B3" w:rsidP="003412B3">
      <w:pPr>
        <w:pStyle w:val="Heading8"/>
        <w:rPr>
          <w:color w:val="000000"/>
          <w:lang w:val="fr-FR"/>
        </w:rPr>
      </w:pPr>
      <w:r w:rsidRPr="00217E8A">
        <w:rPr>
          <w:color w:val="000000"/>
          <w:lang w:val="fr-FR"/>
        </w:rPr>
        <w:lastRenderedPageBreak/>
        <w:t>An. 2</w:t>
      </w:r>
    </w:p>
    <w:p w14:paraId="0C4175FF" w14:textId="77777777" w:rsidR="00BD44F6" w:rsidRDefault="00BD44F6" w:rsidP="00BD44F6">
      <w:pPr>
        <w:pStyle w:val="Heading9"/>
        <w:ind w:right="7768"/>
        <w:rPr>
          <w:b w:val="0"/>
          <w:bCs/>
          <w:sz w:val="16"/>
          <w:szCs w:val="16"/>
        </w:rPr>
      </w:pPr>
      <w:r w:rsidRPr="00C07138">
        <w:rPr>
          <w:color w:val="000000"/>
        </w:rPr>
        <w:t>A.</w:t>
      </w:r>
      <w:r>
        <w:rPr>
          <w:color w:val="000000"/>
        </w:rPr>
        <w:t>4.b.7</w:t>
      </w:r>
      <w:r w:rsidRPr="00C07138">
        <w:rPr>
          <w:color w:val="000000"/>
        </w:rPr>
        <w:t>.d</w:t>
      </w:r>
      <w:r>
        <w:rPr>
          <w:color w:val="000000"/>
        </w:rPr>
        <w:t>.1</w:t>
      </w:r>
      <w:r>
        <w:rPr>
          <w:color w:val="000000"/>
        </w:rPr>
        <w:tab/>
      </w:r>
      <w:r>
        <w:rPr>
          <w:color w:val="000000"/>
        </w:rPr>
        <w:tab/>
      </w:r>
      <w:r w:rsidRPr="009F7C88">
        <w:rPr>
          <w:b w:val="0"/>
          <w:bCs/>
          <w:sz w:val="16"/>
          <w:szCs w:val="16"/>
        </w:rPr>
        <w:t>(ADD RRB24/510)</w:t>
      </w:r>
    </w:p>
    <w:p w14:paraId="220DAE1A" w14:textId="77777777" w:rsidR="00BD44F6" w:rsidRPr="00BD44F6" w:rsidRDefault="00BD44F6" w:rsidP="00BD44F6">
      <w:pPr>
        <w:rPr>
          <w:rFonts w:eastAsiaTheme="minorEastAsia"/>
          <w:lang w:val="fr-FR"/>
        </w:rPr>
      </w:pPr>
      <w:r w:rsidRPr="00BD44F6">
        <w:rPr>
          <w:rFonts w:eastAsiaTheme="minorEastAsia"/>
          <w:lang w:val="fr-FR"/>
        </w:rPr>
        <w:t>Le Comité a pris note du fait que la Conférence mondiale des radiocommunications (Dubaï, 2023) a modifié l'élément de données A.14.c.4, à savoir le type de gabarit, parmi les types suivants (angle de la zone d'exclusion par rapport à la Terre, différence de longitude, latitude) ou (azimut du satellite, élévation du satellite, latitude), afin de supprimer la référence à l'angle de la zone d'exclusion par rapport au satellite et à la différence de longitude et de latitude – c'est-à-dire le gabarit X-DeltaLongitude. Cette modification fait suite à la publication de la Recommandation UIT</w:t>
      </w:r>
      <w:r w:rsidRPr="00BD44F6">
        <w:rPr>
          <w:rFonts w:eastAsiaTheme="minorEastAsia"/>
          <w:lang w:val="fr-FR"/>
        </w:rPr>
        <w:noBreakHyphen/>
        <w:t>R S.1503-4, qui supprime ce type de gabarit.</w:t>
      </w:r>
    </w:p>
    <w:p w14:paraId="01DCD4D8" w14:textId="77777777" w:rsidR="00BD44F6" w:rsidRPr="00BD44F6" w:rsidRDefault="00BD44F6" w:rsidP="00BD44F6">
      <w:pPr>
        <w:rPr>
          <w:rFonts w:eastAsiaTheme="minorEastAsia"/>
          <w:i/>
          <w:iCs/>
          <w:lang w:val="fr-FR"/>
        </w:rPr>
      </w:pPr>
      <w:r w:rsidRPr="00BD44F6">
        <w:rPr>
          <w:rFonts w:eastAsiaTheme="minorEastAsia"/>
          <w:lang w:val="fr-FR"/>
        </w:rPr>
        <w:t xml:space="preserve">En outre, le Comité a noté que la Recommandation UIT-R S.1503-4 limitait également le type de zone d'exclusion à la seule zone d'exclusion par rapport à la Terre, en supprimant la méthode de la zone d'exclusion du point de vue des </w:t>
      </w:r>
      <w:proofErr w:type="gramStart"/>
      <w:r w:rsidRPr="00BD44F6">
        <w:rPr>
          <w:rFonts w:eastAsiaTheme="minorEastAsia"/>
          <w:lang w:val="fr-FR"/>
        </w:rPr>
        <w:t>satellites;</w:t>
      </w:r>
      <w:proofErr w:type="gramEnd"/>
      <w:r w:rsidRPr="00BD44F6">
        <w:rPr>
          <w:rFonts w:eastAsiaTheme="minorEastAsia"/>
          <w:lang w:val="fr-FR"/>
        </w:rPr>
        <w:t xml:space="preserve"> toutefois, aucune modification n'a été apportée à la description de l'élément de données A.4.b.7.d.1 – </w:t>
      </w:r>
      <w:r w:rsidRPr="00BD44F6">
        <w:rPr>
          <w:rFonts w:eastAsiaTheme="minorEastAsia"/>
          <w:i/>
          <w:iCs/>
          <w:lang w:val="fr-FR"/>
        </w:rPr>
        <w:t>type de zone (fondée sur l'angle topocentrique, l'angle vu du satellite pour déterminer la zone d'exclusion)</w:t>
      </w:r>
      <w:r w:rsidRPr="00BD44F6">
        <w:rPr>
          <w:rFonts w:eastAsiaTheme="minorEastAsia"/>
          <w:lang w:val="fr-FR"/>
        </w:rPr>
        <w:t>.</w:t>
      </w:r>
    </w:p>
    <w:p w14:paraId="0FDE1B31" w14:textId="77777777" w:rsidR="00BD44F6" w:rsidRPr="00BD44F6" w:rsidRDefault="00BD44F6" w:rsidP="00BD44F6">
      <w:pPr>
        <w:rPr>
          <w:rFonts w:eastAsiaTheme="minorEastAsia"/>
          <w:bCs/>
          <w:lang w:val="fr-FR"/>
        </w:rPr>
      </w:pPr>
      <w:r w:rsidRPr="00BD44F6">
        <w:rPr>
          <w:rFonts w:eastAsiaTheme="minorEastAsia"/>
          <w:lang w:val="fr-FR"/>
        </w:rPr>
        <w:t>Étant donné qu'un seul type de zone d'exclusion, à savoir la zone d'exclusion par rapport à la Terre (c'est-à-dire la zone fondée sur l'angle topocentrique), peut être utilisé, le Comité a décidé que les administrations notificatrices n'étaient pas tenues de soumettre l'élément de données A.4.b.7.d.1 et que le Bureau appliquerait la méthode permettant de définir la zone d'exclusion par rapport à la Terre pour toutes les fiches de notification reçues à compter du 1er janvier 2025.</w:t>
      </w:r>
    </w:p>
    <w:p w14:paraId="7D0B2EB3" w14:textId="77777777" w:rsidR="00A42418" w:rsidRPr="00217E8A" w:rsidRDefault="00A42418">
      <w:pPr>
        <w:pStyle w:val="Heading9"/>
        <w:rPr>
          <w:lang w:val="fr-FR"/>
        </w:rPr>
      </w:pPr>
      <w:r w:rsidRPr="00217E8A">
        <w:rPr>
          <w:lang w:val="fr-FR"/>
        </w:rPr>
        <w:t xml:space="preserve">A.18 </w:t>
      </w:r>
      <w:r w:rsidRPr="00217E8A">
        <w:rPr>
          <w:i/>
          <w:iCs/>
          <w:lang w:val="fr-FR"/>
        </w:rPr>
        <w:t>a)</w:t>
      </w:r>
    </w:p>
    <w:p w14:paraId="310B71EE" w14:textId="77777777" w:rsidR="00A42418" w:rsidRPr="00217E8A" w:rsidRDefault="00A42418">
      <w:pPr>
        <w:rPr>
          <w:rStyle w:val="Appref0"/>
          <w:bCs/>
          <w:color w:val="000000"/>
          <w:lang w:val="fr-FR"/>
        </w:rPr>
      </w:pPr>
      <w:r w:rsidRPr="00217E8A">
        <w:rPr>
          <w:color w:val="000000"/>
          <w:lang w:val="fr-FR"/>
        </w:rPr>
        <w:t xml:space="preserve">Le Comité a pris note du fait que le point </w:t>
      </w:r>
      <w:r w:rsidRPr="00217E8A">
        <w:rPr>
          <w:rStyle w:val="Appref0"/>
          <w:bCs/>
          <w:color w:val="000000"/>
          <w:lang w:val="fr-FR"/>
        </w:rPr>
        <w:t xml:space="preserve">A.18 </w:t>
      </w:r>
      <w:r w:rsidRPr="00217E8A">
        <w:rPr>
          <w:rStyle w:val="Appref0"/>
          <w:bCs/>
          <w:i/>
          <w:iCs/>
          <w:color w:val="000000"/>
          <w:lang w:val="fr-FR"/>
        </w:rPr>
        <w:t>a)</w:t>
      </w:r>
      <w:r w:rsidRPr="00217E8A">
        <w:rPr>
          <w:rStyle w:val="Appref0"/>
          <w:bCs/>
          <w:color w:val="000000"/>
          <w:lang w:val="fr-FR"/>
        </w:rPr>
        <w:t xml:space="preserve"> de l'Annexe 2 de l'Appendice </w:t>
      </w:r>
      <w:r w:rsidRPr="00217E8A">
        <w:rPr>
          <w:rStyle w:val="Appref"/>
          <w:b/>
          <w:bCs/>
          <w:color w:val="000000"/>
          <w:lang w:val="fr-FR"/>
        </w:rPr>
        <w:t>4</w:t>
      </w:r>
      <w:r w:rsidRPr="00217E8A">
        <w:rPr>
          <w:rStyle w:val="Appref0"/>
          <w:b/>
          <w:color w:val="000000"/>
          <w:lang w:val="fr-FR"/>
        </w:rPr>
        <w:t xml:space="preserve"> </w:t>
      </w:r>
      <w:r w:rsidRPr="00217E8A">
        <w:rPr>
          <w:rStyle w:val="Appref0"/>
          <w:bCs/>
          <w:color w:val="000000"/>
          <w:lang w:val="fr-FR"/>
        </w:rPr>
        <w:t xml:space="preserve">décrit l'engagement que doit prendre une administration dans le cas où une station terrienne d'aéronef du service mobile aéronautique par satellite secondaire communique avec une station spatiale du service fixe par satellite, conformément au numéro </w:t>
      </w:r>
      <w:r w:rsidRPr="00217E8A">
        <w:rPr>
          <w:rStyle w:val="Artref"/>
          <w:b/>
          <w:bCs/>
          <w:color w:val="000000"/>
          <w:lang w:val="fr-FR"/>
        </w:rPr>
        <w:t>5.504A</w:t>
      </w:r>
      <w:r w:rsidRPr="00217E8A">
        <w:rPr>
          <w:rStyle w:val="Appref0"/>
          <w:bCs/>
          <w:color w:val="000000"/>
          <w:lang w:val="fr-FR"/>
        </w:rPr>
        <w:t>. Il a en outre pris note du fait que cet élément de données est obligatoire pour la notification ou la coordi</w:t>
      </w:r>
      <w:r w:rsidR="00A82587" w:rsidRPr="00217E8A">
        <w:rPr>
          <w:rStyle w:val="Appref0"/>
          <w:bCs/>
          <w:color w:val="000000"/>
          <w:lang w:val="fr-FR"/>
        </w:rPr>
        <w:softHyphen/>
      </w:r>
      <w:r w:rsidRPr="00217E8A">
        <w:rPr>
          <w:rStyle w:val="Appref0"/>
          <w:bCs/>
          <w:color w:val="000000"/>
          <w:lang w:val="fr-FR"/>
        </w:rPr>
        <w:t>nation d'un réseau à satellite géostationnaire ou d'un réseau à satellite non géostationnaire.</w:t>
      </w:r>
    </w:p>
    <w:p w14:paraId="1F1E7654" w14:textId="77777777" w:rsidR="00A42418" w:rsidRPr="00217E8A" w:rsidRDefault="00A42418">
      <w:pPr>
        <w:rPr>
          <w:rStyle w:val="Appref0"/>
          <w:bCs/>
          <w:color w:val="000000"/>
          <w:lang w:val="fr-FR"/>
        </w:rPr>
      </w:pPr>
      <w:r w:rsidRPr="00217E8A">
        <w:rPr>
          <w:rStyle w:val="Appref0"/>
          <w:bCs/>
          <w:color w:val="000000"/>
          <w:lang w:val="fr-FR"/>
        </w:rPr>
        <w:t>Toutefois, cet élément de données doit également être fourni pour vérifier, au titre du numéro </w:t>
      </w:r>
      <w:r w:rsidRPr="00217E8A">
        <w:rPr>
          <w:rStyle w:val="Artref"/>
          <w:b/>
          <w:bCs/>
          <w:color w:val="000000"/>
          <w:lang w:val="fr-FR"/>
        </w:rPr>
        <w:t>11.31</w:t>
      </w:r>
      <w:r w:rsidRPr="00217E8A">
        <w:rPr>
          <w:rStyle w:val="Appref0"/>
          <w:bCs/>
          <w:color w:val="000000"/>
          <w:lang w:val="fr-FR"/>
        </w:rPr>
        <w:t xml:space="preserve">, la conformité relativement au numéro </w:t>
      </w:r>
      <w:r w:rsidRPr="00217E8A">
        <w:rPr>
          <w:rStyle w:val="Artref"/>
          <w:b/>
          <w:bCs/>
          <w:color w:val="000000"/>
          <w:lang w:val="fr-FR"/>
        </w:rPr>
        <w:t>5.504A</w:t>
      </w:r>
      <w:r w:rsidRPr="00217E8A">
        <w:rPr>
          <w:rStyle w:val="Appref0"/>
          <w:bCs/>
          <w:color w:val="000000"/>
          <w:lang w:val="fr-FR"/>
        </w:rPr>
        <w:t>, de la notification d'une station terrienne d'aéronef du service mobile aéronautique par satellite secondaire qui communique avec une station spatiale du service fixe par satellite. Cette exigence a été probablement omise par inadvertance à la CMR</w:t>
      </w:r>
      <w:r w:rsidRPr="00217E8A">
        <w:rPr>
          <w:rStyle w:val="Appref0"/>
          <w:bCs/>
          <w:color w:val="000000"/>
          <w:lang w:val="fr-FR"/>
        </w:rPr>
        <w:noBreakHyphen/>
        <w:t>03.</w:t>
      </w:r>
    </w:p>
    <w:p w14:paraId="6EAE3733" w14:textId="20D88792" w:rsidR="00A42418" w:rsidRDefault="00A42418">
      <w:pPr>
        <w:rPr>
          <w:color w:val="000000"/>
          <w:lang w:val="fr-FR"/>
        </w:rPr>
      </w:pPr>
      <w:r w:rsidRPr="00217E8A">
        <w:rPr>
          <w:rStyle w:val="Appref0"/>
          <w:bCs/>
          <w:color w:val="000000"/>
          <w:lang w:val="fr-FR"/>
        </w:rPr>
        <w:t>Pour corriger cette lacune, le Comité a décidé qu'il sera demandé aux administrations de fournir, en plus des caractéristiques pertinentes énumérées dans l'Appendice</w:t>
      </w:r>
      <w:r w:rsidRPr="00217E8A">
        <w:rPr>
          <w:color w:val="000000"/>
          <w:lang w:val="fr-FR"/>
        </w:rPr>
        <w:t xml:space="preserve"> </w:t>
      </w:r>
      <w:r w:rsidRPr="00217E8A">
        <w:rPr>
          <w:rStyle w:val="Appref"/>
          <w:b/>
          <w:bCs/>
          <w:color w:val="000000"/>
          <w:lang w:val="fr-FR"/>
        </w:rPr>
        <w:t>4</w:t>
      </w:r>
      <w:r w:rsidRPr="00217E8A">
        <w:rPr>
          <w:color w:val="000000"/>
          <w:lang w:val="fr-FR"/>
        </w:rPr>
        <w:t xml:space="preserve">, l'élément de données décrit au </w:t>
      </w:r>
      <w:r w:rsidRPr="00217E8A">
        <w:rPr>
          <w:rStyle w:val="Appref0"/>
          <w:bCs/>
          <w:color w:val="000000"/>
          <w:lang w:val="fr-FR"/>
        </w:rPr>
        <w:t xml:space="preserve">§ A.18 </w:t>
      </w:r>
      <w:r w:rsidRPr="00217E8A">
        <w:rPr>
          <w:rStyle w:val="Appref0"/>
          <w:bCs/>
          <w:i/>
          <w:iCs/>
          <w:color w:val="000000"/>
          <w:lang w:val="fr-FR"/>
        </w:rPr>
        <w:t xml:space="preserve">a) </w:t>
      </w:r>
      <w:r w:rsidRPr="00217E8A">
        <w:rPr>
          <w:color w:val="000000"/>
          <w:lang w:val="fr-FR"/>
        </w:rPr>
        <w:t xml:space="preserve">de l'Annexe 2 de l'Appendice </w:t>
      </w:r>
      <w:r w:rsidRPr="00217E8A">
        <w:rPr>
          <w:rStyle w:val="Appref"/>
          <w:b/>
          <w:bCs/>
          <w:color w:val="000000"/>
          <w:lang w:val="fr-FR"/>
        </w:rPr>
        <w:t>4</w:t>
      </w:r>
      <w:r w:rsidRPr="00217E8A">
        <w:rPr>
          <w:color w:val="000000"/>
          <w:lang w:val="fr-FR"/>
        </w:rPr>
        <w:t xml:space="preserve"> lorsqu'elles soumettent les rensei</w:t>
      </w:r>
      <w:r w:rsidRPr="00217E8A">
        <w:rPr>
          <w:color w:val="000000"/>
          <w:lang w:val="fr-FR"/>
        </w:rPr>
        <w:softHyphen/>
        <w:t xml:space="preserve">gnements de notification pour une station terrienne d'aéronef du service mobile aéronautique par satellite secondaire communiquant avec une station spatiale du service fixe par satellite, conformément au numéro </w:t>
      </w:r>
      <w:r w:rsidRPr="00217E8A">
        <w:rPr>
          <w:rStyle w:val="Artref"/>
          <w:b/>
          <w:bCs/>
          <w:color w:val="000000"/>
          <w:lang w:val="fr-FR"/>
        </w:rPr>
        <w:t>5.504A</w:t>
      </w:r>
      <w:r w:rsidRPr="00217E8A">
        <w:rPr>
          <w:color w:val="000000"/>
          <w:lang w:val="fr-FR"/>
        </w:rPr>
        <w:t>. Le Bureau tiendra alors ultérieurement compte de cet élément de données § A.18 </w:t>
      </w:r>
      <w:r w:rsidRPr="00217E8A">
        <w:rPr>
          <w:i/>
          <w:iCs/>
          <w:color w:val="000000"/>
          <w:lang w:val="fr-FR"/>
        </w:rPr>
        <w:t>a)</w:t>
      </w:r>
      <w:r w:rsidRPr="00217E8A">
        <w:rPr>
          <w:color w:val="000000"/>
          <w:lang w:val="fr-FR"/>
        </w:rPr>
        <w:t xml:space="preserve"> lorsqu'il vérifiera que les données soumises sont complètes.</w:t>
      </w:r>
    </w:p>
    <w:p w14:paraId="2DD5A6A2" w14:textId="77777777" w:rsidR="003412B3" w:rsidRDefault="003412B3">
      <w:pPr>
        <w:rPr>
          <w:color w:val="000000"/>
          <w:lang w:val="fr-FR"/>
        </w:rPr>
      </w:pPr>
    </w:p>
    <w:p w14:paraId="7490DE5A" w14:textId="77777777" w:rsidR="003412B3" w:rsidRDefault="003412B3">
      <w:pPr>
        <w:rPr>
          <w:color w:val="000000"/>
          <w:lang w:val="fr-FR"/>
        </w:rPr>
        <w:sectPr w:rsidR="003412B3" w:rsidSect="000D19B4">
          <w:headerReference w:type="even" r:id="rId8"/>
          <w:footnotePr>
            <w:pos w:val="beneathText"/>
          </w:footnotePr>
          <w:pgSz w:w="11907" w:h="16840" w:code="9"/>
          <w:pgMar w:top="1701" w:right="851" w:bottom="1134" w:left="1985" w:header="720" w:footer="482" w:gutter="0"/>
          <w:cols w:space="720"/>
          <w:vAlign w:val="both"/>
        </w:sectPr>
      </w:pPr>
    </w:p>
    <w:p w14:paraId="715184B2" w14:textId="3EBC7B5D" w:rsidR="00BD44F6" w:rsidRPr="00BD44F6" w:rsidRDefault="00BD44F6" w:rsidP="00BD44F6">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sz w:val="16"/>
          <w:szCs w:val="16"/>
        </w:rPr>
      </w:pPr>
      <w:r w:rsidRPr="00F82642">
        <w:rPr>
          <w:rFonts w:asciiTheme="majorBidi" w:hAnsiTheme="majorBidi" w:cstheme="majorBidi"/>
          <w:b/>
          <w:color w:val="000000"/>
          <w:szCs w:val="22"/>
        </w:rPr>
        <w:lastRenderedPageBreak/>
        <w:t>A.27.b</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0B92B743" w14:textId="77777777" w:rsidR="00BD44F6" w:rsidRPr="00BD44F6" w:rsidRDefault="00BD44F6" w:rsidP="00BD44F6">
      <w:pPr>
        <w:rPr>
          <w:rFonts w:eastAsiaTheme="minorEastAsia"/>
          <w:bCs/>
          <w:lang w:val="fr-FR"/>
        </w:rPr>
      </w:pPr>
      <w:r w:rsidRPr="00BD44F6">
        <w:rPr>
          <w:rFonts w:eastAsiaTheme="minorEastAsia"/>
          <w:lang w:val="fr-FR"/>
        </w:rPr>
        <w:t xml:space="preserve">Le Comité a observé que l'élément de données A.27.b de l'Annexe 2 de l'Appendice </w:t>
      </w:r>
      <w:r w:rsidRPr="00BD44F6">
        <w:rPr>
          <w:rFonts w:eastAsiaTheme="minorEastAsia"/>
          <w:b/>
          <w:bCs/>
          <w:lang w:val="fr-FR"/>
        </w:rPr>
        <w:t>4</w:t>
      </w:r>
      <w:r w:rsidRPr="00BD44F6">
        <w:rPr>
          <w:rFonts w:eastAsiaTheme="minorEastAsia"/>
          <w:lang w:val="fr-FR"/>
        </w:rPr>
        <w:t xml:space="preserve"> n'était requis que pour les stations spatiales non géostationnaires (non OSG) soumises conformément à la Résolution </w:t>
      </w:r>
      <w:r w:rsidRPr="00BD44F6">
        <w:rPr>
          <w:rFonts w:eastAsiaTheme="minorEastAsia"/>
          <w:b/>
          <w:bCs/>
          <w:lang w:val="fr-FR"/>
        </w:rPr>
        <w:t>679 (CMR-23)</w:t>
      </w:r>
      <w:r w:rsidRPr="00BD44F6">
        <w:rPr>
          <w:rFonts w:eastAsiaTheme="minorEastAsia"/>
          <w:lang w:val="fr-FR"/>
        </w:rPr>
        <w:t>.</w:t>
      </w:r>
    </w:p>
    <w:p w14:paraId="168D46C1" w14:textId="77777777" w:rsidR="00BD44F6" w:rsidRPr="00BD44F6" w:rsidRDefault="00BD44F6" w:rsidP="00BD44F6">
      <w:pPr>
        <w:rPr>
          <w:rFonts w:eastAsiaTheme="minorEastAsia"/>
          <w:bCs/>
          <w:color w:val="000000"/>
          <w:lang w:val="fr-FR"/>
        </w:rPr>
      </w:pPr>
      <w:r w:rsidRPr="00BD44F6">
        <w:rPr>
          <w:rFonts w:eastAsiaTheme="minorEastAsia"/>
          <w:lang w:val="fr-FR"/>
        </w:rPr>
        <w:t xml:space="preserve">La description de cet élément de données présente des similitudes avec le texte du point 2 du </w:t>
      </w:r>
      <w:r w:rsidRPr="00BD44F6">
        <w:rPr>
          <w:rFonts w:eastAsiaTheme="minorEastAsia"/>
          <w:i/>
          <w:iCs/>
          <w:lang w:val="fr-FR"/>
        </w:rPr>
        <w:t>décide en outre</w:t>
      </w:r>
      <w:r w:rsidRPr="00BD44F6">
        <w:rPr>
          <w:rFonts w:eastAsiaTheme="minorEastAsia"/>
          <w:lang w:val="fr-FR"/>
        </w:rPr>
        <w:t xml:space="preserve"> de la Résolution </w:t>
      </w:r>
      <w:r w:rsidRPr="00BD44F6">
        <w:rPr>
          <w:rFonts w:eastAsiaTheme="minorEastAsia"/>
          <w:b/>
          <w:bCs/>
          <w:lang w:val="fr-FR"/>
        </w:rPr>
        <w:t>679 (CMR-23)</w:t>
      </w:r>
      <w:r w:rsidRPr="00BD44F6">
        <w:rPr>
          <w:rFonts w:eastAsiaTheme="minorEastAsia"/>
          <w:lang w:val="fr-FR"/>
        </w:rPr>
        <w:t xml:space="preserve">. </w:t>
      </w:r>
      <w:proofErr w:type="gramStart"/>
      <w:r w:rsidRPr="00BD44F6">
        <w:rPr>
          <w:rFonts w:eastAsiaTheme="minorEastAsia"/>
          <w:lang w:val="fr-FR"/>
        </w:rPr>
        <w:t>Toutefois:</w:t>
      </w:r>
      <w:proofErr w:type="gramEnd"/>
    </w:p>
    <w:p w14:paraId="44E0238B" w14:textId="77777777" w:rsidR="00BD44F6" w:rsidRPr="00BD44F6" w:rsidRDefault="00BD44F6" w:rsidP="00BD44F6">
      <w:pPr>
        <w:pStyle w:val="enumlev1"/>
        <w:rPr>
          <w:rFonts w:eastAsiaTheme="minorEastAsia"/>
          <w:bCs/>
          <w:color w:val="000000"/>
          <w:lang w:val="fr-FR"/>
        </w:rPr>
      </w:pPr>
      <w:bookmarkStart w:id="0" w:name="_Hlk172732156"/>
      <w:r w:rsidRPr="00BD44F6">
        <w:rPr>
          <w:rFonts w:eastAsiaTheme="minorEastAsia"/>
          <w:lang w:val="fr-FR"/>
        </w:rPr>
        <w:t>–</w:t>
      </w:r>
      <w:r w:rsidRPr="00BD44F6">
        <w:rPr>
          <w:rFonts w:eastAsiaTheme="minorEastAsia"/>
          <w:lang w:val="fr-FR"/>
        </w:rPr>
        <w:tab/>
        <w:t xml:space="preserve">le point 2 du </w:t>
      </w:r>
      <w:r w:rsidRPr="00BD44F6">
        <w:rPr>
          <w:rFonts w:eastAsiaTheme="minorEastAsia"/>
          <w:i/>
          <w:iCs/>
          <w:lang w:val="fr-FR"/>
        </w:rPr>
        <w:t xml:space="preserve">décide en outre </w:t>
      </w:r>
      <w:r w:rsidRPr="00BD44F6">
        <w:rPr>
          <w:rFonts w:eastAsiaTheme="minorEastAsia"/>
          <w:lang w:val="fr-FR"/>
        </w:rPr>
        <w:t xml:space="preserve">fait référence à un engagement ferme, objectif, utilisable, mesurable et </w:t>
      </w:r>
      <w:proofErr w:type="gramStart"/>
      <w:r w:rsidRPr="00BD44F6">
        <w:rPr>
          <w:rFonts w:eastAsiaTheme="minorEastAsia"/>
          <w:lang w:val="fr-FR"/>
        </w:rPr>
        <w:t>applicable;</w:t>
      </w:r>
      <w:proofErr w:type="gramEnd"/>
      <w:r w:rsidRPr="00BD44F6">
        <w:rPr>
          <w:rFonts w:eastAsiaTheme="minorEastAsia"/>
          <w:lang w:val="fr-FR"/>
        </w:rPr>
        <w:t xml:space="preserve"> et</w:t>
      </w:r>
      <w:bookmarkEnd w:id="0"/>
    </w:p>
    <w:p w14:paraId="65C065A2" w14:textId="77777777" w:rsidR="00BD44F6" w:rsidRPr="00BD44F6" w:rsidRDefault="00BD44F6" w:rsidP="00BD44F6">
      <w:pPr>
        <w:pStyle w:val="enumlev1"/>
        <w:rPr>
          <w:rFonts w:eastAsiaTheme="minorEastAsia"/>
          <w:lang w:val="fr-FR"/>
        </w:rPr>
      </w:pPr>
      <w:r w:rsidRPr="00BD44F6">
        <w:rPr>
          <w:rFonts w:eastAsiaTheme="minorEastAsia"/>
          <w:lang w:val="fr-FR"/>
        </w:rPr>
        <w:t>–</w:t>
      </w:r>
      <w:r w:rsidRPr="00BD44F6">
        <w:rPr>
          <w:rFonts w:eastAsiaTheme="minorEastAsia"/>
          <w:lang w:val="fr-FR"/>
        </w:rPr>
        <w:tab/>
        <w:t xml:space="preserve">l'engagement visé au point 2 du </w:t>
      </w:r>
      <w:r w:rsidRPr="00BD44F6">
        <w:rPr>
          <w:rFonts w:eastAsiaTheme="minorEastAsia"/>
          <w:i/>
          <w:iCs/>
          <w:lang w:val="fr-FR"/>
        </w:rPr>
        <w:t>décide en outre</w:t>
      </w:r>
      <w:r w:rsidRPr="00BD44F6">
        <w:rPr>
          <w:rFonts w:eastAsiaTheme="minorEastAsia"/>
          <w:lang w:val="fr-FR"/>
        </w:rPr>
        <w:t xml:space="preserve"> doit être fourni non seulement par l'administration notificatrice d'un système non OSG, mais aussi par l'administration notificatrice d'un réseau à satellite géostationnaire (OSG) recevant dans la bande de fréquences 27,5-30 GHz.</w:t>
      </w:r>
    </w:p>
    <w:p w14:paraId="2107E566" w14:textId="77777777" w:rsidR="00BD44F6" w:rsidRDefault="00BD44F6" w:rsidP="00BD44F6">
      <w:pPr>
        <w:rPr>
          <w:rFonts w:eastAsiaTheme="minorEastAsia"/>
          <w:lang w:val="fr-FR"/>
        </w:rPr>
      </w:pPr>
      <w:r w:rsidRPr="00BD44F6">
        <w:rPr>
          <w:rFonts w:eastAsiaTheme="minorEastAsia"/>
          <w:lang w:val="fr-FR"/>
        </w:rPr>
        <w:t>En conséquence, le Comité a conclu que l'engagement visé au point A.27.b devait être fourni par l'administration notificatrice d'un réseau OSG ou d'un système non OSG recevant dans la bande de fréquences 27,5-30 GHz. Le Comité a rappelé que les administrations notificatrices fournissant un engagement au titre du point A.27.b devaient veiller à ce que de tels engagements soient fermes, objectifs, utilisables, mesurables et applicables.</w:t>
      </w:r>
    </w:p>
    <w:p w14:paraId="4A8F8548" w14:textId="77777777" w:rsidR="00BD44F6" w:rsidRPr="00F82642" w:rsidRDefault="00BD44F6" w:rsidP="00BD44F6">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26B25506" w14:textId="6B514566" w:rsidR="00BD44F6" w:rsidRPr="00BD44F6" w:rsidRDefault="00BD44F6" w:rsidP="00BD44F6">
      <w:pPr>
        <w:spacing w:before="120"/>
        <w:rPr>
          <w:rFonts w:eastAsiaTheme="minorEastAsia"/>
          <w:lang w:val="fr-FR"/>
        </w:rPr>
      </w:pPr>
      <w:r w:rsidRPr="00BD44F6">
        <w:rPr>
          <w:rFonts w:eastAsiaTheme="minorEastAsia"/>
          <w:lang w:val="fr-FR"/>
        </w:rPr>
        <w:t>Le Comité a noté qu'un</w:t>
      </w:r>
      <w:proofErr w:type="gramStart"/>
      <w:r w:rsidRPr="00BD44F6">
        <w:rPr>
          <w:rFonts w:eastAsiaTheme="minorEastAsia"/>
          <w:lang w:val="fr-FR"/>
        </w:rPr>
        <w:t xml:space="preserve"> «point</w:t>
      </w:r>
      <w:proofErr w:type="gramEnd"/>
      <w:r w:rsidRPr="00BD44F6">
        <w:rPr>
          <w:rFonts w:eastAsiaTheme="minorEastAsia"/>
          <w:lang w:val="fr-FR"/>
        </w:rPr>
        <w:t xml:space="preserve"> de contact» était mentionné dans les Résolutions </w:t>
      </w:r>
      <w:r w:rsidRPr="00BD44F6">
        <w:rPr>
          <w:rFonts w:eastAsiaTheme="minorEastAsia"/>
          <w:b/>
          <w:bCs/>
          <w:lang w:val="fr-FR"/>
        </w:rPr>
        <w:t>121 (CMR</w:t>
      </w:r>
      <w:r>
        <w:rPr>
          <w:rFonts w:eastAsiaTheme="minorEastAsia"/>
          <w:b/>
          <w:bCs/>
          <w:lang w:val="fr-FR"/>
        </w:rPr>
        <w:noBreakHyphen/>
      </w:r>
      <w:r w:rsidRPr="00BD44F6">
        <w:rPr>
          <w:rFonts w:eastAsiaTheme="minorEastAsia"/>
          <w:b/>
          <w:bCs/>
          <w:lang w:val="fr-FR"/>
        </w:rPr>
        <w:t>23)</w:t>
      </w:r>
      <w:r w:rsidRPr="00BD44F6">
        <w:rPr>
          <w:rFonts w:eastAsiaTheme="minorEastAsia"/>
          <w:lang w:val="fr-FR"/>
        </w:rPr>
        <w:t xml:space="preserve">, </w:t>
      </w:r>
      <w:r w:rsidRPr="00BD44F6">
        <w:rPr>
          <w:rFonts w:eastAsiaTheme="minorEastAsia"/>
          <w:b/>
          <w:bCs/>
          <w:lang w:val="fr-FR"/>
        </w:rPr>
        <w:t>123 (CMR-23)</w:t>
      </w:r>
      <w:r w:rsidRPr="00BD44F6">
        <w:rPr>
          <w:rFonts w:eastAsiaTheme="minorEastAsia"/>
          <w:lang w:val="fr-FR"/>
        </w:rPr>
        <w:t xml:space="preserve">, </w:t>
      </w:r>
      <w:r w:rsidRPr="00BD44F6">
        <w:rPr>
          <w:rFonts w:eastAsiaTheme="minorEastAsia"/>
          <w:b/>
          <w:bCs/>
          <w:lang w:val="fr-FR"/>
        </w:rPr>
        <w:t>156 (Rév.CMR-23)</w:t>
      </w:r>
      <w:r w:rsidRPr="00BD44F6">
        <w:rPr>
          <w:rFonts w:eastAsiaTheme="minorEastAsia"/>
          <w:lang w:val="fr-FR"/>
        </w:rPr>
        <w:t>,</w:t>
      </w:r>
      <w:r w:rsidRPr="00BD44F6">
        <w:rPr>
          <w:rFonts w:eastAsiaTheme="minorEastAsia"/>
          <w:b/>
          <w:bCs/>
          <w:lang w:val="fr-FR"/>
        </w:rPr>
        <w:t xml:space="preserve"> 169 (Rév.CMR-23)</w:t>
      </w:r>
      <w:r w:rsidRPr="00BD44F6">
        <w:rPr>
          <w:rFonts w:eastAsiaTheme="minorEastAsia"/>
          <w:lang w:val="fr-FR"/>
        </w:rPr>
        <w:t xml:space="preserve">, </w:t>
      </w:r>
      <w:r w:rsidRPr="00BD44F6">
        <w:rPr>
          <w:rFonts w:eastAsiaTheme="minorEastAsia"/>
          <w:b/>
          <w:bCs/>
          <w:lang w:val="fr-FR"/>
        </w:rPr>
        <w:t>679 (CMR-23)</w:t>
      </w:r>
      <w:r w:rsidRPr="00BD44F6">
        <w:rPr>
          <w:rFonts w:eastAsiaTheme="minorEastAsia"/>
          <w:lang w:val="fr-FR"/>
        </w:rPr>
        <w:t xml:space="preserve"> et</w:t>
      </w:r>
      <w:r w:rsidRPr="00BD44F6">
        <w:rPr>
          <w:rFonts w:eastAsiaTheme="minorEastAsia"/>
          <w:b/>
          <w:bCs/>
          <w:lang w:val="fr-FR"/>
        </w:rPr>
        <w:t xml:space="preserve"> 902 (Rév.CMR-23) </w:t>
      </w:r>
      <w:r w:rsidRPr="00BD44F6">
        <w:rPr>
          <w:rFonts w:eastAsiaTheme="minorEastAsia"/>
          <w:lang w:val="fr-FR"/>
        </w:rPr>
        <w:t>à des fins diverses.</w:t>
      </w:r>
    </w:p>
    <w:p w14:paraId="22748D04" w14:textId="0BCCA188" w:rsidR="00BD44F6" w:rsidRPr="00BD44F6" w:rsidRDefault="00BD44F6" w:rsidP="00BD44F6">
      <w:pPr>
        <w:spacing w:before="120"/>
        <w:rPr>
          <w:rFonts w:eastAsiaTheme="minorEastAsia"/>
          <w:lang w:val="fr-FR"/>
        </w:rPr>
      </w:pPr>
      <w:r w:rsidRPr="00BD44F6">
        <w:rPr>
          <w:rFonts w:eastAsiaTheme="minorEastAsia"/>
          <w:lang w:val="fr-FR"/>
        </w:rPr>
        <w:t xml:space="preserve">Toutefois, il n'existe que deux cas, à savoir en ce qui concerne le point 10.5 du </w:t>
      </w:r>
      <w:r w:rsidRPr="00BD44F6">
        <w:rPr>
          <w:rFonts w:eastAsiaTheme="minorEastAsia"/>
          <w:i/>
          <w:iCs/>
          <w:lang w:val="fr-FR"/>
        </w:rPr>
        <w:t>décide</w:t>
      </w:r>
      <w:r w:rsidRPr="00BD44F6">
        <w:rPr>
          <w:rFonts w:eastAsiaTheme="minorEastAsia"/>
          <w:lang w:val="fr-FR"/>
        </w:rPr>
        <w:t xml:space="preserve"> de la Résolution </w:t>
      </w:r>
      <w:r w:rsidRPr="00BD44F6">
        <w:rPr>
          <w:rFonts w:eastAsiaTheme="minorEastAsia"/>
          <w:b/>
          <w:bCs/>
          <w:lang w:val="fr-FR"/>
        </w:rPr>
        <w:t>121 (CMR-23)</w:t>
      </w:r>
      <w:r w:rsidRPr="00BD44F6">
        <w:rPr>
          <w:rFonts w:eastAsiaTheme="minorEastAsia"/>
          <w:lang w:val="fr-FR"/>
        </w:rPr>
        <w:t xml:space="preserve"> et le point 7.5 du </w:t>
      </w:r>
      <w:r w:rsidRPr="00BD44F6">
        <w:rPr>
          <w:rFonts w:eastAsiaTheme="minorEastAsia"/>
          <w:i/>
          <w:iCs/>
          <w:lang w:val="fr-FR"/>
        </w:rPr>
        <w:t>décide</w:t>
      </w:r>
      <w:r w:rsidRPr="00BD44F6">
        <w:rPr>
          <w:rFonts w:eastAsiaTheme="minorEastAsia"/>
          <w:lang w:val="fr-FR"/>
        </w:rPr>
        <w:t xml:space="preserve"> de la Résolution </w:t>
      </w:r>
      <w:r w:rsidRPr="00BD44F6">
        <w:rPr>
          <w:rFonts w:eastAsiaTheme="minorEastAsia"/>
          <w:b/>
          <w:bCs/>
          <w:lang w:val="fr-FR"/>
        </w:rPr>
        <w:t>123 (CMR-23),</w:t>
      </w:r>
      <w:r w:rsidRPr="00BD44F6">
        <w:rPr>
          <w:rFonts w:eastAsiaTheme="minorEastAsia"/>
          <w:lang w:val="fr-FR"/>
        </w:rPr>
        <w:t xml:space="preserve"> dans lesquels les renseignements sur le point de contact sont exigés dans l'Annexe 2 de l'Appendice</w:t>
      </w:r>
      <w:r>
        <w:rPr>
          <w:rFonts w:eastAsiaTheme="minorEastAsia"/>
          <w:lang w:val="fr-FR"/>
        </w:rPr>
        <w:t> </w:t>
      </w:r>
      <w:r w:rsidRPr="00BD44F6">
        <w:rPr>
          <w:rFonts w:eastAsiaTheme="minorEastAsia"/>
          <w:b/>
          <w:bCs/>
          <w:lang w:val="fr-FR"/>
        </w:rPr>
        <w:t>4</w:t>
      </w:r>
      <w:r w:rsidRPr="00BD44F6">
        <w:rPr>
          <w:rFonts w:eastAsiaTheme="minorEastAsia"/>
          <w:lang w:val="fr-FR"/>
        </w:rPr>
        <w:t xml:space="preserve"> (voir les éléments de données obligatoires A.33.a et A.36.c). Dans ces deux cas, il est indiqué que le point de contact a pour but de remonter à l'origine de tous les cas suspects de brouillage inacceptable et qu'il est tenu de donner suite immédiatement à toute demande à cet égard.</w:t>
      </w:r>
    </w:p>
    <w:p w14:paraId="6C529104" w14:textId="77777777" w:rsidR="00BD44F6" w:rsidRPr="00BD44F6" w:rsidRDefault="00BD44F6" w:rsidP="00BD44F6">
      <w:pPr>
        <w:spacing w:before="120"/>
        <w:rPr>
          <w:rFonts w:eastAsiaTheme="minorEastAsia"/>
          <w:lang w:val="fr-FR"/>
        </w:rPr>
      </w:pPr>
      <w:r w:rsidRPr="00BD44F6">
        <w:rPr>
          <w:rFonts w:eastAsiaTheme="minorEastAsia"/>
          <w:lang w:val="fr-FR"/>
        </w:rPr>
        <w:t xml:space="preserve">Des descriptions analogues sont données dans les Résolutions </w:t>
      </w:r>
      <w:r w:rsidRPr="00BD44F6">
        <w:rPr>
          <w:rFonts w:eastAsiaTheme="minorEastAsia"/>
          <w:b/>
          <w:bCs/>
          <w:lang w:val="fr-FR"/>
        </w:rPr>
        <w:t>169 (Rév.CMR-23)</w:t>
      </w:r>
      <w:r w:rsidRPr="00BD44F6">
        <w:rPr>
          <w:rFonts w:eastAsiaTheme="minorEastAsia"/>
          <w:lang w:val="fr-FR"/>
        </w:rPr>
        <w:t xml:space="preserve"> et </w:t>
      </w:r>
      <w:r w:rsidRPr="00BD44F6">
        <w:rPr>
          <w:rFonts w:eastAsiaTheme="minorEastAsia"/>
          <w:b/>
          <w:bCs/>
          <w:lang w:val="fr-FR"/>
        </w:rPr>
        <w:t>679 (CMR-23</w:t>
      </w:r>
      <w:proofErr w:type="gramStart"/>
      <w:r w:rsidRPr="00BD44F6">
        <w:rPr>
          <w:rFonts w:eastAsiaTheme="minorEastAsia"/>
          <w:b/>
          <w:bCs/>
          <w:lang w:val="fr-FR"/>
        </w:rPr>
        <w:t>)</w:t>
      </w:r>
      <w:r w:rsidRPr="00BD44F6">
        <w:rPr>
          <w:rFonts w:eastAsiaTheme="minorEastAsia"/>
          <w:lang w:val="fr-FR"/>
        </w:rPr>
        <w:t>:</w:t>
      </w:r>
      <w:proofErr w:type="gramEnd"/>
      <w:r w:rsidRPr="00BD44F6">
        <w:rPr>
          <w:rFonts w:eastAsiaTheme="minorEastAsia"/>
          <w:lang w:val="fr-FR"/>
        </w:rPr>
        <w:t xml:space="preserve"> un point de contact est nécessaire pour remonter à l'origine des cas présumés de brouillage inacceptable et donner suite immédiatement à ces cas; toutefois, aucune obligation de fournir des renseignements sur le point de contact n'est prévue dans l'Annexe 2 de l'Appendice </w:t>
      </w:r>
      <w:r w:rsidRPr="00BD44F6">
        <w:rPr>
          <w:rFonts w:eastAsiaTheme="minorEastAsia"/>
          <w:b/>
          <w:bCs/>
          <w:lang w:val="fr-FR"/>
        </w:rPr>
        <w:t>4</w:t>
      </w:r>
      <w:r w:rsidRPr="00BD44F6">
        <w:rPr>
          <w:rFonts w:eastAsiaTheme="minorEastAsia"/>
          <w:lang w:val="fr-FR"/>
        </w:rPr>
        <w:t xml:space="preserve">. Compte tenu de la similitude des prescriptions applicables au point de contact dans toutes ces Résolutions, le Comité a décidé que l'élément de données A.36.c de l'Annexe 2 de l'Appendice </w:t>
      </w:r>
      <w:r w:rsidRPr="00BD44F6">
        <w:rPr>
          <w:rFonts w:eastAsiaTheme="minorEastAsia"/>
          <w:b/>
          <w:bCs/>
          <w:lang w:val="fr-FR"/>
        </w:rPr>
        <w:t>4</w:t>
      </w:r>
      <w:r w:rsidRPr="00BD44F6">
        <w:rPr>
          <w:rFonts w:eastAsiaTheme="minorEastAsia"/>
          <w:lang w:val="fr-FR"/>
        </w:rPr>
        <w:t xml:space="preserve"> devait également être fourni pour les soumissions au titre des Résolutions </w:t>
      </w:r>
      <w:r w:rsidRPr="00BD44F6">
        <w:rPr>
          <w:rFonts w:eastAsiaTheme="minorEastAsia"/>
          <w:b/>
          <w:bCs/>
          <w:lang w:val="fr-FR"/>
        </w:rPr>
        <w:t>169 (Rév.CMR-23)</w:t>
      </w:r>
      <w:r w:rsidRPr="00BD44F6">
        <w:rPr>
          <w:rFonts w:eastAsiaTheme="minorEastAsia"/>
          <w:lang w:val="fr-FR"/>
        </w:rPr>
        <w:t xml:space="preserve"> et </w:t>
      </w:r>
      <w:r w:rsidRPr="00BD44F6">
        <w:rPr>
          <w:rFonts w:eastAsiaTheme="minorEastAsia"/>
          <w:b/>
          <w:bCs/>
          <w:lang w:val="fr-FR"/>
        </w:rPr>
        <w:t>679 (CMR-23)</w:t>
      </w:r>
      <w:r w:rsidRPr="00BD44F6">
        <w:rPr>
          <w:rFonts w:eastAsiaTheme="minorEastAsia"/>
          <w:lang w:val="fr-FR"/>
        </w:rPr>
        <w:t>.</w:t>
      </w:r>
    </w:p>
    <w:p w14:paraId="369239FE" w14:textId="77777777" w:rsidR="00BD44F6" w:rsidRDefault="00BD44F6" w:rsidP="00BD44F6">
      <w:pPr>
        <w:spacing w:before="120"/>
        <w:rPr>
          <w:rFonts w:eastAsiaTheme="minorEastAsia"/>
          <w:lang w:val="fr-FR"/>
        </w:rPr>
      </w:pPr>
      <w:r w:rsidRPr="00BD44F6">
        <w:rPr>
          <w:rFonts w:eastAsiaTheme="minorEastAsia"/>
          <w:lang w:val="fr-FR"/>
        </w:rPr>
        <w:t xml:space="preserve">Les renseignements à fournir concernant le point de contact sont le nom de la personne ou de l'entité, son adresse de courrier électronique, son numéro de téléphone et son adresse. Ces informations sont renseignées avec d'autres éléments de données de l'Appendice </w:t>
      </w:r>
      <w:r w:rsidRPr="00BD44F6">
        <w:rPr>
          <w:rFonts w:eastAsiaTheme="minorEastAsia"/>
          <w:b/>
          <w:bCs/>
          <w:lang w:val="fr-FR"/>
        </w:rPr>
        <w:t>4</w:t>
      </w:r>
      <w:r w:rsidRPr="00BD44F6">
        <w:rPr>
          <w:rFonts w:eastAsiaTheme="minorEastAsia"/>
          <w:lang w:val="fr-FR"/>
        </w:rPr>
        <w:t xml:space="preserve"> à l'aide du logiciel de saisie du Bureau. Le Comité a noté que la Résolution </w:t>
      </w:r>
      <w:r w:rsidRPr="00BD44F6">
        <w:rPr>
          <w:rFonts w:eastAsiaTheme="minorEastAsia"/>
          <w:b/>
          <w:bCs/>
          <w:lang w:val="fr-FR"/>
        </w:rPr>
        <w:t>121 (CMR-23)</w:t>
      </w:r>
      <w:r w:rsidRPr="00BD44F6">
        <w:rPr>
          <w:rFonts w:eastAsiaTheme="minorEastAsia"/>
          <w:lang w:val="fr-FR"/>
        </w:rPr>
        <w:t xml:space="preserve"> indique que les renseignements devraient être publiés dans une Section spéciale, alors que la Résolution </w:t>
      </w:r>
      <w:r w:rsidRPr="00BD44F6">
        <w:rPr>
          <w:rFonts w:eastAsiaTheme="minorEastAsia"/>
          <w:b/>
          <w:bCs/>
          <w:lang w:val="fr-FR"/>
        </w:rPr>
        <w:t>123 (CMR</w:t>
      </w:r>
      <w:r w:rsidRPr="00BD44F6">
        <w:rPr>
          <w:rFonts w:eastAsiaTheme="minorEastAsia"/>
          <w:b/>
          <w:bCs/>
          <w:lang w:val="fr-FR"/>
        </w:rPr>
        <w:noBreakHyphen/>
        <w:t>23)</w:t>
      </w:r>
      <w:r w:rsidRPr="00BD44F6">
        <w:rPr>
          <w:rFonts w:eastAsiaTheme="minorEastAsia"/>
          <w:lang w:val="fr-FR"/>
        </w:rPr>
        <w:t xml:space="preserve"> ne le fait pas.</w:t>
      </w:r>
    </w:p>
    <w:p w14:paraId="58074488" w14:textId="77777777" w:rsidR="00BD44F6" w:rsidRDefault="00BD44F6" w:rsidP="00BD44F6">
      <w:pPr>
        <w:spacing w:before="120"/>
        <w:rPr>
          <w:rFonts w:eastAsiaTheme="minorEastAsia"/>
          <w:lang w:val="fr-FR"/>
        </w:rPr>
        <w:sectPr w:rsidR="00BD44F6" w:rsidSect="000D19B4">
          <w:headerReference w:type="default" r:id="rId9"/>
          <w:footnotePr>
            <w:pos w:val="beneathText"/>
          </w:footnotePr>
          <w:pgSz w:w="11907" w:h="16840" w:code="9"/>
          <w:pgMar w:top="1701" w:right="851" w:bottom="1134" w:left="1985" w:header="720" w:footer="482" w:gutter="0"/>
          <w:cols w:space="720"/>
          <w:vAlign w:val="both"/>
        </w:sectPr>
      </w:pPr>
    </w:p>
    <w:p w14:paraId="22C7A2B6" w14:textId="77777777" w:rsidR="00BD44F6" w:rsidRPr="00BD44F6" w:rsidRDefault="00BD44F6" w:rsidP="00BD44F6">
      <w:pPr>
        <w:rPr>
          <w:rFonts w:eastAsiaTheme="minorEastAsia"/>
          <w:lang w:val="fr-FR"/>
        </w:rPr>
      </w:pPr>
      <w:r w:rsidRPr="00BD44F6">
        <w:rPr>
          <w:rFonts w:eastAsiaTheme="minorEastAsia"/>
          <w:lang w:val="fr-FR"/>
        </w:rPr>
        <w:lastRenderedPageBreak/>
        <w:t xml:space="preserve">Toutefois, le Comité croit comprendre que tous les renseignements exigés au titre de l'Appendice </w:t>
      </w:r>
      <w:r w:rsidRPr="00BD44F6">
        <w:rPr>
          <w:rFonts w:eastAsiaTheme="minorEastAsia"/>
          <w:b/>
          <w:bCs/>
          <w:lang w:val="fr-FR"/>
        </w:rPr>
        <w:t>4</w:t>
      </w:r>
      <w:r w:rsidRPr="00BD44F6">
        <w:rPr>
          <w:rFonts w:eastAsiaTheme="minorEastAsia"/>
          <w:lang w:val="fr-FR"/>
        </w:rPr>
        <w:t xml:space="preserve"> doivent être publiés, mais pas nécessairement dans une Section spéciale. En conséquence, le Comité a conclu que le Bureau devait inclure les renseignements dans une base de données de référence, les mettre à disposition sur son site web et les publier, avec d'autres données relevant de l'Appendice </w:t>
      </w:r>
      <w:r w:rsidRPr="00BD44F6">
        <w:rPr>
          <w:rFonts w:eastAsiaTheme="minorEastAsia"/>
          <w:b/>
          <w:bCs/>
          <w:lang w:val="fr-FR"/>
        </w:rPr>
        <w:t>4</w:t>
      </w:r>
      <w:r w:rsidRPr="00BD44F6">
        <w:rPr>
          <w:rFonts w:eastAsiaTheme="minorEastAsia"/>
          <w:lang w:val="fr-FR"/>
        </w:rPr>
        <w:t>, dans une Section spéciale pertinente ou dans une partie de sa Circulaire internationale d'information sur les fréquences (BR IFIC).</w:t>
      </w:r>
    </w:p>
    <w:p w14:paraId="2C8892B2" w14:textId="77777777" w:rsidR="00A42418" w:rsidRPr="00217E8A" w:rsidRDefault="00A42418">
      <w:pPr>
        <w:pStyle w:val="Heading9"/>
        <w:rPr>
          <w:color w:val="000000"/>
          <w:lang w:val="fr-FR"/>
        </w:rPr>
      </w:pPr>
      <w:r w:rsidRPr="00217E8A">
        <w:rPr>
          <w:color w:val="000000"/>
          <w:lang w:val="fr-FR"/>
        </w:rPr>
        <w:t xml:space="preserve">B.4 </w:t>
      </w:r>
      <w:r w:rsidRPr="00217E8A">
        <w:rPr>
          <w:i/>
          <w:color w:val="000000"/>
          <w:lang w:val="fr-FR"/>
        </w:rPr>
        <w:t>a)</w:t>
      </w:r>
    </w:p>
    <w:p w14:paraId="0E707130" w14:textId="77777777" w:rsidR="00A42418" w:rsidRPr="00217E8A" w:rsidRDefault="00A42418" w:rsidP="00217E8A">
      <w:pPr>
        <w:rPr>
          <w:color w:val="000000"/>
          <w:lang w:val="fr-FR"/>
        </w:rPr>
      </w:pPr>
      <w:r w:rsidRPr="00217E8A">
        <w:rPr>
          <w:color w:val="000000"/>
          <w:lang w:val="fr-FR"/>
        </w:rPr>
        <w:t xml:space="preserve">Lors de la soumission d'une fiche de notification dans le cadre des procédures applicables des Articles </w:t>
      </w:r>
      <w:r w:rsidRPr="00217E8A">
        <w:rPr>
          <w:rStyle w:val="Artref"/>
          <w:b/>
          <w:bCs/>
          <w:color w:val="000000"/>
          <w:lang w:val="fr-FR"/>
        </w:rPr>
        <w:t>9</w:t>
      </w:r>
      <w:r w:rsidRPr="00217E8A">
        <w:rPr>
          <w:color w:val="000000"/>
          <w:lang w:val="fr-FR"/>
        </w:rPr>
        <w:t xml:space="preserve"> ou </w:t>
      </w:r>
      <w:r w:rsidRPr="00217E8A">
        <w:rPr>
          <w:rStyle w:val="Artref"/>
          <w:b/>
          <w:bCs/>
          <w:color w:val="000000"/>
          <w:lang w:val="fr-FR"/>
        </w:rPr>
        <w:t>11</w:t>
      </w:r>
      <w:r w:rsidRPr="00217E8A">
        <w:rPr>
          <w:color w:val="000000"/>
          <w:lang w:val="fr-FR"/>
        </w:rPr>
        <w:t>, pour mieux décrire les contours à la surface de la Terre de la puissance surfacique rayonnée par une station spatiale placée à bord d'un satellite non OSG en orbite circulaire, les renseignements suivants peuvent être fournis à titre facultatif, avec les autres données figurant dans l'Appendice </w:t>
      </w:r>
      <w:proofErr w:type="gramStart"/>
      <w:r w:rsidRPr="00217E8A">
        <w:rPr>
          <w:rStyle w:val="Appref"/>
          <w:b/>
          <w:bCs/>
          <w:color w:val="000000"/>
          <w:lang w:val="fr-FR"/>
        </w:rPr>
        <w:t>4</w:t>
      </w:r>
      <w:r w:rsidRPr="00217E8A">
        <w:rPr>
          <w:color w:val="000000"/>
          <w:lang w:val="fr-FR"/>
        </w:rPr>
        <w:t>:</w:t>
      </w:r>
      <w:proofErr w:type="gramEnd"/>
    </w:p>
    <w:p w14:paraId="0AB2EC99" w14:textId="77777777" w:rsidR="00A42418" w:rsidRPr="00217E8A" w:rsidRDefault="00A42418" w:rsidP="00217E8A">
      <w:pPr>
        <w:rPr>
          <w:color w:val="000000"/>
          <w:lang w:val="fr-FR"/>
        </w:rPr>
      </w:pPr>
      <w:r w:rsidRPr="00217E8A">
        <w:rPr>
          <w:b/>
          <w:color w:val="000000"/>
          <w:lang w:val="fr-FR"/>
        </w:rPr>
        <w:t xml:space="preserve">Appendice </w:t>
      </w:r>
      <w:r w:rsidRPr="00217E8A">
        <w:rPr>
          <w:rStyle w:val="Appref"/>
          <w:b/>
          <w:bCs/>
          <w:color w:val="000000"/>
          <w:lang w:val="fr-FR"/>
        </w:rPr>
        <w:t>4</w:t>
      </w:r>
      <w:r w:rsidRPr="00217E8A">
        <w:rPr>
          <w:b/>
          <w:color w:val="000000"/>
          <w:lang w:val="fr-FR"/>
        </w:rPr>
        <w:t>, Annexe 2A, §</w:t>
      </w:r>
      <w:r w:rsidR="00217E8A" w:rsidRPr="00217E8A">
        <w:rPr>
          <w:b/>
          <w:color w:val="000000"/>
          <w:lang w:val="fr-FR"/>
        </w:rPr>
        <w:t> </w:t>
      </w:r>
      <w:r w:rsidRPr="00217E8A">
        <w:rPr>
          <w:b/>
          <w:color w:val="000000"/>
          <w:lang w:val="fr-FR"/>
        </w:rPr>
        <w:t xml:space="preserve">B.4 </w:t>
      </w:r>
      <w:r w:rsidRPr="00217E8A">
        <w:rPr>
          <w:b/>
          <w:i/>
          <w:color w:val="000000"/>
          <w:lang w:val="fr-FR"/>
        </w:rPr>
        <w:t>a)</w:t>
      </w:r>
      <w:r w:rsidRPr="00217E8A">
        <w:rPr>
          <w:color w:val="000000"/>
          <w:lang w:val="fr-FR"/>
        </w:rPr>
        <w:t xml:space="preserve"> (caractéristiques d'antenne pour une station spatiale placée à bord d'un satellite non</w:t>
      </w:r>
      <w:r w:rsidR="00217E8A" w:rsidRPr="00217E8A">
        <w:rPr>
          <w:color w:val="000000"/>
          <w:lang w:val="fr-FR"/>
        </w:rPr>
        <w:t> </w:t>
      </w:r>
      <w:r w:rsidRPr="00217E8A">
        <w:rPr>
          <w:color w:val="000000"/>
          <w:lang w:val="fr-FR"/>
        </w:rPr>
        <w:t>OSG)</w:t>
      </w:r>
    </w:p>
    <w:p w14:paraId="0D2B58DD" w14:textId="77777777" w:rsidR="00A42418" w:rsidRPr="00217E8A" w:rsidRDefault="00A42418" w:rsidP="00217E8A">
      <w:pPr>
        <w:rPr>
          <w:lang w:val="fr-FR"/>
        </w:rPr>
      </w:pPr>
      <w:r w:rsidRPr="00217E8A">
        <w:rPr>
          <w:lang w:val="fr-FR"/>
        </w:rPr>
        <w:t>1</w:t>
      </w:r>
      <w:r w:rsidRPr="00217E8A">
        <w:rPr>
          <w:lang w:val="fr-FR"/>
        </w:rPr>
        <w:tab/>
        <w:t xml:space="preserve">En complément des renseignements actuellement requis au titre de ce point de l'Appendice </w:t>
      </w:r>
      <w:r w:rsidRPr="00217E8A">
        <w:rPr>
          <w:rStyle w:val="Appref"/>
          <w:b/>
          <w:bCs/>
          <w:color w:val="000000"/>
          <w:lang w:val="fr-FR"/>
        </w:rPr>
        <w:t>4</w:t>
      </w:r>
      <w:r w:rsidRPr="00217E8A">
        <w:rPr>
          <w:lang w:val="fr-FR"/>
        </w:rPr>
        <w:t xml:space="preserve">, indiquer si </w:t>
      </w:r>
      <w:proofErr w:type="gramStart"/>
      <w:r w:rsidRPr="00217E8A">
        <w:rPr>
          <w:lang w:val="fr-FR"/>
        </w:rPr>
        <w:t>nécessaire:</w:t>
      </w:r>
      <w:proofErr w:type="gramEnd"/>
    </w:p>
    <w:p w14:paraId="52FCE15D" w14:textId="77777777" w:rsidR="00A42418" w:rsidRPr="00217E8A" w:rsidRDefault="00A42418" w:rsidP="00217E8A">
      <w:pPr>
        <w:pStyle w:val="enumlev1"/>
        <w:ind w:left="0" w:firstLine="0"/>
        <w:rPr>
          <w:lang w:val="fr-FR"/>
        </w:rPr>
      </w:pPr>
      <w:r w:rsidRPr="00217E8A">
        <w:rPr>
          <w:lang w:val="fr-FR"/>
        </w:rPr>
        <w:t>1.1</w:t>
      </w:r>
      <w:r w:rsidRPr="00217E8A">
        <w:rPr>
          <w:lang w:val="fr-FR"/>
        </w:rPr>
        <w:tab/>
        <w:t>dans le cas d'une station spatiale d'émission placée à bord d'un satellite non OSG en orbite circulaire, destinée à communiquer avec des stations terriennes au moyen d'une antenne d'émission pointée dans une direction fixe par rapport au satellite, le gain isotrope maximal (dBi) et les contours de gain de l'antenne tracés dans une projection radiale à partir du satellite et sur un plan perpendiculaire à l'axe joignant le centre de la Terre au satellite. Les contours de gain d'antenne de la station spatiale doivent être tracés comme des courbes d'égale valeur du gain isotrope au moins pour –2, –</w:t>
      </w:r>
      <w:r w:rsidR="00217E8A" w:rsidRPr="00217E8A">
        <w:rPr>
          <w:rFonts w:ascii="Tms Rmn" w:hAnsi="Tms Rmn"/>
          <w:sz w:val="4"/>
          <w:szCs w:val="4"/>
          <w:lang w:val="fr-FR"/>
        </w:rPr>
        <w:t> </w:t>
      </w:r>
      <w:r w:rsidRPr="00217E8A">
        <w:rPr>
          <w:lang w:val="fr-FR"/>
        </w:rPr>
        <w:t>4, –6, –10 et –12 dB et ainsi de suite de 10 dB en 10</w:t>
      </w:r>
      <w:r w:rsidR="00217E8A" w:rsidRPr="00217E8A">
        <w:rPr>
          <w:lang w:val="fr-FR"/>
        </w:rPr>
        <w:t> </w:t>
      </w:r>
      <w:r w:rsidRPr="00217E8A">
        <w:rPr>
          <w:lang w:val="fr-FR"/>
        </w:rPr>
        <w:t xml:space="preserve">dB, si nécessaire, par rapport au gain d'antenne maximal, lorsque l'un quelconque de ces contours est situé, en totalité ou en partie, dans les limites de visibilité de la Terre à partir du satellite non OSG en </w:t>
      </w:r>
      <w:proofErr w:type="gramStart"/>
      <w:r w:rsidRPr="00217E8A">
        <w:rPr>
          <w:lang w:val="fr-FR"/>
        </w:rPr>
        <w:t>question;</w:t>
      </w:r>
      <w:proofErr w:type="gramEnd"/>
    </w:p>
    <w:p w14:paraId="4A5E86C6" w14:textId="77777777" w:rsidR="00A42418" w:rsidRPr="00217E8A" w:rsidRDefault="00A42418" w:rsidP="00217E8A">
      <w:pPr>
        <w:pStyle w:val="enumlev1"/>
        <w:ind w:left="0" w:firstLine="0"/>
        <w:rPr>
          <w:lang w:val="fr-FR"/>
        </w:rPr>
      </w:pPr>
      <w:r w:rsidRPr="00217E8A">
        <w:rPr>
          <w:lang w:val="fr-FR"/>
        </w:rPr>
        <w:t>1.2</w:t>
      </w:r>
      <w:r w:rsidRPr="00217E8A">
        <w:rPr>
          <w:lang w:val="fr-FR"/>
        </w:rPr>
        <w:tab/>
        <w:t xml:space="preserve">dans le cas d'une station spatiale placée à bord d'un satellite non OSG en orbite circulaire où un faisceau orientable est utilisé, les données relatives aux caractéristiques de rayonnement de l'antenne sont fournies comme </w:t>
      </w:r>
      <w:proofErr w:type="gramStart"/>
      <w:r w:rsidRPr="00217E8A">
        <w:rPr>
          <w:lang w:val="fr-FR"/>
        </w:rPr>
        <w:t>suit:</w:t>
      </w:r>
      <w:proofErr w:type="gramEnd"/>
    </w:p>
    <w:p w14:paraId="2765398A" w14:textId="77777777" w:rsidR="00A42418" w:rsidRPr="00217E8A" w:rsidRDefault="00A42418" w:rsidP="00217E8A">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xml:space="preserve">) est identique à la zone de service mondiale ou quasi mondiale, ne fournir que le gain isotrope d'antenne maximal (dBi), qui s'applique à tous les points de la surface visible de la </w:t>
      </w:r>
      <w:proofErr w:type="gramStart"/>
      <w:r w:rsidRPr="00217E8A">
        <w:rPr>
          <w:lang w:val="fr-FR"/>
        </w:rPr>
        <w:t>Terre;</w:t>
      </w:r>
      <w:proofErr w:type="gramEnd"/>
    </w:p>
    <w:p w14:paraId="715D3447" w14:textId="77777777" w:rsidR="00A42418" w:rsidRPr="00217E8A" w:rsidRDefault="00A42418" w:rsidP="00D53BE0">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moindre que la zone de service mondiale ou quasi mondiale, fournir le gain isotrope maximal et les contours de gain équivalents (voir le numéro</w:t>
      </w:r>
      <w:r w:rsidR="00D53BE0">
        <w:rPr>
          <w:lang w:val="fr-FR"/>
        </w:rPr>
        <w:t> </w:t>
      </w:r>
      <w:r w:rsidRPr="00217E8A">
        <w:rPr>
          <w:rStyle w:val="Artref"/>
          <w:b/>
          <w:bCs/>
          <w:color w:val="000000"/>
          <w:lang w:val="fr-FR"/>
        </w:rPr>
        <w:t>1.176</w:t>
      </w:r>
      <w:r w:rsidRPr="00217E8A">
        <w:rPr>
          <w:lang w:val="fr-FR"/>
        </w:rPr>
        <w:t>), tels qu'ils sont définis ci-dessus.</w:t>
      </w:r>
    </w:p>
    <w:p w14:paraId="1FAB7D22" w14:textId="77777777" w:rsidR="00A42418" w:rsidRPr="00217E8A" w:rsidRDefault="00A42418" w:rsidP="00217E8A">
      <w:pPr>
        <w:spacing w:before="160"/>
        <w:rPr>
          <w:color w:val="000000"/>
          <w:lang w:val="fr-FR"/>
        </w:rPr>
      </w:pPr>
      <w:r w:rsidRPr="00217E8A">
        <w:rPr>
          <w:color w:val="000000"/>
          <w:lang w:val="fr-FR"/>
        </w:rPr>
        <w:t>2</w:t>
      </w:r>
      <w:r w:rsidRPr="00217E8A">
        <w:rPr>
          <w:color w:val="000000"/>
          <w:lang w:val="fr-FR"/>
        </w:rPr>
        <w:tab/>
        <w:t xml:space="preserve">Les renseignements supplémentaires indiqués aux § 1.1 et 1.2 ci-dessus sont demandés à titre facultatif. Lors de l'examen d'un cas de ce genre, le Bureau utilisera les renseignements les plus détaillés qui lui seront fournis pour calculer les valeurs de puissance </w:t>
      </w:r>
      <w:proofErr w:type="gramStart"/>
      <w:r w:rsidRPr="00217E8A">
        <w:rPr>
          <w:color w:val="000000"/>
          <w:lang w:val="fr-FR"/>
        </w:rPr>
        <w:t>surfacique;</w:t>
      </w:r>
      <w:proofErr w:type="gramEnd"/>
      <w:r w:rsidRPr="00217E8A">
        <w:rPr>
          <w:color w:val="000000"/>
          <w:lang w:val="fr-FR"/>
        </w:rPr>
        <w:t xml:space="preserve"> en l'absence de tels renseignements, le calcul sera effectué selon les modalités actuelles sur la base de la p.i.r.e. maximale émise.</w:t>
      </w:r>
    </w:p>
    <w:p w14:paraId="66595A34" w14:textId="77777777" w:rsidR="00BD44F6" w:rsidRDefault="00BD44F6">
      <w:pPr>
        <w:rPr>
          <w:lang w:val="fr-FR"/>
        </w:rPr>
        <w:sectPr w:rsidR="00BD44F6">
          <w:headerReference w:type="first" r:id="rId10"/>
          <w:footnotePr>
            <w:pos w:val="beneathText"/>
          </w:footnotePr>
          <w:type w:val="oddPage"/>
          <w:pgSz w:w="11907" w:h="16840" w:code="9"/>
          <w:pgMar w:top="1701" w:right="851" w:bottom="1134" w:left="1985" w:header="720" w:footer="482" w:gutter="0"/>
          <w:cols w:space="720"/>
          <w:vAlign w:val="both"/>
          <w:titlePg/>
        </w:sectPr>
      </w:pPr>
    </w:p>
    <w:p w14:paraId="6FC2AF1C" w14:textId="77777777" w:rsidR="00BD44F6" w:rsidRPr="00F82642" w:rsidRDefault="00BD44F6" w:rsidP="00BD44F6">
      <w:pPr>
        <w:keepNext/>
        <w:keepLines/>
        <w:pBdr>
          <w:top w:val="single" w:sz="6" w:space="1" w:color="auto"/>
          <w:left w:val="single" w:sz="6" w:space="1" w:color="auto"/>
          <w:bottom w:val="single" w:sz="6" w:space="1" w:color="auto"/>
          <w:right w:val="single" w:sz="6" w:space="14" w:color="auto"/>
        </w:pBdr>
        <w:spacing w:before="280"/>
        <w:ind w:left="85" w:right="7768"/>
        <w:outlineLvl w:val="8"/>
        <w:rPr>
          <w:rFonts w:asciiTheme="majorBidi" w:hAnsiTheme="majorBidi" w:cstheme="majorBidi"/>
          <w:b/>
          <w:color w:val="000000"/>
        </w:rPr>
      </w:pPr>
      <w:r w:rsidRPr="00F82642">
        <w:rPr>
          <w:rFonts w:asciiTheme="majorBidi" w:hAnsiTheme="majorBidi" w:cstheme="majorBidi"/>
          <w:b/>
          <w:color w:val="000000"/>
        </w:rPr>
        <w:lastRenderedPageBreak/>
        <w:t>C.8.a.2, C.8.b.2, C.8.c.1, C.8.c.3</w:t>
      </w:r>
      <w:r>
        <w:rPr>
          <w:rFonts w:asciiTheme="majorBidi" w:hAnsiTheme="majorBidi" w:cstheme="majorBidi"/>
          <w:b/>
          <w:color w:val="000000"/>
        </w:rPr>
        <w:tab/>
      </w:r>
      <w:r>
        <w:rPr>
          <w:rFonts w:asciiTheme="majorBidi" w:hAnsiTheme="majorBidi" w:cstheme="majorBidi"/>
          <w:b/>
          <w:color w:val="000000"/>
        </w:rPr>
        <w:tab/>
      </w:r>
      <w:r>
        <w:rPr>
          <w:rFonts w:asciiTheme="majorBidi" w:hAnsiTheme="majorBidi" w:cstheme="majorBidi"/>
          <w:b/>
          <w:color w:val="000000"/>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2179A973" w14:textId="2EBD3021" w:rsidR="00BD44F6" w:rsidRPr="00BD44F6" w:rsidRDefault="00BD44F6" w:rsidP="00146554">
      <w:pPr>
        <w:spacing w:before="120"/>
        <w:rPr>
          <w:lang w:val="fr-FR"/>
        </w:rPr>
      </w:pPr>
      <w:r w:rsidRPr="00BD44F6">
        <w:rPr>
          <w:lang w:val="fr-FR"/>
        </w:rPr>
        <w:t xml:space="preserve">Le Bureau des radiocommunications a préalablement étudié le problème lié aux caractéristiques excessives ou irréalistes figurant dans les fiches de notification dans le rapport du Directeur à la CMR-15 (voir le § 3.2.3.9 de la Révision 1 de l'Addendum 2 au Document </w:t>
      </w:r>
      <w:hyperlink r:id="rId11" w:history="1">
        <w:r w:rsidRPr="00BD44F6">
          <w:rPr>
            <w:color w:val="0000FF" w:themeColor="hyperlink"/>
            <w:szCs w:val="24"/>
            <w:u w:val="single"/>
            <w:lang w:val="fr-FR"/>
          </w:rPr>
          <w:t>CMR15/4</w:t>
        </w:r>
      </w:hyperlink>
      <w:r w:rsidRPr="00BD44F6">
        <w:rPr>
          <w:lang w:val="fr-FR"/>
        </w:rPr>
        <w:t>) et à la CMR</w:t>
      </w:r>
      <w:r w:rsidRPr="00BD44F6">
        <w:rPr>
          <w:lang w:val="fr-FR"/>
        </w:rPr>
        <w:noBreakHyphen/>
        <w:t>19 (voir le §</w:t>
      </w:r>
      <w:r>
        <w:rPr>
          <w:lang w:val="fr-FR"/>
        </w:rPr>
        <w:t> </w:t>
      </w:r>
      <w:r w:rsidRPr="00BD44F6">
        <w:rPr>
          <w:lang w:val="fr-FR"/>
        </w:rPr>
        <w:t>3.4.3 de l'Addendum 2 au Document</w:t>
      </w:r>
      <w:r>
        <w:rPr>
          <w:lang w:val="fr-FR"/>
        </w:rPr>
        <w:t> </w:t>
      </w:r>
      <w:hyperlink r:id="rId12" w:history="1">
        <w:r w:rsidRPr="00BD44F6">
          <w:rPr>
            <w:color w:val="0000FF" w:themeColor="hyperlink"/>
            <w:szCs w:val="24"/>
            <w:u w:val="single"/>
            <w:lang w:val="fr-FR"/>
          </w:rPr>
          <w:t>CMR19/4</w:t>
        </w:r>
      </w:hyperlink>
      <w:r w:rsidRPr="00BD44F6">
        <w:rPr>
          <w:lang w:val="fr-FR"/>
        </w:rPr>
        <w:t xml:space="preserve">). Les deux conférences ont souscrit en général à l'idée de soulever ces questions (voir les Documents </w:t>
      </w:r>
      <w:hyperlink r:id="rId13" w:history="1">
        <w:r w:rsidRPr="00BD44F6">
          <w:rPr>
            <w:color w:val="0000FF" w:themeColor="hyperlink"/>
            <w:szCs w:val="24"/>
            <w:u w:val="single"/>
            <w:lang w:val="fr-FR"/>
          </w:rPr>
          <w:t>CMR15/505</w:t>
        </w:r>
      </w:hyperlink>
      <w:r w:rsidRPr="00BD44F6">
        <w:rPr>
          <w:lang w:val="fr-FR"/>
        </w:rPr>
        <w:t xml:space="preserve"> et </w:t>
      </w:r>
      <w:hyperlink r:id="rId14" w:history="1">
        <w:r w:rsidRPr="00BD44F6">
          <w:rPr>
            <w:color w:val="0000FF" w:themeColor="hyperlink"/>
            <w:szCs w:val="24"/>
            <w:u w:val="single"/>
            <w:lang w:val="fr-FR"/>
          </w:rPr>
          <w:t>CMR19/451</w:t>
        </w:r>
      </w:hyperlink>
      <w:r w:rsidRPr="00BD44F6">
        <w:rPr>
          <w:lang w:val="fr-FR"/>
        </w:rPr>
        <w:t>) et ont invité l'UIT-R à examiner les paramètres évoqués dans ces paragraphes des rapports.</w:t>
      </w:r>
    </w:p>
    <w:p w14:paraId="53665573" w14:textId="17366F4F" w:rsidR="00BD44F6" w:rsidRPr="00BD44F6" w:rsidRDefault="00BD44F6" w:rsidP="00146554">
      <w:pPr>
        <w:spacing w:before="120"/>
        <w:rPr>
          <w:lang w:val="fr-FR"/>
        </w:rPr>
      </w:pPr>
      <w:r w:rsidRPr="00BD44F6">
        <w:rPr>
          <w:lang w:val="fr-FR"/>
        </w:rPr>
        <w:t xml:space="preserve">Bien qu'à l'époque cette question ait été soulevée en général, compte tenu de certaines soumissions particulières concernant des réseaux à satellite géostationnaire, le Bureau a observé une forte augmentation du nombre de soumissions concernant des systèmes à satellites non OSG présentant une très faible densité spectrale maximale émise (inférieure à </w:t>
      </w:r>
      <w:r>
        <w:rPr>
          <w:rFonts w:asciiTheme="majorBidi" w:hAnsiTheme="majorBidi" w:cstheme="majorBidi"/>
          <w:szCs w:val="24"/>
          <w:lang w:eastAsia="zh-CN"/>
        </w:rPr>
        <w:t>−</w:t>
      </w:r>
      <w:r w:rsidRPr="00BD44F6">
        <w:rPr>
          <w:lang w:val="fr-FR"/>
        </w:rPr>
        <w:t>100 dBW/Hz).</w:t>
      </w:r>
    </w:p>
    <w:p w14:paraId="17E91138" w14:textId="3B568293" w:rsidR="00BD44F6" w:rsidRPr="00BD44F6" w:rsidRDefault="00BD44F6" w:rsidP="00146554">
      <w:pPr>
        <w:spacing w:before="120"/>
        <w:rPr>
          <w:lang w:val="fr-FR"/>
        </w:rPr>
      </w:pPr>
      <w:r w:rsidRPr="00BD44F6">
        <w:rPr>
          <w:lang w:val="fr-FR"/>
        </w:rPr>
        <w:t xml:space="preserve">Compte tenu de ce qui précède, le Comité a décidé que les assignations de fréquence à des réseaux à satellite OSG présentant une densité spectrale en-dessous de </w:t>
      </w:r>
      <w:r>
        <w:rPr>
          <w:rFonts w:asciiTheme="majorBidi" w:hAnsiTheme="majorBidi" w:cstheme="majorBidi"/>
          <w:szCs w:val="24"/>
          <w:lang w:eastAsia="zh-CN"/>
        </w:rPr>
        <w:t>−</w:t>
      </w:r>
      <w:r w:rsidRPr="00BD44F6">
        <w:rPr>
          <w:lang w:val="fr-FR"/>
        </w:rPr>
        <w:t xml:space="preserve">100 dBW/Hz ne sont pas recevables, et que les assignations de fréquence à des systèmes à satellites ou réseaux à satellite non OSG présentant une densité spectrale en-dessous de </w:t>
      </w:r>
      <w:r>
        <w:rPr>
          <w:rFonts w:asciiTheme="majorBidi" w:hAnsiTheme="majorBidi" w:cstheme="majorBidi"/>
          <w:szCs w:val="24"/>
          <w:lang w:eastAsia="zh-CN"/>
        </w:rPr>
        <w:t>−</w:t>
      </w:r>
      <w:r w:rsidRPr="00BD44F6">
        <w:rPr>
          <w:lang w:val="fr-FR"/>
        </w:rPr>
        <w:t>100</w:t>
      </w:r>
      <w:r>
        <w:rPr>
          <w:lang w:val="fr-FR"/>
        </w:rPr>
        <w:t> </w:t>
      </w:r>
      <w:r w:rsidRPr="00BD44F6">
        <w:rPr>
          <w:lang w:val="fr-FR"/>
        </w:rPr>
        <w:t xml:space="preserve">dBW/Hz sont uniquement recevables si des précisions sont fournies au Bureau sur l'utilisation d'une densité spectrale très faible (par exemple, le mode d'exploitation, l'utilisation de techniques d'étalement du spectre, etc.), ainsi qu'un exemple de calcul du bilan de liaison montrant que l'objectif de rapport </w:t>
      </w:r>
      <w:r w:rsidRPr="00BD44F6">
        <w:rPr>
          <w:i/>
          <w:iCs/>
          <w:lang w:val="fr-FR"/>
        </w:rPr>
        <w:t>C</w:t>
      </w:r>
      <w:r w:rsidRPr="00BD44F6">
        <w:rPr>
          <w:lang w:val="fr-FR"/>
        </w:rPr>
        <w:t>/</w:t>
      </w:r>
      <w:r w:rsidRPr="00BD44F6">
        <w:rPr>
          <w:i/>
          <w:iCs/>
          <w:lang w:val="fr-FR"/>
        </w:rPr>
        <w:t>N</w:t>
      </w:r>
      <w:r w:rsidRPr="00BD44F6">
        <w:rPr>
          <w:lang w:val="fr-FR"/>
        </w:rPr>
        <w:t xml:space="preserve"> requis soumis est atteint avec une marge de brouillage suffisante.</w:t>
      </w:r>
    </w:p>
    <w:p w14:paraId="20D38565" w14:textId="77777777" w:rsidR="00146554" w:rsidRPr="00F82642" w:rsidRDefault="00146554" w:rsidP="00146554">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C.8.b.3.c</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4D19C58B" w14:textId="2B44EBF2" w:rsidR="00146554" w:rsidRPr="00146554" w:rsidRDefault="00146554" w:rsidP="00146554">
      <w:pPr>
        <w:spacing w:before="120"/>
        <w:rPr>
          <w:lang w:val="fr-FR"/>
        </w:rPr>
      </w:pPr>
      <w:r w:rsidRPr="00146554">
        <w:rPr>
          <w:lang w:val="fr-FR"/>
        </w:rPr>
        <w:t>Le Comité a noté que la Conférence mondiale des radiocommunications (Dubaï, 2023) (CMR-23) a ajouté l'élément de données C.8.b.3.c pour que les administrations notificatrices soumettent la largeur de bande nécessaire pour les capteurs actifs. La CMR-23 a rendu la soumission de cet élément de données obligatoire uniquement pour les capteurs actifs fonctionnant dans le service d'exploration de la Terre par satellite (SETS) (active) dans les bandes de fréquences 9 200</w:t>
      </w:r>
      <w:r w:rsidRPr="00146554">
        <w:rPr>
          <w:lang w:val="fr-FR"/>
        </w:rPr>
        <w:noBreakHyphen/>
        <w:t>9 300 MHz et 9</w:t>
      </w:r>
      <w:r>
        <w:rPr>
          <w:lang w:val="fr-FR"/>
        </w:rPr>
        <w:t> </w:t>
      </w:r>
      <w:r w:rsidRPr="00146554">
        <w:rPr>
          <w:lang w:val="fr-FR"/>
        </w:rPr>
        <w:t>900-10</w:t>
      </w:r>
      <w:r>
        <w:rPr>
          <w:lang w:val="fr-FR"/>
        </w:rPr>
        <w:t> </w:t>
      </w:r>
      <w:r w:rsidRPr="00146554">
        <w:rPr>
          <w:lang w:val="fr-FR"/>
        </w:rPr>
        <w:t>400</w:t>
      </w:r>
      <w:r>
        <w:rPr>
          <w:lang w:val="fr-FR"/>
        </w:rPr>
        <w:t> </w:t>
      </w:r>
      <w:r w:rsidRPr="00146554">
        <w:rPr>
          <w:lang w:val="fr-FR"/>
        </w:rPr>
        <w:t>MHz.</w:t>
      </w:r>
    </w:p>
    <w:p w14:paraId="70BC4B9F" w14:textId="40D5BEA6" w:rsidR="00146554" w:rsidRPr="00146554" w:rsidRDefault="00146554" w:rsidP="00146554">
      <w:pPr>
        <w:spacing w:before="120"/>
        <w:rPr>
          <w:lang w:val="fr-FR"/>
        </w:rPr>
      </w:pPr>
      <w:r w:rsidRPr="00146554">
        <w:rPr>
          <w:lang w:val="fr-FR"/>
        </w:rPr>
        <w:t>Toutefois, pour que le Bureau soit en mesure d'examiner la conformité relativement aux numéros </w:t>
      </w:r>
      <w:r w:rsidRPr="00146554">
        <w:rPr>
          <w:b/>
          <w:bCs/>
          <w:lang w:val="fr-FR"/>
        </w:rPr>
        <w:t>5.475A</w:t>
      </w:r>
      <w:r w:rsidRPr="00146554">
        <w:rPr>
          <w:lang w:val="fr-FR"/>
        </w:rPr>
        <w:t xml:space="preserve"> et </w:t>
      </w:r>
      <w:r w:rsidRPr="00146554">
        <w:rPr>
          <w:b/>
          <w:bCs/>
          <w:lang w:val="fr-FR"/>
        </w:rPr>
        <w:t>5.478A</w:t>
      </w:r>
      <w:r w:rsidRPr="00146554">
        <w:rPr>
          <w:lang w:val="fr-FR"/>
        </w:rPr>
        <w:t>, le renseignement sur la largeur de bande nécessaire est également requis pour les capteurs actifs fonctionnant dans le SETS (active) et dans le service de recherche spatiale (active) lorsque les bandes de fréquences 9</w:t>
      </w:r>
      <w:r>
        <w:rPr>
          <w:lang w:val="fr-FR"/>
        </w:rPr>
        <w:t> </w:t>
      </w:r>
      <w:r w:rsidRPr="00146554">
        <w:rPr>
          <w:lang w:val="fr-FR"/>
        </w:rPr>
        <w:t>300-9</w:t>
      </w:r>
      <w:r>
        <w:rPr>
          <w:lang w:val="fr-FR"/>
        </w:rPr>
        <w:t> </w:t>
      </w:r>
      <w:r w:rsidRPr="00146554">
        <w:rPr>
          <w:lang w:val="fr-FR"/>
        </w:rPr>
        <w:t>500</w:t>
      </w:r>
      <w:r>
        <w:rPr>
          <w:lang w:val="fr-FR"/>
        </w:rPr>
        <w:t> </w:t>
      </w:r>
      <w:r w:rsidRPr="00146554">
        <w:rPr>
          <w:lang w:val="fr-FR"/>
        </w:rPr>
        <w:t>MHz et 9</w:t>
      </w:r>
      <w:r>
        <w:rPr>
          <w:lang w:val="fr-FR"/>
        </w:rPr>
        <w:t> </w:t>
      </w:r>
      <w:r w:rsidRPr="00146554">
        <w:rPr>
          <w:lang w:val="fr-FR"/>
        </w:rPr>
        <w:t>800-9</w:t>
      </w:r>
      <w:r>
        <w:rPr>
          <w:lang w:val="fr-FR"/>
        </w:rPr>
        <w:t> </w:t>
      </w:r>
      <w:r w:rsidRPr="00146554">
        <w:rPr>
          <w:lang w:val="fr-FR"/>
        </w:rPr>
        <w:t>900</w:t>
      </w:r>
      <w:r>
        <w:rPr>
          <w:lang w:val="fr-FR"/>
        </w:rPr>
        <w:t> </w:t>
      </w:r>
      <w:r w:rsidRPr="00146554">
        <w:rPr>
          <w:lang w:val="fr-FR"/>
        </w:rPr>
        <w:t>MHz sont utilisées.</w:t>
      </w:r>
    </w:p>
    <w:p w14:paraId="02AE02B5" w14:textId="1DF4D285" w:rsidR="00146554" w:rsidRPr="00146554" w:rsidRDefault="00146554" w:rsidP="00146554">
      <w:pPr>
        <w:spacing w:before="120"/>
        <w:rPr>
          <w:lang w:val="fr-FR"/>
        </w:rPr>
      </w:pPr>
      <w:r w:rsidRPr="00146554">
        <w:rPr>
          <w:lang w:val="fr-FR"/>
        </w:rPr>
        <w:t>Par conséquent, le Comité a décidé que le renseignement sur la largeur de bande nécessaire visé dans l'élément de données C.8.b.3.c est également requis pour les capteurs actifs fonctionnant dans le SETS (active) et dans le service de recherche spatiale (active) utilisant les bandes de fréquences 9 300-9</w:t>
      </w:r>
      <w:r>
        <w:rPr>
          <w:lang w:val="fr-FR"/>
        </w:rPr>
        <w:t> </w:t>
      </w:r>
      <w:r w:rsidRPr="00146554">
        <w:rPr>
          <w:lang w:val="fr-FR"/>
        </w:rPr>
        <w:t>500</w:t>
      </w:r>
      <w:r>
        <w:rPr>
          <w:lang w:val="fr-FR"/>
        </w:rPr>
        <w:t> </w:t>
      </w:r>
      <w:r w:rsidRPr="00146554">
        <w:rPr>
          <w:lang w:val="fr-FR"/>
        </w:rPr>
        <w:t>MHz et 9</w:t>
      </w:r>
      <w:r>
        <w:rPr>
          <w:lang w:val="fr-FR"/>
        </w:rPr>
        <w:t> </w:t>
      </w:r>
      <w:r w:rsidRPr="00146554">
        <w:rPr>
          <w:lang w:val="fr-FR"/>
        </w:rPr>
        <w:t>800-9</w:t>
      </w:r>
      <w:r>
        <w:rPr>
          <w:lang w:val="fr-FR"/>
        </w:rPr>
        <w:t> </w:t>
      </w:r>
      <w:r w:rsidRPr="00146554">
        <w:rPr>
          <w:lang w:val="fr-FR"/>
        </w:rPr>
        <w:t>900</w:t>
      </w:r>
      <w:r>
        <w:rPr>
          <w:lang w:val="fr-FR"/>
        </w:rPr>
        <w:t> </w:t>
      </w:r>
      <w:r w:rsidRPr="00146554">
        <w:rPr>
          <w:lang w:val="fr-FR"/>
        </w:rPr>
        <w:t>MHz au stade de la publication anticipée de renseignements au titre de la Section</w:t>
      </w:r>
      <w:r>
        <w:rPr>
          <w:lang w:val="fr-FR"/>
        </w:rPr>
        <w:t> </w:t>
      </w:r>
      <w:r w:rsidRPr="00146554">
        <w:rPr>
          <w:lang w:val="fr-FR"/>
        </w:rPr>
        <w:t xml:space="preserve">I de l'Article </w:t>
      </w:r>
      <w:r w:rsidRPr="00146554">
        <w:rPr>
          <w:b/>
          <w:bCs/>
          <w:lang w:val="fr-FR"/>
        </w:rPr>
        <w:t>9</w:t>
      </w:r>
      <w:r w:rsidRPr="00146554">
        <w:rPr>
          <w:lang w:val="fr-FR"/>
        </w:rPr>
        <w:t xml:space="preserve"> (pour les systèmes à satellites non géostationnaires), au stade de la demande de coordination (pour les réseaux à satellite géostationnaire) et au stade de la notification au titre de l'Article </w:t>
      </w:r>
      <w:r w:rsidRPr="00146554">
        <w:rPr>
          <w:b/>
          <w:bCs/>
          <w:lang w:val="fr-FR"/>
        </w:rPr>
        <w:t>11</w:t>
      </w:r>
      <w:r w:rsidRPr="00146554">
        <w:rPr>
          <w:lang w:val="fr-FR"/>
        </w:rPr>
        <w:t>.</w:t>
      </w:r>
    </w:p>
    <w:p w14:paraId="10EC4637" w14:textId="09B053FB" w:rsidR="00A42418" w:rsidRPr="00217E8A" w:rsidRDefault="00146554" w:rsidP="00146554">
      <w:pPr>
        <w:spacing w:before="120"/>
        <w:rPr>
          <w:lang w:val="fr-FR"/>
        </w:rPr>
      </w:pPr>
      <w:r w:rsidRPr="00146554">
        <w:rPr>
          <w:lang w:val="fr-FR"/>
        </w:rPr>
        <w:t xml:space="preserve">Voir également les Règles de procédure relatives aux numéros </w:t>
      </w:r>
      <w:r w:rsidRPr="00146554">
        <w:rPr>
          <w:b/>
          <w:bCs/>
          <w:lang w:val="fr-FR"/>
        </w:rPr>
        <w:t>5.474A</w:t>
      </w:r>
      <w:r w:rsidRPr="00146554">
        <w:rPr>
          <w:lang w:val="fr-FR"/>
        </w:rPr>
        <w:t xml:space="preserve">, </w:t>
      </w:r>
      <w:r w:rsidRPr="00146554">
        <w:rPr>
          <w:b/>
          <w:bCs/>
          <w:lang w:val="fr-FR"/>
        </w:rPr>
        <w:t xml:space="preserve">5.475A </w:t>
      </w:r>
      <w:r w:rsidRPr="00146554">
        <w:rPr>
          <w:lang w:val="fr-FR"/>
        </w:rPr>
        <w:t xml:space="preserve">et </w:t>
      </w:r>
      <w:r w:rsidRPr="00146554">
        <w:rPr>
          <w:b/>
          <w:bCs/>
          <w:lang w:val="fr-FR"/>
        </w:rPr>
        <w:t>5.478A</w:t>
      </w:r>
      <w:r w:rsidRPr="00146554">
        <w:rPr>
          <w:lang w:val="fr-FR"/>
        </w:rPr>
        <w:t>.</w:t>
      </w:r>
    </w:p>
    <w:p w14:paraId="2F44CA50" w14:textId="77777777" w:rsidR="00146554" w:rsidRDefault="00A42418" w:rsidP="00146554">
      <w:pPr>
        <w:spacing w:before="0"/>
        <w:jc w:val="center"/>
        <w:rPr>
          <w:color w:val="000000"/>
          <w:lang w:val="fr-FR"/>
        </w:rPr>
        <w:sectPr w:rsidR="00146554" w:rsidSect="00BD44F6">
          <w:headerReference w:type="first" r:id="rId15"/>
          <w:footnotePr>
            <w:pos w:val="beneathText"/>
          </w:footnotePr>
          <w:pgSz w:w="11907" w:h="16840" w:code="9"/>
          <w:pgMar w:top="1701" w:right="851" w:bottom="1134" w:left="1985" w:header="720" w:footer="482" w:gutter="0"/>
          <w:cols w:space="720"/>
          <w:vAlign w:val="both"/>
          <w:titlePg/>
        </w:sectPr>
      </w:pPr>
      <w:r w:rsidRPr="00217E8A">
        <w:rPr>
          <w:color w:val="000000"/>
          <w:lang w:val="fr-FR"/>
        </w:rPr>
        <w:t>____________________</w:t>
      </w:r>
    </w:p>
    <w:p w14:paraId="004681F7" w14:textId="058F8586" w:rsidR="00A42418" w:rsidRPr="00217E8A" w:rsidRDefault="00A42418" w:rsidP="00146554">
      <w:pPr>
        <w:spacing w:before="0"/>
        <w:jc w:val="center"/>
        <w:rPr>
          <w:lang w:val="fr-FR"/>
        </w:rPr>
      </w:pPr>
    </w:p>
    <w:sectPr w:rsidR="00A42418" w:rsidRPr="00217E8A" w:rsidSect="00BD44F6">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20FF7" w14:textId="77777777" w:rsidR="00541D30" w:rsidRDefault="00541D30">
      <w:r>
        <w:separator/>
      </w:r>
    </w:p>
  </w:endnote>
  <w:endnote w:type="continuationSeparator" w:id="0">
    <w:p w14:paraId="40C0D556" w14:textId="77777777" w:rsidR="00541D30" w:rsidRDefault="0054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492C9" w14:textId="77777777" w:rsidR="00541D30" w:rsidRDefault="00541D30">
      <w:r>
        <w:rPr>
          <w:b/>
        </w:rPr>
        <w:t>_______________</w:t>
      </w:r>
    </w:p>
  </w:footnote>
  <w:footnote w:type="continuationSeparator" w:id="0">
    <w:p w14:paraId="57993DF3" w14:textId="77777777" w:rsidR="00541D30" w:rsidRDefault="0054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12B3" w14:paraId="48774A8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2E18B73" w14:textId="58F5080E" w:rsidR="003412B3" w:rsidRDefault="003412B3">
          <w:pPr>
            <w:pStyle w:val="HeaderRegProc"/>
          </w:pPr>
          <w:r>
            <w:t>Partie A</w:t>
          </w:r>
          <w:r>
            <w:fldChar w:fldCharType="begin"/>
          </w:r>
          <w:r>
            <w:instrText>styleref href</w:instrText>
          </w:r>
          <w:r>
            <w:fldChar w:fldCharType="separate"/>
          </w:r>
          <w:r w:rsidR="004F71E5">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AF8BB3" w14:textId="5CBE7665" w:rsidR="003412B3" w:rsidRDefault="003F4F67">
          <w:pPr>
            <w:pStyle w:val="HeaderRegProc"/>
            <w:rPr>
              <w:lang w:val="fr-FR"/>
            </w:rPr>
          </w:pPr>
          <w:fldSimple w:instr=" DOCPROPERTY &quot;Header1&quot; \* MERGEFORMAT ">
            <w:r w:rsidR="004F71E5">
              <w:t>AP</w:t>
            </w:r>
          </w:fldSimple>
          <w:r w:rsidR="003412B3">
            <w:fldChar w:fldCharType="begin"/>
          </w:r>
          <w:r w:rsidR="003412B3">
            <w:instrText>styleref href2</w:instrText>
          </w:r>
          <w:r w:rsidR="003412B3">
            <w:fldChar w:fldCharType="separate"/>
          </w:r>
          <w:r w:rsidR="004F71E5">
            <w:rPr>
              <w:noProof/>
            </w:rPr>
            <w:t>4</w:t>
          </w:r>
          <w:r w:rsidR="003412B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8F3276" w14:textId="77777777" w:rsidR="003412B3" w:rsidRDefault="003412B3" w:rsidP="002C05F8">
          <w:pPr>
            <w:pStyle w:val="HeaderRegProc"/>
            <w:rPr>
              <w:lang w:val="fr-CH"/>
            </w:rPr>
          </w:pPr>
          <w:proofErr w:type="gramStart"/>
          <w:r>
            <w:rPr>
              <w:lang w:val="fr-FR"/>
            </w:rPr>
            <w:t>page</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8FA9F0" w14:textId="20355635" w:rsidR="003412B3" w:rsidRDefault="003412B3" w:rsidP="00A40A45">
          <w:pPr>
            <w:pStyle w:val="HeaderRegProc"/>
            <w:rPr>
              <w:lang w:val="fr-CH"/>
            </w:rPr>
          </w:pPr>
          <w:proofErr w:type="gramStart"/>
          <w:r>
            <w:rPr>
              <w:lang w:val="fr-CH"/>
            </w:rPr>
            <w:t>rév</w:t>
          </w:r>
          <w:proofErr w:type="gramEnd"/>
          <w:r>
            <w:rPr>
              <w:lang w:val="fr-CH"/>
            </w:rPr>
            <w:t>.</w:t>
          </w:r>
          <w:r>
            <w:t xml:space="preserve"> 1</w:t>
          </w:r>
        </w:p>
      </w:tc>
    </w:tr>
  </w:tbl>
  <w:p w14:paraId="237418C8" w14:textId="77777777" w:rsidR="003412B3" w:rsidRDefault="003412B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D19B4" w14:paraId="29C2B9B3" w14:textId="77777777"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14:paraId="5E27E2B3" w14:textId="77777777" w:rsidR="000D19B4" w:rsidRDefault="000D19B4"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B30CB36" w14:textId="76A868DD" w:rsidR="000D19B4" w:rsidRDefault="003F4F67" w:rsidP="00D66B04">
          <w:pPr>
            <w:pStyle w:val="HeaderRegProc"/>
            <w:jc w:val="left"/>
            <w:rPr>
              <w:color w:val="000000"/>
              <w:lang w:val="fr-CH"/>
            </w:rPr>
          </w:pPr>
          <w:fldSimple w:instr=" DOCPROPERTY &quot;Header1&quot; \* MERGEFORMAT ">
            <w:r w:rsidR="004F71E5">
              <w:t>AP</w:t>
            </w:r>
          </w:fldSimple>
          <w:r w:rsidR="000D19B4">
            <w:fldChar w:fldCharType="begin"/>
          </w:r>
          <w:r w:rsidR="000D19B4">
            <w:instrText>styleref href2</w:instrText>
          </w:r>
          <w:r w:rsidR="000D19B4">
            <w:fldChar w:fldCharType="separate"/>
          </w:r>
          <w:r w:rsidR="004F71E5">
            <w:rPr>
              <w:noProof/>
            </w:rPr>
            <w:t>4</w:t>
          </w:r>
          <w:r w:rsidR="000D19B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F0BCD1" w14:textId="77777777" w:rsidR="000D19B4" w:rsidRDefault="000D19B4" w:rsidP="00D66B04">
          <w:pPr>
            <w:pStyle w:val="HeaderRegProc"/>
            <w:jc w:val="left"/>
            <w:rPr>
              <w:color w:val="000000"/>
              <w:lang w:val="fr-CH"/>
            </w:rPr>
          </w:pPr>
          <w:proofErr w:type="gramStart"/>
          <w:r>
            <w:rPr>
              <w:color w:val="000000"/>
              <w:lang w:val="fr-CH"/>
            </w:rPr>
            <w:t>page</w:t>
          </w:r>
          <w:proofErr w:type="gramEnd"/>
          <w:r>
            <w:rPr>
              <w:color w:val="000000"/>
              <w:lang w:val="fr-CH"/>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8894D7" w14:textId="26E5ADD1" w:rsidR="000D19B4" w:rsidRDefault="000D19B4" w:rsidP="00D66B04">
          <w:pPr>
            <w:pStyle w:val="HeaderRegProc"/>
            <w:jc w:val="left"/>
            <w:rPr>
              <w:color w:val="000000"/>
              <w:lang w:val="fr-CH"/>
            </w:rPr>
          </w:pPr>
          <w:proofErr w:type="gramStart"/>
          <w:r>
            <w:rPr>
              <w:color w:val="000000"/>
              <w:lang w:val="fr-CH"/>
            </w:rPr>
            <w:t>rév</w:t>
          </w:r>
          <w:proofErr w:type="gramEnd"/>
          <w:r>
            <w:rPr>
              <w:color w:val="000000"/>
              <w:lang w:val="fr-CH"/>
            </w:rPr>
            <w:t>.</w:t>
          </w:r>
          <w:r w:rsidR="003412B3">
            <w:rPr>
              <w:color w:val="000000"/>
              <w:lang w:val="fr-CH"/>
            </w:rPr>
            <w:t xml:space="preserve"> 1</w:t>
          </w:r>
        </w:p>
      </w:tc>
    </w:tr>
  </w:tbl>
  <w:p w14:paraId="2E5AC758" w14:textId="77777777" w:rsidR="000D19B4" w:rsidRPr="00217E8A" w:rsidRDefault="000D19B4" w:rsidP="0021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D44F6" w14:paraId="66363F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254C065" w14:textId="6AD77543" w:rsidR="00BD44F6" w:rsidRDefault="00BD44F6">
          <w:pPr>
            <w:pStyle w:val="HeaderRegProc"/>
          </w:pPr>
          <w:r>
            <w:t>Partie A</w:t>
          </w:r>
          <w:r>
            <w:fldChar w:fldCharType="begin"/>
          </w:r>
          <w:r>
            <w:instrText>styleref href</w:instrText>
          </w:r>
          <w:r>
            <w:fldChar w:fldCharType="separate"/>
          </w:r>
          <w:r w:rsidR="004F71E5">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65CCB7" w14:textId="18AB7D52" w:rsidR="00BD44F6" w:rsidRDefault="00BD44F6">
          <w:pPr>
            <w:pStyle w:val="HeaderRegProc"/>
            <w:rPr>
              <w:lang w:val="fr-FR"/>
            </w:rPr>
          </w:pPr>
          <w:fldSimple w:instr=" DOCPROPERTY &quot;Header1&quot; \* MERGEFORMAT ">
            <w:r w:rsidR="004F71E5">
              <w:t>AP</w:t>
            </w:r>
          </w:fldSimple>
          <w:r>
            <w:fldChar w:fldCharType="begin"/>
          </w:r>
          <w:r>
            <w:instrText>styleref href2</w:instrText>
          </w:r>
          <w:r>
            <w:fldChar w:fldCharType="separate"/>
          </w:r>
          <w:r w:rsidR="004F71E5">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6B6338" w14:textId="77777777" w:rsidR="00BD44F6" w:rsidRDefault="00BD44F6" w:rsidP="002C05F8">
          <w:pPr>
            <w:pStyle w:val="HeaderRegProc"/>
            <w:rPr>
              <w:lang w:val="fr-CH"/>
            </w:rPr>
          </w:pPr>
          <w:proofErr w:type="gramStart"/>
          <w:r>
            <w:rPr>
              <w:lang w:val="fr-FR"/>
            </w:rPr>
            <w:t>page</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A33E9" w14:textId="1136ED14" w:rsidR="00BD44F6" w:rsidRDefault="00BD44F6" w:rsidP="00A40A45">
          <w:pPr>
            <w:pStyle w:val="HeaderRegProc"/>
            <w:rPr>
              <w:lang w:val="fr-CH"/>
            </w:rPr>
          </w:pPr>
          <w:proofErr w:type="gramStart"/>
          <w:r>
            <w:rPr>
              <w:lang w:val="fr-CH"/>
            </w:rPr>
            <w:t>rév</w:t>
          </w:r>
          <w:proofErr w:type="gramEnd"/>
          <w:r>
            <w:rPr>
              <w:lang w:val="fr-CH"/>
            </w:rPr>
            <w:t>.</w:t>
          </w:r>
          <w:r>
            <w:t xml:space="preserve"> 5</w:t>
          </w:r>
        </w:p>
      </w:tc>
    </w:tr>
  </w:tbl>
  <w:p w14:paraId="4A3FF9A2" w14:textId="77777777" w:rsidR="00BD44F6" w:rsidRDefault="00BD44F6">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12B3" w14:paraId="0943E4AF" w14:textId="77777777"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14:paraId="1EC77CA2" w14:textId="77777777" w:rsidR="003412B3" w:rsidRDefault="003412B3"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605159C" w14:textId="6686BAB1" w:rsidR="003412B3" w:rsidRDefault="003F4F67" w:rsidP="00D66B04">
          <w:pPr>
            <w:pStyle w:val="HeaderRegProc"/>
            <w:jc w:val="left"/>
            <w:rPr>
              <w:color w:val="000000"/>
              <w:lang w:val="fr-CH"/>
            </w:rPr>
          </w:pPr>
          <w:fldSimple w:instr=" DOCPROPERTY &quot;Header1&quot; \* MERGEFORMAT ">
            <w:r w:rsidR="004F71E5">
              <w:t>AP</w:t>
            </w:r>
          </w:fldSimple>
          <w:r w:rsidR="003412B3">
            <w:fldChar w:fldCharType="begin"/>
          </w:r>
          <w:r w:rsidR="003412B3">
            <w:instrText>styleref href2</w:instrText>
          </w:r>
          <w:r w:rsidR="003412B3">
            <w:fldChar w:fldCharType="separate"/>
          </w:r>
          <w:r w:rsidR="004F71E5">
            <w:rPr>
              <w:noProof/>
            </w:rPr>
            <w:t>4</w:t>
          </w:r>
          <w:r w:rsidR="003412B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1AFBCD" w14:textId="6D4D2B3E" w:rsidR="003412B3" w:rsidRDefault="003412B3" w:rsidP="00D66B04">
          <w:pPr>
            <w:pStyle w:val="HeaderRegProc"/>
            <w:jc w:val="left"/>
            <w:rPr>
              <w:color w:val="000000"/>
              <w:lang w:val="fr-CH"/>
            </w:rPr>
          </w:pPr>
          <w:proofErr w:type="gramStart"/>
          <w:r>
            <w:rPr>
              <w:color w:val="000000"/>
              <w:lang w:val="fr-CH"/>
            </w:rPr>
            <w:t>page</w:t>
          </w:r>
          <w:proofErr w:type="gramEnd"/>
          <w:r>
            <w:rPr>
              <w:color w:val="000000"/>
              <w:lang w:val="fr-CH"/>
            </w:rPr>
            <w:t xml:space="preserve"> </w:t>
          </w:r>
          <w:r w:rsidR="00BD44F6">
            <w:rPr>
              <w:rStyle w:val="PageNumber"/>
              <w:color w:val="000000"/>
            </w:rPr>
            <w:t>2</w:t>
          </w:r>
          <w:r w:rsidR="00BD44F6" w:rsidRPr="00BD44F6">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623AEA85" w14:textId="486CA15A" w:rsidR="003412B3" w:rsidRDefault="003412B3" w:rsidP="00D66B04">
          <w:pPr>
            <w:pStyle w:val="HeaderRegProc"/>
            <w:jc w:val="left"/>
            <w:rPr>
              <w:color w:val="000000"/>
              <w:lang w:val="fr-CH"/>
            </w:rPr>
          </w:pPr>
          <w:proofErr w:type="gramStart"/>
          <w:r>
            <w:rPr>
              <w:color w:val="000000"/>
              <w:lang w:val="fr-CH"/>
            </w:rPr>
            <w:t>rév</w:t>
          </w:r>
          <w:proofErr w:type="gramEnd"/>
          <w:r>
            <w:rPr>
              <w:color w:val="000000"/>
              <w:lang w:val="fr-CH"/>
            </w:rPr>
            <w:t>.</w:t>
          </w:r>
          <w:r w:rsidR="00BD44F6">
            <w:rPr>
              <w:color w:val="000000"/>
              <w:lang w:val="fr-CH"/>
            </w:rPr>
            <w:t xml:space="preserve"> 5</w:t>
          </w:r>
        </w:p>
      </w:tc>
    </w:tr>
  </w:tbl>
  <w:p w14:paraId="0CA8C46D" w14:textId="77777777" w:rsidR="003412B3" w:rsidRPr="00217E8A" w:rsidRDefault="003412B3" w:rsidP="00217E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554" w14:paraId="37111382"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68352B4" w14:textId="77777777" w:rsidR="00146554" w:rsidRDefault="00146554" w:rsidP="0014655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708ACBE" w14:textId="0ECE1457" w:rsidR="00146554" w:rsidRDefault="00146554" w:rsidP="00146554">
          <w:pPr>
            <w:pStyle w:val="HeaderRegProc"/>
            <w:jc w:val="left"/>
            <w:rPr>
              <w:color w:val="000000"/>
              <w:lang w:val="fr-CH"/>
            </w:rPr>
          </w:pPr>
          <w:r>
            <w:fldChar w:fldCharType="begin"/>
          </w:r>
          <w:r>
            <w:instrText xml:space="preserve"> DOCPROPERTY "Header1" \* MERGEFORMAT </w:instrText>
          </w:r>
          <w:r>
            <w:fldChar w:fldCharType="separate"/>
          </w:r>
          <w:r w:rsidR="004F71E5">
            <w:t>AP</w:t>
          </w:r>
          <w:r>
            <w:fldChar w:fldCharType="end"/>
          </w:r>
          <w:r>
            <w:fldChar w:fldCharType="begin"/>
          </w:r>
          <w:r>
            <w:instrText>styleref href2</w:instrText>
          </w:r>
          <w:r>
            <w:fldChar w:fldCharType="separate"/>
          </w:r>
          <w:r w:rsidR="004F71E5">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D7B77D" w14:textId="5F1D9A3F" w:rsidR="00146554" w:rsidRDefault="00146554" w:rsidP="00146554">
          <w:pPr>
            <w:pStyle w:val="HeaderRegProc"/>
            <w:jc w:val="left"/>
            <w:rPr>
              <w:color w:val="000000"/>
              <w:lang w:val="fr-CH"/>
            </w:rPr>
          </w:pPr>
          <w:proofErr w:type="gramStart"/>
          <w:r>
            <w:rPr>
              <w:color w:val="000000"/>
              <w:lang w:val="fr-CH"/>
            </w:rPr>
            <w:t>page</w:t>
          </w:r>
          <w:proofErr w:type="gramEnd"/>
          <w:r>
            <w:rPr>
              <w:color w:val="000000"/>
              <w:lang w:val="fr-CH"/>
            </w:rPr>
            <w:t xml:space="preserve"> </w:t>
          </w:r>
          <w:r>
            <w:rPr>
              <w:rStyle w:val="PageNumber"/>
            </w:rPr>
            <w:t>3</w:t>
          </w:r>
        </w:p>
      </w:tc>
      <w:tc>
        <w:tcPr>
          <w:tcW w:w="1701" w:type="dxa"/>
          <w:tcBorders>
            <w:top w:val="single" w:sz="6" w:space="0" w:color="auto"/>
            <w:left w:val="single" w:sz="6" w:space="0" w:color="auto"/>
            <w:bottom w:val="single" w:sz="6" w:space="0" w:color="auto"/>
            <w:right w:val="single" w:sz="6" w:space="0" w:color="auto"/>
          </w:tcBorders>
        </w:tcPr>
        <w:p w14:paraId="78A6EE4E" w14:textId="77777777" w:rsidR="00146554" w:rsidRDefault="00146554" w:rsidP="00146554">
          <w:pPr>
            <w:pStyle w:val="HeaderRegProc"/>
            <w:jc w:val="left"/>
            <w:rPr>
              <w:color w:val="000000"/>
              <w:lang w:val="fr-CH"/>
            </w:rPr>
          </w:pPr>
          <w:proofErr w:type="gramStart"/>
          <w:r>
            <w:rPr>
              <w:color w:val="000000"/>
              <w:lang w:val="fr-CH"/>
            </w:rPr>
            <w:t>rév</w:t>
          </w:r>
          <w:proofErr w:type="gramEnd"/>
          <w:r>
            <w:rPr>
              <w:color w:val="000000"/>
              <w:lang w:val="fr-CH"/>
            </w:rPr>
            <w:t>. 5</w:t>
          </w:r>
        </w:p>
      </w:tc>
    </w:tr>
  </w:tbl>
  <w:p w14:paraId="192D57C1" w14:textId="77777777" w:rsidR="00A42418" w:rsidRDefault="00A4241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46554" w14:paraId="17403D02"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1ABF2523" w14:textId="742C29C4" w:rsidR="00146554" w:rsidRDefault="00146554" w:rsidP="00146554">
          <w:pPr>
            <w:pStyle w:val="HeaderRegProc"/>
          </w:pPr>
          <w:r>
            <w:t>Partie A</w:t>
          </w:r>
          <w:r>
            <w:fldChar w:fldCharType="begin"/>
          </w:r>
          <w:r>
            <w:instrText>styleref href</w:instrText>
          </w:r>
          <w:r>
            <w:fldChar w:fldCharType="separate"/>
          </w:r>
          <w:r w:rsidR="004F71E5">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008147" w14:textId="2A83A76D" w:rsidR="00146554" w:rsidRDefault="00146554" w:rsidP="00146554">
          <w:pPr>
            <w:pStyle w:val="HeaderRegProc"/>
            <w:rPr>
              <w:lang w:val="fr-FR"/>
            </w:rPr>
          </w:pPr>
          <w:r>
            <w:fldChar w:fldCharType="begin"/>
          </w:r>
          <w:r>
            <w:instrText xml:space="preserve"> DOCPROPERTY "Header1" \* MERGEFORMAT </w:instrText>
          </w:r>
          <w:r>
            <w:fldChar w:fldCharType="separate"/>
          </w:r>
          <w:r w:rsidR="004F71E5">
            <w:t>AP</w:t>
          </w:r>
          <w:r>
            <w:fldChar w:fldCharType="end"/>
          </w:r>
          <w:r>
            <w:fldChar w:fldCharType="begin"/>
          </w:r>
          <w:r>
            <w:instrText>styleref href2</w:instrText>
          </w:r>
          <w:r>
            <w:fldChar w:fldCharType="separate"/>
          </w:r>
          <w:r w:rsidR="004F71E5">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6C3C8C" w14:textId="1D1A87A9" w:rsidR="00146554" w:rsidRDefault="00146554" w:rsidP="00146554">
          <w:pPr>
            <w:pStyle w:val="HeaderRegProc"/>
            <w:rPr>
              <w:lang w:val="fr-CH"/>
            </w:rPr>
          </w:pPr>
          <w:proofErr w:type="gramStart"/>
          <w:r>
            <w:rPr>
              <w:lang w:val="fr-FR"/>
            </w:rPr>
            <w:t>page</w:t>
          </w:r>
          <w:proofErr w:type="gramEnd"/>
          <w:r>
            <w:rPr>
              <w:lang w:val="fr-FR"/>
            </w:rPr>
            <w:t xml:space="preserve"> </w:t>
          </w:r>
          <w:r>
            <w:rPr>
              <w:rStyle w:val="PageNumber"/>
              <w:color w:val="000000"/>
            </w:rPr>
            <w:t>4</w:t>
          </w:r>
        </w:p>
      </w:tc>
      <w:tc>
        <w:tcPr>
          <w:tcW w:w="1701" w:type="dxa"/>
          <w:tcBorders>
            <w:top w:val="single" w:sz="6" w:space="0" w:color="auto"/>
            <w:left w:val="single" w:sz="6" w:space="0" w:color="auto"/>
            <w:bottom w:val="single" w:sz="6" w:space="0" w:color="auto"/>
            <w:right w:val="single" w:sz="6" w:space="0" w:color="auto"/>
          </w:tcBorders>
        </w:tcPr>
        <w:p w14:paraId="4B5BAE73" w14:textId="77777777" w:rsidR="00146554" w:rsidRDefault="00146554" w:rsidP="00146554">
          <w:pPr>
            <w:pStyle w:val="HeaderRegProc"/>
            <w:rPr>
              <w:lang w:val="fr-CH"/>
            </w:rPr>
          </w:pPr>
          <w:proofErr w:type="gramStart"/>
          <w:r>
            <w:rPr>
              <w:lang w:val="fr-CH"/>
            </w:rPr>
            <w:t>rév</w:t>
          </w:r>
          <w:proofErr w:type="gramEnd"/>
          <w:r>
            <w:rPr>
              <w:lang w:val="fr-CH"/>
            </w:rPr>
            <w:t>.</w:t>
          </w:r>
          <w:r>
            <w:t xml:space="preserve"> 5</w:t>
          </w:r>
        </w:p>
      </w:tc>
    </w:tr>
  </w:tbl>
  <w:p w14:paraId="0C8A0F93" w14:textId="77777777" w:rsidR="00146554" w:rsidRDefault="0014655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1667B" w14:textId="77777777" w:rsidR="00146554" w:rsidRDefault="001465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2587"/>
    <w:rsid w:val="000D198D"/>
    <w:rsid w:val="000D19B4"/>
    <w:rsid w:val="00146554"/>
    <w:rsid w:val="00217E8A"/>
    <w:rsid w:val="0023244B"/>
    <w:rsid w:val="00244A5D"/>
    <w:rsid w:val="002C05F8"/>
    <w:rsid w:val="003412B3"/>
    <w:rsid w:val="00366E8C"/>
    <w:rsid w:val="003F4F67"/>
    <w:rsid w:val="004F67C8"/>
    <w:rsid w:val="004F71E5"/>
    <w:rsid w:val="00541D30"/>
    <w:rsid w:val="005E2FA0"/>
    <w:rsid w:val="00761E18"/>
    <w:rsid w:val="008F0422"/>
    <w:rsid w:val="00956E1D"/>
    <w:rsid w:val="00965776"/>
    <w:rsid w:val="00982263"/>
    <w:rsid w:val="00A40A45"/>
    <w:rsid w:val="00A42418"/>
    <w:rsid w:val="00A82587"/>
    <w:rsid w:val="00A964B9"/>
    <w:rsid w:val="00AB5783"/>
    <w:rsid w:val="00BD44F6"/>
    <w:rsid w:val="00BD5C15"/>
    <w:rsid w:val="00D07FA9"/>
    <w:rsid w:val="00D171DF"/>
    <w:rsid w:val="00D53BE0"/>
    <w:rsid w:val="00D66B04"/>
    <w:rsid w:val="00D922B6"/>
    <w:rsid w:val="00DB1E82"/>
    <w:rsid w:val="00EB6F4C"/>
    <w:rsid w:val="00FA53B3"/>
    <w:rsid w:val="00FC5E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2AB3C7E"/>
  <w15:docId w15:val="{D29DDE59-CA56-4E2B-B771-86EFC9AF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s://www.itu.int/md/R15-WRC15-C-0505/fr"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www.itu.int/md/R16-WRC19-C-0004/f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7.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s://www.itu.int/md/R15-WRC15-C-0004/fr" TargetMode="Externa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yperlink" Target="https://www.itu.int/md/R16-WRC19-C-0451/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34</TotalTime>
  <Pages>7</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18-A1-AP04-f</vt:lpstr>
    </vt:vector>
  </TitlesOfParts>
  <Manager>CP--107223/DD</Manager>
  <Company>ITU</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18-A1-AP04-f</dc:title>
  <dc:subject>AP4</dc:subject>
  <dc:creator>Composition des Publications</dc:creator>
  <cp:keywords>FOLIOS:  1  -  2</cp:keywords>
  <dc:description>Edition 2009:  23.02.2009/DD  (dict. ok)  </dc:description>
  <cp:lastModifiedBy>Saez Grau, Ricardo</cp:lastModifiedBy>
  <cp:revision>25</cp:revision>
  <cp:lastPrinted>2024-12-04T11:11:00Z</cp:lastPrinted>
  <dcterms:created xsi:type="dcterms:W3CDTF">2012-08-08T15:31:00Z</dcterms:created>
  <dcterms:modified xsi:type="dcterms:W3CDTF">2024-12-04T11:12:00Z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