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BB48C" w14:textId="77777777" w:rsidR="008C497B" w:rsidRDefault="008C497B" w:rsidP="001E6ED1">
      <w:pPr>
        <w:pStyle w:val="Heading1"/>
        <w:spacing w:before="300"/>
        <w:jc w:val="center"/>
      </w:pPr>
      <w:r>
        <w:t xml:space="preserve">PART  </w:t>
      </w:r>
      <w:r>
        <w:rPr>
          <w:rStyle w:val="href"/>
        </w:rPr>
        <w:t>B</w:t>
      </w:r>
    </w:p>
    <w:p w14:paraId="54CAB414" w14:textId="77777777" w:rsidR="00845C9A" w:rsidRPr="006B40CA" w:rsidRDefault="00845C9A" w:rsidP="00845C9A">
      <w:pPr>
        <w:rPr>
          <w:sz w:val="16"/>
          <w:szCs w:val="16"/>
        </w:rPr>
      </w:pP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2C1A15EF" w14:textId="340318B1" w:rsidR="008C497B" w:rsidRDefault="008C497B">
      <w:pPr>
        <w:pStyle w:val="Heading2"/>
        <w:ind w:left="0" w:firstLine="0"/>
        <w:jc w:val="center"/>
      </w:pPr>
      <w:r>
        <w:t xml:space="preserve">SECTION  </w:t>
      </w:r>
      <w:r>
        <w:rPr>
          <w:rStyle w:val="href2"/>
        </w:rPr>
        <w:t>B</w:t>
      </w:r>
      <w:r w:rsidR="002F1B94">
        <w:rPr>
          <w:rStyle w:val="href2"/>
        </w:rPr>
        <w:t>8</w:t>
      </w:r>
    </w:p>
    <w:p w14:paraId="05A5E709" w14:textId="1001C311" w:rsidR="009C7EA3" w:rsidRDefault="009C7EA3" w:rsidP="009C7EA3">
      <w:pPr>
        <w:pStyle w:val="Heading1"/>
        <w:spacing w:before="400"/>
        <w:ind w:left="0" w:firstLine="0"/>
        <w:jc w:val="center"/>
        <w:rPr>
          <w:color w:val="000000"/>
        </w:rPr>
      </w:pPr>
      <w:r>
        <w:rPr>
          <w:color w:val="000000"/>
        </w:rPr>
        <w:t xml:space="preserve">Calculation of power-flux density levels produced by aeronautical </w:t>
      </w:r>
      <w:r>
        <w:rPr>
          <w:color w:val="000000"/>
        </w:rPr>
        <w:br/>
        <w:t xml:space="preserve">earth stations in motion (A-ESIM) and their validation with the </w:t>
      </w:r>
      <w:r>
        <w:rPr>
          <w:color w:val="000000"/>
        </w:rPr>
        <w:br/>
        <w:t>limits contained in Annex 3 to Resolution 169 (Rev.WRC</w:t>
      </w:r>
      <w:r>
        <w:rPr>
          <w:color w:val="000000"/>
        </w:rPr>
        <w:noBreakHyphen/>
        <w:t xml:space="preserve">23), </w:t>
      </w:r>
      <w:r w:rsidR="00DA1FCB">
        <w:rPr>
          <w:color w:val="000000"/>
        </w:rPr>
        <w:br/>
      </w:r>
      <w:r>
        <w:rPr>
          <w:color w:val="000000"/>
        </w:rPr>
        <w:t>Annex 2 to Resolution 121 (WRC</w:t>
      </w:r>
      <w:r>
        <w:rPr>
          <w:color w:val="000000"/>
        </w:rPr>
        <w:noBreakHyphen/>
        <w:t xml:space="preserve">23) and Annex 2 to </w:t>
      </w:r>
      <w:r w:rsidR="00DA1FCB">
        <w:rPr>
          <w:color w:val="000000"/>
        </w:rPr>
        <w:br/>
      </w:r>
      <w:r>
        <w:rPr>
          <w:color w:val="000000"/>
        </w:rPr>
        <w:t>Resolution 123 (WRC</w:t>
      </w:r>
      <w:r>
        <w:rPr>
          <w:color w:val="000000"/>
        </w:rPr>
        <w:noBreakHyphen/>
        <w:t>23)</w:t>
      </w:r>
    </w:p>
    <w:p w14:paraId="5269CF5B" w14:textId="7D87006D" w:rsidR="003A19C7" w:rsidRDefault="003A19C7" w:rsidP="003A19C7">
      <w:pPr>
        <w:spacing w:before="400" w:line="280" w:lineRule="exact"/>
        <w:rPr>
          <w:szCs w:val="22"/>
        </w:rPr>
      </w:pPr>
      <w:r>
        <w:rPr>
          <w:szCs w:val="22"/>
        </w:rPr>
        <w:t>Annex 2 to Resolution </w:t>
      </w:r>
      <w:r>
        <w:rPr>
          <w:b/>
          <w:bCs/>
          <w:szCs w:val="22"/>
        </w:rPr>
        <w:t>121 (WRC</w:t>
      </w:r>
      <w:r>
        <w:rPr>
          <w:b/>
          <w:bCs/>
          <w:szCs w:val="22"/>
        </w:rPr>
        <w:noBreakHyphen/>
        <w:t>23)</w:t>
      </w:r>
      <w:r>
        <w:rPr>
          <w:szCs w:val="22"/>
        </w:rPr>
        <w:t xml:space="preserve"> and Annex 2 to Resolution </w:t>
      </w:r>
      <w:r>
        <w:rPr>
          <w:b/>
          <w:bCs/>
          <w:szCs w:val="22"/>
        </w:rPr>
        <w:t>123 (WRC</w:t>
      </w:r>
      <w:r>
        <w:rPr>
          <w:b/>
          <w:bCs/>
          <w:szCs w:val="22"/>
        </w:rPr>
        <w:noBreakHyphen/>
        <w:t>23)</w:t>
      </w:r>
      <w:r>
        <w:rPr>
          <w:szCs w:val="22"/>
        </w:rPr>
        <w:t xml:space="preserve"> contain methodologies and procedures to examine power flux-density levels at the Earth’s surface produced by A-ESIM. The corresponding methodology for Resolution </w:t>
      </w:r>
      <w:r>
        <w:rPr>
          <w:b/>
          <w:bCs/>
          <w:szCs w:val="22"/>
        </w:rPr>
        <w:t>169 (Rev.WRC</w:t>
      </w:r>
      <w:r>
        <w:rPr>
          <w:b/>
          <w:bCs/>
          <w:szCs w:val="22"/>
        </w:rPr>
        <w:noBreakHyphen/>
        <w:t>23)</w:t>
      </w:r>
      <w:r>
        <w:rPr>
          <w:szCs w:val="22"/>
        </w:rPr>
        <w:t xml:space="preserve"> is included in Recommendation ITU</w:t>
      </w:r>
      <w:r>
        <w:rPr>
          <w:szCs w:val="22"/>
        </w:rPr>
        <w:noBreakHyphen/>
        <w:t>R S.2158-0.</w:t>
      </w:r>
    </w:p>
    <w:p w14:paraId="4044AB2D" w14:textId="77777777" w:rsidR="003A19C7" w:rsidRDefault="003A19C7" w:rsidP="003A19C7">
      <w:pPr>
        <w:keepNext/>
        <w:spacing w:before="240" w:line="280" w:lineRule="exact"/>
        <w:ind w:left="794" w:hanging="794"/>
        <w:rPr>
          <w:b/>
          <w:szCs w:val="22"/>
        </w:rPr>
      </w:pPr>
      <w:r>
        <w:rPr>
          <w:b/>
          <w:szCs w:val="22"/>
        </w:rPr>
        <w:t xml:space="preserve">Reference bandwidth of the </w:t>
      </w:r>
      <w:proofErr w:type="spellStart"/>
      <w:r>
        <w:rPr>
          <w:b/>
          <w:szCs w:val="22"/>
        </w:rPr>
        <w:t>pfd</w:t>
      </w:r>
      <w:proofErr w:type="spellEnd"/>
      <w:r>
        <w:rPr>
          <w:b/>
          <w:szCs w:val="22"/>
        </w:rPr>
        <w:t xml:space="preserve"> limit</w:t>
      </w:r>
    </w:p>
    <w:p w14:paraId="2567C460" w14:textId="77777777" w:rsidR="003A19C7" w:rsidRDefault="003A19C7" w:rsidP="00CB06A1">
      <w:r>
        <w:t>The three methodologies contain the same formula to calculate the transmission power from the maximum or minimum power spectral densities of A-ESIM.</w:t>
      </w:r>
    </w:p>
    <w:p w14:paraId="18E5675A" w14:textId="77777777" w:rsidR="003A19C7" w:rsidRDefault="003A19C7" w:rsidP="00CB06A1">
      <w:r>
        <w:t xml:space="preserve">Depending on the set of </w:t>
      </w:r>
      <w:proofErr w:type="spellStart"/>
      <w:r>
        <w:t>pfd</w:t>
      </w:r>
      <w:proofErr w:type="spellEnd"/>
      <w:r>
        <w:t xml:space="preserve"> limits that is considered (i.e. for A-ESIM altitudes up to 3 km or for those above 3 km), two different reference bandwidths need to be considered: 1 MHz and 14 MHz, respectively.</w:t>
      </w:r>
    </w:p>
    <w:p w14:paraId="33BA9E52" w14:textId="7CB59108" w:rsidR="003A19C7" w:rsidRDefault="003A19C7" w:rsidP="00CB06A1">
      <w:r>
        <w:t>The Board noted that Note 2 of Recommendation ITU-R S.2158-0 indicates: “For the operation of emission bandwidth smaller than the reference bandwidth, this methodology is applicable provided that the notifying administration confirms that A-ESIM operates only one emission within the reference bandwidth. If there is no such confirmation, this methodology is not applicable.” Moreover, the remark in Resolution </w:t>
      </w:r>
      <w:r>
        <w:rPr>
          <w:b/>
          <w:bCs/>
        </w:rPr>
        <w:t>121 (WRC</w:t>
      </w:r>
      <w:r>
        <w:rPr>
          <w:b/>
          <w:bCs/>
        </w:rPr>
        <w:noBreakHyphen/>
        <w:t>23)</w:t>
      </w:r>
      <w:r>
        <w:t xml:space="preserve"> states that “the methodology assumes that only one emission within the reference bandwidth of 14 MHz is transmitted by A</w:t>
      </w:r>
      <w:r w:rsidR="00CB06A1">
        <w:noBreakHyphen/>
      </w:r>
      <w:r>
        <w:t xml:space="preserve">ESIM”. </w:t>
      </w:r>
    </w:p>
    <w:p w14:paraId="1958733A" w14:textId="77777777" w:rsidR="003A19C7" w:rsidRDefault="003A19C7" w:rsidP="00CB06A1">
      <w:r>
        <w:t xml:space="preserve">As a consequence, the Board understood that the intentions of the </w:t>
      </w:r>
      <w:bookmarkStart w:id="0" w:name="_Hlk172797910"/>
      <w:r>
        <w:t>World Radiocommunication Conference (Sharm el-Sheikh, 2019)</w:t>
      </w:r>
      <w:bookmarkEnd w:id="0"/>
      <w:r>
        <w:t xml:space="preserve"> (WRC-19) and the World Radiocommunication Conference (Dubai, 2023) (WRC</w:t>
      </w:r>
      <w:r>
        <w:noBreakHyphen/>
        <w:t>23) were to allow only one carrier emission to be in operation within the reference bandwidth of 14 MHz for all three cases addressed in Resolutions </w:t>
      </w:r>
      <w:r>
        <w:rPr>
          <w:b/>
          <w:bCs/>
        </w:rPr>
        <w:t>121 (WRC</w:t>
      </w:r>
      <w:r>
        <w:rPr>
          <w:b/>
          <w:bCs/>
        </w:rPr>
        <w:noBreakHyphen/>
        <w:t>23)</w:t>
      </w:r>
      <w:r>
        <w:t xml:space="preserve">, </w:t>
      </w:r>
      <w:r>
        <w:rPr>
          <w:b/>
          <w:bCs/>
        </w:rPr>
        <w:t>123 (WRC</w:t>
      </w:r>
      <w:r>
        <w:rPr>
          <w:b/>
          <w:bCs/>
        </w:rPr>
        <w:noBreakHyphen/>
        <w:t>23)</w:t>
      </w:r>
      <w:r>
        <w:t xml:space="preserve"> and </w:t>
      </w:r>
      <w:r>
        <w:rPr>
          <w:b/>
          <w:bCs/>
        </w:rPr>
        <w:t>169 (Rev.WRC</w:t>
      </w:r>
      <w:r>
        <w:rPr>
          <w:b/>
          <w:bCs/>
        </w:rPr>
        <w:noBreakHyphen/>
        <w:t>23)</w:t>
      </w:r>
      <w:r>
        <w:t>.</w:t>
      </w:r>
    </w:p>
    <w:p w14:paraId="14026F2B" w14:textId="77777777" w:rsidR="00A53717" w:rsidRDefault="00A53717" w:rsidP="003A19C7">
      <w:pPr>
        <w:spacing w:before="160" w:line="280" w:lineRule="exact"/>
        <w:rPr>
          <w:szCs w:val="22"/>
        </w:rPr>
      </w:pPr>
    </w:p>
    <w:p w14:paraId="1CC398B8" w14:textId="77777777" w:rsidR="00A53717" w:rsidRDefault="00A53717" w:rsidP="003A19C7">
      <w:pPr>
        <w:spacing w:before="160" w:line="280" w:lineRule="exact"/>
        <w:rPr>
          <w:szCs w:val="22"/>
        </w:rPr>
      </w:pPr>
    </w:p>
    <w:p w14:paraId="5BBFF53B" w14:textId="77777777" w:rsidR="00A53717" w:rsidRDefault="00A53717" w:rsidP="003A19C7">
      <w:pPr>
        <w:spacing w:before="160" w:line="280" w:lineRule="exact"/>
        <w:rPr>
          <w:szCs w:val="22"/>
        </w:rPr>
      </w:pPr>
    </w:p>
    <w:p w14:paraId="71493DD3" w14:textId="464F58D6" w:rsidR="003A19C7" w:rsidRDefault="00A53717" w:rsidP="00CB06A1">
      <w:r>
        <w:br w:type="page"/>
      </w:r>
      <w:r w:rsidR="003A19C7">
        <w:lastRenderedPageBreak/>
        <w:t>The Board therefore concluded that when an Administration submits a frequency assignment to an A-ESIM with an emission bandwidth smaller than a 14 MHz reference bandwidth, it also commits to operate only one single emission with that given emission bandwidth in any 14 MHz bandwidth.</w:t>
      </w:r>
    </w:p>
    <w:p w14:paraId="21D5CBFA" w14:textId="77777777" w:rsidR="003A19C7" w:rsidRDefault="003A19C7" w:rsidP="00CB06A1">
      <w:r>
        <w:t>When an Administration wishes to simultaneously operate several transmissions with emission bandwidths smaller than a 14 MHz reference bandwidth, the emission characteristics of the carrier should be suitably modified to indicate that multiple channels per carrier will be operated within a single emission (see Appendix </w:t>
      </w:r>
      <w:r>
        <w:rPr>
          <w:b/>
          <w:bCs/>
        </w:rPr>
        <w:t>1</w:t>
      </w:r>
      <w:r>
        <w:t xml:space="preserve"> to the Radio Regulations).</w:t>
      </w:r>
    </w:p>
    <w:p w14:paraId="4FC6A68D" w14:textId="77777777" w:rsidR="003A19C7" w:rsidRDefault="003A19C7" w:rsidP="003A19C7">
      <w:pPr>
        <w:keepNext/>
        <w:spacing w:before="240" w:line="280" w:lineRule="exact"/>
        <w:ind w:left="794" w:hanging="794"/>
        <w:rPr>
          <w:b/>
          <w:szCs w:val="22"/>
        </w:rPr>
      </w:pPr>
      <w:r>
        <w:rPr>
          <w:b/>
          <w:szCs w:val="22"/>
        </w:rPr>
        <w:t xml:space="preserve">Conditions for compliance with the </w:t>
      </w:r>
      <w:proofErr w:type="spellStart"/>
      <w:r>
        <w:rPr>
          <w:b/>
          <w:szCs w:val="22"/>
        </w:rPr>
        <w:t>pfd</w:t>
      </w:r>
      <w:proofErr w:type="spellEnd"/>
      <w:r>
        <w:rPr>
          <w:b/>
          <w:szCs w:val="22"/>
        </w:rPr>
        <w:t xml:space="preserve"> limits</w:t>
      </w:r>
    </w:p>
    <w:p w14:paraId="12F049D0" w14:textId="77777777" w:rsidR="003A19C7" w:rsidRDefault="003A19C7" w:rsidP="00CB06A1">
      <w:r>
        <w:t>The methodology contained in Annex 2 to Resolution </w:t>
      </w:r>
      <w:r>
        <w:rPr>
          <w:b/>
          <w:bCs/>
        </w:rPr>
        <w:t>121 (WRC</w:t>
      </w:r>
      <w:r>
        <w:rPr>
          <w:b/>
          <w:bCs/>
        </w:rPr>
        <w:noBreakHyphen/>
        <w:t>23)</w:t>
      </w:r>
      <w:r>
        <w:t>, in Annex 2 to Resolution </w:t>
      </w:r>
      <w:r>
        <w:rPr>
          <w:b/>
          <w:bCs/>
        </w:rPr>
        <w:t>123 (WRC</w:t>
      </w:r>
      <w:r>
        <w:rPr>
          <w:b/>
          <w:bCs/>
        </w:rPr>
        <w:noBreakHyphen/>
        <w:t>23)</w:t>
      </w:r>
      <w:r>
        <w:t xml:space="preserve"> or in Recommendation ITU-R S.2158-0 determines the maximum allowable power 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j</w:t>
      </w:r>
      <w:proofErr w:type="spellEnd"/>
      <w:r>
        <w:t xml:space="preserve"> for an A</w:t>
      </w:r>
      <w:r>
        <w:noBreakHyphen/>
        <w:t xml:space="preserve">ESIM transmitter. </w:t>
      </w:r>
    </w:p>
    <w:p w14:paraId="274C7B31" w14:textId="77777777" w:rsidR="003A19C7" w:rsidRDefault="003A19C7" w:rsidP="00CB06A1">
      <w:r>
        <w:t xml:space="preserve">The methodology then compares the computed </w:t>
      </w:r>
      <w:proofErr w:type="spellStart"/>
      <w:r>
        <w:rPr>
          <w:i/>
          <w:iCs/>
        </w:rPr>
        <w:t>P</w:t>
      </w:r>
      <w:r>
        <w:rPr>
          <w:i/>
          <w:iCs/>
          <w:vertAlign w:val="subscript"/>
        </w:rPr>
        <w:t>j</w:t>
      </w:r>
      <w:proofErr w:type="spellEnd"/>
      <w:r>
        <w:t xml:space="preserve"> with the range of notified power levels of the A</w:t>
      </w:r>
      <w:r>
        <w:noBreakHyphen/>
        <w:t xml:space="preserve">ESIM emission. The minimum and maximum power values for emissions from the A-ESIM, </w:t>
      </w:r>
      <w:proofErr w:type="spellStart"/>
      <w:r>
        <w:rPr>
          <w:i/>
          <w:iCs/>
        </w:rPr>
        <w:t>P</w:t>
      </w:r>
      <w:r>
        <w:rPr>
          <w:vertAlign w:val="subscript"/>
        </w:rPr>
        <w:t>min</w:t>
      </w:r>
      <w:r>
        <w:rPr>
          <w:i/>
          <w:iCs/>
          <w:vertAlign w:val="subscript"/>
        </w:rPr>
        <w:t>_emission,j</w:t>
      </w:r>
      <w:proofErr w:type="spellEnd"/>
      <w:r>
        <w:t xml:space="preserve"> and </w:t>
      </w:r>
      <w:proofErr w:type="spellStart"/>
      <w:r>
        <w:rPr>
          <w:i/>
          <w:iCs/>
        </w:rPr>
        <w:t>P</w:t>
      </w:r>
      <w:r>
        <w:rPr>
          <w:vertAlign w:val="subscript"/>
        </w:rPr>
        <w:t>max</w:t>
      </w:r>
      <w:r>
        <w:rPr>
          <w:i/>
          <w:iCs/>
          <w:vertAlign w:val="subscript"/>
        </w:rPr>
        <w:t>_emission,j</w:t>
      </w:r>
      <w:proofErr w:type="spellEnd"/>
      <w:r>
        <w:t>, are calculated from the minimum and maximum power spectral densities of the A-ESIM emission.</w:t>
      </w:r>
    </w:p>
    <w:p w14:paraId="3C1EDD58" w14:textId="77777777" w:rsidR="003A19C7" w:rsidRDefault="003A19C7" w:rsidP="00CB06A1">
      <w:r>
        <w:t xml:space="preserve">An A-ESIM transmission is permitted at a certain altitude </w:t>
      </w:r>
      <w:r>
        <w:rPr>
          <w:i/>
          <w:iCs/>
        </w:rPr>
        <w:t>j</w:t>
      </w:r>
      <w:r>
        <w:t>, if the following condition is met:</w:t>
      </w:r>
    </w:p>
    <w:p w14:paraId="071E4AF2" w14:textId="77777777" w:rsidR="003A19C7" w:rsidRDefault="003A19C7" w:rsidP="003A19C7">
      <w:pPr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3660" w:dyaOrig="400" w14:anchorId="1D1AA6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19.5pt" o:ole="">
            <v:imagedata r:id="rId6" o:title=""/>
          </v:shape>
          <o:OLEObject Type="Embed" ProgID="Equation.DSMT4" ShapeID="_x0000_i1025" DrawAspect="Content" ObjectID="_1794636588" r:id="rId7"/>
        </w:object>
      </w:r>
    </w:p>
    <w:p w14:paraId="302DCE74" w14:textId="77777777" w:rsidR="003A19C7" w:rsidRDefault="003A19C7" w:rsidP="00CB06A1">
      <w:r>
        <w:t xml:space="preserve">Considering that the condition will prevent the use of altitude </w:t>
      </w:r>
      <w:r>
        <w:rPr>
          <w:i/>
          <w:iCs/>
        </w:rPr>
        <w:t>j</w:t>
      </w:r>
      <w:r>
        <w:t xml:space="preserve"> in cases where the allowable power is high enough to permit the operation of the A-ESIM with its maximum notified power spectral density, the Board concluded that the Bureau should also check the following condition:</w:t>
      </w:r>
    </w:p>
    <w:p w14:paraId="6855F5E1" w14:textId="77777777" w:rsidR="003A19C7" w:rsidRDefault="003A19C7" w:rsidP="003A19C7">
      <w:pPr>
        <w:tabs>
          <w:tab w:val="center" w:pos="4820"/>
          <w:tab w:val="right" w:pos="9639"/>
        </w:tabs>
        <w:spacing w:before="160" w:line="276" w:lineRule="auto"/>
        <w:jc w:val="center"/>
        <w:rPr>
          <w:szCs w:val="24"/>
        </w:rPr>
      </w:pPr>
      <w:r>
        <w:rPr>
          <w:position w:val="-16"/>
          <w:szCs w:val="22"/>
        </w:rPr>
        <w:object w:dxaOrig="2079" w:dyaOrig="400" w14:anchorId="22773646">
          <v:shape id="_x0000_i1026" type="#_x0000_t75" style="width:105pt;height:19.5pt" o:ole="">
            <v:imagedata r:id="rId8" o:title=""/>
          </v:shape>
          <o:OLEObject Type="Embed" ProgID="Equation.DSMT4" ShapeID="_x0000_i1026" DrawAspect="Content" ObjectID="_1794636589" r:id="rId9"/>
        </w:object>
      </w:r>
    </w:p>
    <w:p w14:paraId="44C6AC5A" w14:textId="77777777" w:rsidR="003A19C7" w:rsidRDefault="003A19C7" w:rsidP="003A19C7">
      <w:pPr>
        <w:spacing w:before="160" w:line="280" w:lineRule="exact"/>
        <w:rPr>
          <w:szCs w:val="22"/>
        </w:rPr>
      </w:pPr>
      <w:r>
        <w:rPr>
          <w:szCs w:val="22"/>
        </w:rPr>
        <w:t>Whenever that condition is met, it is understood that the entire range of power levels of an A-ESIM can be used.</w:t>
      </w:r>
    </w:p>
    <w:p w14:paraId="1ACC1345" w14:textId="77777777" w:rsidR="00D20D95" w:rsidRDefault="00D20D95" w:rsidP="002D62BE">
      <w:pPr>
        <w:jc w:val="center"/>
      </w:pPr>
    </w:p>
    <w:p w14:paraId="3226E2D6" w14:textId="4D9CFE14" w:rsidR="002D62BE" w:rsidRDefault="002D62BE" w:rsidP="002D62BE">
      <w:pPr>
        <w:jc w:val="center"/>
      </w:pPr>
      <w:r>
        <w:t>______________</w:t>
      </w:r>
    </w:p>
    <w:p w14:paraId="18D8F447" w14:textId="77777777" w:rsidR="002D62BE" w:rsidRDefault="002D62BE" w:rsidP="002D62BE">
      <w:pPr>
        <w:pStyle w:val="TableText"/>
        <w:rPr>
          <w:lang w:val="en-US"/>
        </w:rPr>
      </w:pPr>
    </w:p>
    <w:p w14:paraId="561FF4AD" w14:textId="77777777" w:rsidR="002D62BE" w:rsidRDefault="002D62BE" w:rsidP="002D62BE">
      <w:pPr>
        <w:pStyle w:val="TableText"/>
        <w:rPr>
          <w:lang w:val="en-US"/>
        </w:rPr>
      </w:pPr>
    </w:p>
    <w:p w14:paraId="22FA631F" w14:textId="77777777" w:rsidR="002D62BE" w:rsidRDefault="002D62BE" w:rsidP="002D62BE">
      <w:pPr>
        <w:pStyle w:val="TableText"/>
        <w:rPr>
          <w:lang w:val="en-US"/>
        </w:rPr>
      </w:pPr>
    </w:p>
    <w:p w14:paraId="48D19464" w14:textId="77777777" w:rsidR="002D62BE" w:rsidRDefault="002D62BE" w:rsidP="002D62BE">
      <w:pPr>
        <w:pStyle w:val="TableText"/>
        <w:rPr>
          <w:lang w:val="en-US"/>
        </w:rPr>
      </w:pPr>
    </w:p>
    <w:p w14:paraId="043D9AB4" w14:textId="77777777" w:rsidR="002D62BE" w:rsidRDefault="002D62BE" w:rsidP="002D62BE">
      <w:pPr>
        <w:pStyle w:val="TableText"/>
        <w:rPr>
          <w:lang w:val="en-US"/>
        </w:rPr>
      </w:pPr>
    </w:p>
    <w:p w14:paraId="4A64AB9B" w14:textId="77777777" w:rsidR="008C497B" w:rsidRDefault="008C497B" w:rsidP="001E6ED1"/>
    <w:p w14:paraId="58B1B892" w14:textId="77777777" w:rsidR="00CB06A1" w:rsidRDefault="00CB06A1" w:rsidP="00A53717">
      <w:pPr>
        <w:sectPr w:rsidR="00CB06A1" w:rsidSect="003F4E3E">
          <w:headerReference w:type="even" r:id="rId10"/>
          <w:headerReference w:type="firs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  <w:titlePg/>
        </w:sectPr>
      </w:pPr>
    </w:p>
    <w:p w14:paraId="6FE90867" w14:textId="77777777" w:rsidR="008C497B" w:rsidRDefault="008C497B" w:rsidP="00A53717"/>
    <w:sectPr w:rsidR="008C497B" w:rsidSect="003F4E3E">
      <w:headerReference w:type="first" r:id="rId12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227EF" w14:textId="77777777" w:rsidR="00B611BD" w:rsidRDefault="00B611BD">
      <w:r>
        <w:separator/>
      </w:r>
    </w:p>
  </w:endnote>
  <w:endnote w:type="continuationSeparator" w:id="0">
    <w:p w14:paraId="1D881605" w14:textId="77777777" w:rsidR="00B611BD" w:rsidRDefault="00B61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41397" w14:textId="77777777" w:rsidR="00B611BD" w:rsidRDefault="00B611BD">
      <w:r>
        <w:rPr>
          <w:b/>
        </w:rPr>
        <w:t>_______________</w:t>
      </w:r>
    </w:p>
  </w:footnote>
  <w:footnote w:type="continuationSeparator" w:id="0">
    <w:p w14:paraId="116758E2" w14:textId="77777777" w:rsidR="00B611BD" w:rsidRDefault="00B61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219CF64E" w14:textId="77777777" w:rsidTr="0068156F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831AC6" w14:textId="77777777" w:rsidR="0068156F" w:rsidRDefault="0068156F" w:rsidP="0068156F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CA7185C" w14:textId="21C78467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45C9A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5E7A22" w14:textId="77777777" w:rsidR="0068156F" w:rsidRDefault="0068156F" w:rsidP="0068156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08035CF" w14:textId="2A852995" w:rsidR="0068156F" w:rsidRDefault="0068156F" w:rsidP="0068156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 w:rsidR="00CB06A1">
            <w:t>5</w:t>
          </w:r>
        </w:p>
      </w:tc>
    </w:tr>
  </w:tbl>
  <w:p w14:paraId="1854335D" w14:textId="77777777" w:rsidR="0068156F" w:rsidRDefault="006815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8156F" w14:paraId="510436C8" w14:textId="77777777" w:rsidTr="000008A2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809263" w14:textId="77777777" w:rsidR="0068156F" w:rsidRDefault="0068156F" w:rsidP="0068156F">
          <w:pPr>
            <w:pStyle w:val="HeaderRegProc"/>
          </w:pPr>
          <w:proofErr w:type="spellStart"/>
          <w:r>
            <w:t>Part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D7CC379" w14:textId="5DAF7A8C" w:rsidR="0068156F" w:rsidRDefault="0068156F" w:rsidP="0068156F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45C9A">
            <w:rPr>
              <w:noProof/>
            </w:rPr>
            <w:t>B8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63B4D3" w14:textId="77777777" w:rsidR="0068156F" w:rsidRDefault="0068156F" w:rsidP="0068156F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1CE183" w14:textId="00954D32" w:rsidR="0068156F" w:rsidRDefault="0068156F" w:rsidP="0068156F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>
            <w:t>5</w:t>
          </w:r>
        </w:p>
      </w:tc>
    </w:tr>
  </w:tbl>
  <w:p w14:paraId="5A135DAD" w14:textId="77777777" w:rsidR="003F4E3E" w:rsidRDefault="003F4E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44B2E" w14:textId="77777777" w:rsidR="00CB06A1" w:rsidRDefault="00CB06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7B"/>
    <w:rsid w:val="000349FB"/>
    <w:rsid w:val="0008403B"/>
    <w:rsid w:val="00091804"/>
    <w:rsid w:val="000B423B"/>
    <w:rsid w:val="000B4FD4"/>
    <w:rsid w:val="00177017"/>
    <w:rsid w:val="001879DD"/>
    <w:rsid w:val="001E6ED1"/>
    <w:rsid w:val="00254F75"/>
    <w:rsid w:val="00291B32"/>
    <w:rsid w:val="002D62BE"/>
    <w:rsid w:val="002F1B94"/>
    <w:rsid w:val="002F6FCF"/>
    <w:rsid w:val="003061FA"/>
    <w:rsid w:val="00331CD4"/>
    <w:rsid w:val="003632A2"/>
    <w:rsid w:val="003A19C7"/>
    <w:rsid w:val="003F2D4A"/>
    <w:rsid w:val="003F4E3E"/>
    <w:rsid w:val="00433573"/>
    <w:rsid w:val="00482885"/>
    <w:rsid w:val="004B034C"/>
    <w:rsid w:val="004E6CE6"/>
    <w:rsid w:val="00627E24"/>
    <w:rsid w:val="00650922"/>
    <w:rsid w:val="00653CBA"/>
    <w:rsid w:val="0068156F"/>
    <w:rsid w:val="00721254"/>
    <w:rsid w:val="007A5970"/>
    <w:rsid w:val="007F0B48"/>
    <w:rsid w:val="00826A17"/>
    <w:rsid w:val="00845C9A"/>
    <w:rsid w:val="0089302D"/>
    <w:rsid w:val="00894163"/>
    <w:rsid w:val="008A2011"/>
    <w:rsid w:val="008C497B"/>
    <w:rsid w:val="00901C6C"/>
    <w:rsid w:val="00924A26"/>
    <w:rsid w:val="009C7EA3"/>
    <w:rsid w:val="009D5C48"/>
    <w:rsid w:val="00A53717"/>
    <w:rsid w:val="00A70933"/>
    <w:rsid w:val="00A842D5"/>
    <w:rsid w:val="00AF1C6C"/>
    <w:rsid w:val="00B104FC"/>
    <w:rsid w:val="00B1708E"/>
    <w:rsid w:val="00B34D59"/>
    <w:rsid w:val="00B517A2"/>
    <w:rsid w:val="00B611BD"/>
    <w:rsid w:val="00C67B98"/>
    <w:rsid w:val="00C8511F"/>
    <w:rsid w:val="00CA0E7E"/>
    <w:rsid w:val="00CB06A1"/>
    <w:rsid w:val="00CF02DE"/>
    <w:rsid w:val="00D20D95"/>
    <w:rsid w:val="00D32D08"/>
    <w:rsid w:val="00D37662"/>
    <w:rsid w:val="00DA1FCB"/>
    <w:rsid w:val="00E70951"/>
    <w:rsid w:val="00EA5EFB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262BD1EC"/>
  <w15:docId w15:val="{FA87E9DD-E4E4-4C80-9F76-5BF4C72DE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val="en-US"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rPr>
      <w:b/>
      <w:color w:val="FFCC00"/>
    </w:rPr>
  </w:style>
  <w:style w:type="character" w:customStyle="1" w:styleId="Appref">
    <w:name w:val="App_ref"/>
    <w:rPr>
      <w:color w:val="3366FF"/>
    </w:rPr>
  </w:style>
  <w:style w:type="character" w:customStyle="1" w:styleId="Artdef">
    <w:name w:val="Art_def"/>
    <w:rPr>
      <w:b/>
      <w:color w:val="FFCC00"/>
    </w:rPr>
  </w:style>
  <w:style w:type="character" w:customStyle="1" w:styleId="Artref">
    <w:name w:val="Art_ref"/>
    <w:rPr>
      <w:color w:val="3366FF"/>
    </w:rPr>
  </w:style>
  <w:style w:type="character" w:customStyle="1" w:styleId="Recdef">
    <w:name w:val="Rec_def"/>
    <w:rPr>
      <w:b/>
      <w:color w:val="FFCC00"/>
    </w:rPr>
  </w:style>
  <w:style w:type="character" w:customStyle="1" w:styleId="Recref">
    <w:name w:val="Rec_ref"/>
    <w:rPr>
      <w:color w:val="3366FF"/>
    </w:rPr>
  </w:style>
  <w:style w:type="character" w:customStyle="1" w:styleId="Resdef">
    <w:name w:val="Res_def"/>
    <w:rPr>
      <w:b/>
      <w:color w:val="FFCC00"/>
    </w:rPr>
  </w:style>
  <w:style w:type="character" w:customStyle="1" w:styleId="Resref">
    <w:name w:val="Res_ref"/>
    <w:rPr>
      <w:color w:val="3366FF"/>
    </w:rPr>
  </w:style>
  <w:style w:type="character" w:customStyle="1" w:styleId="Tableref0">
    <w:name w:val="Table_ref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Artdef0">
    <w:name w:val="Art#_def"/>
    <w:rPr>
      <w:rFonts w:ascii="Times New Roman" w:hAnsi="Times New Roman"/>
      <w:b/>
    </w:rPr>
  </w:style>
  <w:style w:type="character" w:customStyle="1" w:styleId="Appdef0">
    <w:name w:val="App#_def"/>
    <w:rPr>
      <w:rFonts w:ascii="Times New Roman" w:hAnsi="Times New Roman"/>
      <w:b/>
    </w:rPr>
  </w:style>
  <w:style w:type="character" w:customStyle="1" w:styleId="Recdef0">
    <w:name w:val="Rec#_def"/>
    <w:basedOn w:val="DefaultParagraphFont"/>
  </w:style>
  <w:style w:type="character" w:customStyle="1" w:styleId="Recref0">
    <w:name w:val="Rec#_ref"/>
    <w:basedOn w:val="DefaultParagraphFont"/>
  </w:style>
  <w:style w:type="character" w:customStyle="1" w:styleId="Resdef0">
    <w:name w:val="Res#_def"/>
    <w:rPr>
      <w:rFonts w:ascii="Times New Roman" w:hAnsi="Times New Roman"/>
      <w:b/>
    </w:rPr>
  </w:style>
  <w:style w:type="character" w:customStyle="1" w:styleId="Resref0">
    <w:name w:val="Res#_ref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FooterQP">
    <w:name w:val="Footer_QP"/>
    <w:basedOn w:val="Normal"/>
    <w:rsid w:val="00924A26"/>
    <w:pPr>
      <w:tabs>
        <w:tab w:val="clear" w:pos="1134"/>
        <w:tab w:val="clear" w:pos="1871"/>
        <w:tab w:val="clear" w:pos="2268"/>
        <w:tab w:val="left" w:pos="907"/>
        <w:tab w:val="right" w:pos="8789"/>
        <w:tab w:val="right" w:pos="9639"/>
      </w:tabs>
      <w:spacing w:before="0"/>
      <w:jc w:val="left"/>
    </w:pPr>
    <w:rPr>
      <w:b/>
      <w:sz w:val="22"/>
    </w:rPr>
  </w:style>
  <w:style w:type="character" w:customStyle="1" w:styleId="Heading1Char">
    <w:name w:val="Heading 1 Char"/>
    <w:aliases w:val="h1 Char"/>
    <w:link w:val="Heading1"/>
    <w:rsid w:val="002D62BE"/>
    <w:rPr>
      <w:b/>
      <w:sz w:val="28"/>
      <w:lang w:val="en-GB" w:eastAsia="en-US"/>
    </w:rPr>
  </w:style>
  <w:style w:type="character" w:customStyle="1" w:styleId="TabletextChar">
    <w:name w:val="Table_text Char"/>
    <w:link w:val="Tabletext0"/>
    <w:rsid w:val="002D62BE"/>
    <w:rPr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casi\Application%20Data\Microsoft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6</TotalTime>
  <Pages>3</Pages>
  <Words>556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3710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2021</dc:title>
  <dc:subject>SECB6 du RR</dc:subject>
  <dc:creator>Composition des Publications</dc:creator>
  <cp:keywords/>
  <dc:description/>
  <cp:lastModifiedBy>Gomez, Yoanni</cp:lastModifiedBy>
  <cp:revision>8</cp:revision>
  <cp:lastPrinted>2024-11-28T11:12:00Z</cp:lastPrinted>
  <dcterms:created xsi:type="dcterms:W3CDTF">2024-11-28T09:32:00Z</dcterms:created>
  <dcterms:modified xsi:type="dcterms:W3CDTF">2024-12-02T08:20:00Z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