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337414" w14:textId="77777777" w:rsidR="00BA6673" w:rsidRPr="006B40CA" w:rsidRDefault="00BA6673" w:rsidP="00BA6673">
      <w:pPr>
        <w:rPr>
          <w:sz w:val="16"/>
          <w:szCs w:val="16"/>
        </w:rPr>
      </w:pPr>
      <w:r w:rsidRPr="006B40CA">
        <w:rPr>
          <w:sz w:val="16"/>
          <w:szCs w:val="16"/>
        </w:rPr>
        <w:t>(ADD RRB2</w:t>
      </w:r>
      <w:r>
        <w:rPr>
          <w:sz w:val="16"/>
          <w:szCs w:val="16"/>
        </w:rPr>
        <w:t>4</w:t>
      </w:r>
      <w:r w:rsidRPr="006B40CA">
        <w:rPr>
          <w:sz w:val="16"/>
          <w:szCs w:val="16"/>
        </w:rPr>
        <w:t>/</w:t>
      </w:r>
      <w:r>
        <w:rPr>
          <w:sz w:val="16"/>
          <w:szCs w:val="16"/>
        </w:rPr>
        <w:t>510)</w:t>
      </w:r>
    </w:p>
    <w:p w14:paraId="5B84D52B" w14:textId="5F58C537" w:rsidR="000A14AD" w:rsidRPr="008D2125" w:rsidRDefault="000A14AD" w:rsidP="000A14AD">
      <w:pPr>
        <w:pStyle w:val="Heading1"/>
        <w:spacing w:before="300"/>
        <w:ind w:left="0" w:firstLine="0"/>
        <w:jc w:val="center"/>
        <w:rPr>
          <w:b w:val="0"/>
          <w:szCs w:val="22"/>
          <w:lang w:val="en-US"/>
        </w:rPr>
      </w:pPr>
      <w:r w:rsidRPr="008D2125">
        <w:rPr>
          <w:szCs w:val="22"/>
          <w:lang w:val="en-US"/>
        </w:rPr>
        <w:t>Rules concerning</w:t>
      </w:r>
    </w:p>
    <w:p w14:paraId="11F2C903" w14:textId="170853D1" w:rsidR="000A14AD" w:rsidRDefault="000A14AD" w:rsidP="000E7624">
      <w:pPr>
        <w:pStyle w:val="Heading2"/>
        <w:ind w:left="0" w:firstLine="0"/>
        <w:jc w:val="center"/>
        <w:rPr>
          <w:szCs w:val="22"/>
          <w:lang w:val="en-US"/>
        </w:rPr>
      </w:pPr>
      <w:r w:rsidRPr="008D2125">
        <w:rPr>
          <w:szCs w:val="22"/>
          <w:lang w:val="en-US"/>
        </w:rPr>
        <w:t xml:space="preserve">RESOLUTION  </w:t>
      </w:r>
      <w:r w:rsidR="003D33FD">
        <w:rPr>
          <w:szCs w:val="22"/>
          <w:lang w:val="en-US"/>
        </w:rPr>
        <w:t>678</w:t>
      </w:r>
      <w:r w:rsidRPr="008D2125">
        <w:rPr>
          <w:szCs w:val="22"/>
          <w:lang w:val="en-US"/>
        </w:rPr>
        <w:t xml:space="preserve"> (WRC-</w:t>
      </w:r>
      <w:r w:rsidR="003D33FD">
        <w:rPr>
          <w:szCs w:val="22"/>
          <w:lang w:val="en-US"/>
        </w:rPr>
        <w:t>23</w:t>
      </w:r>
      <w:r w:rsidRPr="008D2125">
        <w:rPr>
          <w:szCs w:val="22"/>
          <w:lang w:val="en-US"/>
        </w:rPr>
        <w:t>)</w:t>
      </w:r>
    </w:p>
    <w:p w14:paraId="0C1AC781" w14:textId="595C55EC" w:rsidR="003F2AFA" w:rsidRDefault="00461D63" w:rsidP="000071D0">
      <w:pPr>
        <w:pStyle w:val="Heading1"/>
        <w:spacing w:before="300"/>
        <w:ind w:left="0" w:firstLine="0"/>
        <w:jc w:val="center"/>
      </w:pPr>
      <w:r w:rsidRPr="00461D63">
        <w:t xml:space="preserve">Use of the </w:t>
      </w:r>
      <w:r w:rsidRPr="000071D0">
        <w:rPr>
          <w:szCs w:val="22"/>
          <w:lang w:val="en-US"/>
        </w:rPr>
        <w:t>frequency</w:t>
      </w:r>
      <w:r w:rsidRPr="00461D63">
        <w:t xml:space="preserve"> band 14.8-15.35 GHz by the space research service </w:t>
      </w:r>
      <w:r w:rsidRPr="00461D63">
        <w:br/>
        <w:t xml:space="preserve">(space-to-space) (Earth-to-space) (space-to-Earth) </w:t>
      </w:r>
      <w:r w:rsidRPr="00461D63">
        <w:br/>
        <w:t>and associated transitional measures</w:t>
      </w:r>
    </w:p>
    <w:p w14:paraId="2108112E" w14:textId="21A04A49" w:rsidR="00771BBD" w:rsidRPr="00B84975" w:rsidRDefault="001B1BDB" w:rsidP="000071D0">
      <w:pPr>
        <w:rPr>
          <w:lang w:val="en-US"/>
        </w:rPr>
      </w:pPr>
      <w:r>
        <w:rPr>
          <w:lang w:val="en-US"/>
        </w:rPr>
        <w:t>1</w:t>
      </w:r>
      <w:r>
        <w:rPr>
          <w:lang w:val="en-US"/>
        </w:rPr>
        <w:tab/>
      </w:r>
      <w:r w:rsidRPr="00B84975">
        <w:rPr>
          <w:lang w:val="en-US"/>
        </w:rPr>
        <w:t>For the Bureau</w:t>
      </w:r>
      <w:r w:rsidR="00B84975" w:rsidRPr="00B84975">
        <w:rPr>
          <w:lang w:val="en-US"/>
        </w:rPr>
        <w:t xml:space="preserve"> </w:t>
      </w:r>
      <w:r w:rsidR="00B84975" w:rsidRPr="00B84975">
        <w:t>to be able to examine compliance with the power flux-density (</w:t>
      </w:r>
      <w:proofErr w:type="spellStart"/>
      <w:r w:rsidR="00B84975" w:rsidRPr="00B84975">
        <w:t>pfd</w:t>
      </w:r>
      <w:proofErr w:type="spellEnd"/>
      <w:r w:rsidR="00B84975" w:rsidRPr="00B84975">
        <w:t xml:space="preserve">) level contained in </w:t>
      </w:r>
      <w:r w:rsidR="00B84975" w:rsidRPr="00B84975">
        <w:rPr>
          <w:i/>
          <w:iCs/>
        </w:rPr>
        <w:t>resolves</w:t>
      </w:r>
      <w:r w:rsidR="00B84975" w:rsidRPr="00B84975">
        <w:t> 1.1 of Resolution </w:t>
      </w:r>
      <w:r w:rsidR="00B84975" w:rsidRPr="00B84975">
        <w:rPr>
          <w:b/>
          <w:bCs/>
        </w:rPr>
        <w:t>678 (WRC</w:t>
      </w:r>
      <w:r w:rsidR="00B84975" w:rsidRPr="00B84975">
        <w:rPr>
          <w:b/>
          <w:bCs/>
        </w:rPr>
        <w:noBreakHyphen/>
        <w:t>23)</w:t>
      </w:r>
      <w:r w:rsidR="00B84975" w:rsidRPr="00B84975">
        <w:t xml:space="preserve">, the Board decided that a commitment not to exceed the </w:t>
      </w:r>
      <w:proofErr w:type="spellStart"/>
      <w:r w:rsidR="00B84975" w:rsidRPr="00B84975">
        <w:t>pfd</w:t>
      </w:r>
      <w:proofErr w:type="spellEnd"/>
      <w:r w:rsidR="00B84975" w:rsidRPr="00B84975">
        <w:t xml:space="preserve"> level of −156 dB(W/m</w:t>
      </w:r>
      <w:r w:rsidR="00B84975" w:rsidRPr="00B84975">
        <w:rPr>
          <w:vertAlign w:val="superscript"/>
        </w:rPr>
        <w:t>2</w:t>
      </w:r>
      <w:r w:rsidR="00B84975" w:rsidRPr="00B84975">
        <w:t>) for more than 2% of the time in a 50 MHz bandwidth in the frequency band 15.35-15.4 GHz, at any radio astronomy site observing in the frequency band 15.35-15.4 GHz, is required when notifying earth stations operating in the space research service in the frequency band 14.8-15.35 GHz</w:t>
      </w:r>
      <w:r w:rsidR="00B84975" w:rsidRPr="00B84975">
        <w:rPr>
          <w:lang w:val="en-US"/>
        </w:rPr>
        <w:t>.</w:t>
      </w:r>
    </w:p>
    <w:p w14:paraId="2821F761" w14:textId="307DC447" w:rsidR="001B1BDB" w:rsidRPr="000D1D6D" w:rsidRDefault="00B84975" w:rsidP="000071D0">
      <w:pPr>
        <w:rPr>
          <w:lang w:val="en-US"/>
        </w:rPr>
      </w:pPr>
      <w:r>
        <w:rPr>
          <w:lang w:val="en-US"/>
        </w:rPr>
        <w:t>2</w:t>
      </w:r>
      <w:r>
        <w:rPr>
          <w:lang w:val="en-US"/>
        </w:rPr>
        <w:tab/>
      </w:r>
      <w:r w:rsidR="00526977">
        <w:rPr>
          <w:lang w:val="en-US"/>
        </w:rPr>
        <w:t xml:space="preserve">In </w:t>
      </w:r>
      <w:r w:rsidR="00526977">
        <w:rPr>
          <w:i/>
          <w:iCs/>
          <w:lang w:val="en-US"/>
        </w:rPr>
        <w:t>resolves</w:t>
      </w:r>
      <w:r w:rsidR="00526977">
        <w:rPr>
          <w:lang w:val="en-US"/>
        </w:rPr>
        <w:t xml:space="preserve"> 1.5</w:t>
      </w:r>
      <w:r w:rsidR="00526977" w:rsidRPr="000D1D6D">
        <w:rPr>
          <w:lang w:val="en-US"/>
        </w:rPr>
        <w:t xml:space="preserve">, </w:t>
      </w:r>
      <w:r w:rsidR="000D1D6D" w:rsidRPr="000D1D6D">
        <w:t xml:space="preserve">three </w:t>
      </w:r>
      <w:proofErr w:type="spellStart"/>
      <w:r w:rsidR="000D1D6D" w:rsidRPr="000D1D6D">
        <w:t>pfd</w:t>
      </w:r>
      <w:proofErr w:type="spellEnd"/>
      <w:r w:rsidR="000D1D6D" w:rsidRPr="000D1D6D">
        <w:t xml:space="preserve"> limits on the Earth’s surface are listed as applicable to space stations in the space research service in the frequency band 14.8-15.35 GHz. The </w:t>
      </w:r>
      <w:proofErr w:type="spellStart"/>
      <w:r w:rsidR="000D1D6D" w:rsidRPr="000D1D6D">
        <w:t>pfd</w:t>
      </w:r>
      <w:proofErr w:type="spellEnd"/>
      <w:r w:rsidR="000D1D6D" w:rsidRPr="000D1D6D">
        <w:t xml:space="preserve"> limit of −145.6 dB(W/(m</w:t>
      </w:r>
      <w:r w:rsidR="000D1D6D" w:rsidRPr="000D1D6D">
        <w:rPr>
          <w:vertAlign w:val="superscript"/>
        </w:rPr>
        <w:t>2</w:t>
      </w:r>
      <w:r w:rsidR="000D1D6D" w:rsidRPr="000D1D6D">
        <w:t> · MHz)) produced at any point on the Earth’s surface and not to be exceeded for more than 1% of time within a 24-hour period is applicable to space-to-space links. The Board decided that the Bureau should apply the following methodology in order to establish findings under No. </w:t>
      </w:r>
      <w:r w:rsidR="000D1D6D" w:rsidRPr="000D1D6D">
        <w:rPr>
          <w:b/>
          <w:bCs/>
        </w:rPr>
        <w:t>11.31</w:t>
      </w:r>
      <w:r w:rsidR="000D1D6D" w:rsidRPr="000D1D6D">
        <w:t xml:space="preserve"> related to this </w:t>
      </w:r>
      <w:proofErr w:type="spellStart"/>
      <w:r w:rsidR="000D1D6D" w:rsidRPr="000D1D6D">
        <w:t>pfd</w:t>
      </w:r>
      <w:proofErr w:type="spellEnd"/>
      <w:r w:rsidR="000D1D6D" w:rsidRPr="000D1D6D">
        <w:t xml:space="preserve"> limit</w:t>
      </w:r>
      <w:r w:rsidR="00526977" w:rsidRPr="000D1D6D">
        <w:rPr>
          <w:lang w:val="en-US"/>
        </w:rPr>
        <w:t>.</w:t>
      </w:r>
    </w:p>
    <w:p w14:paraId="45F60B9A" w14:textId="4D24ECBD" w:rsidR="001B1BDB" w:rsidRDefault="002A688C" w:rsidP="00771BBD">
      <w:pPr>
        <w:rPr>
          <w:lang w:val="en-US"/>
        </w:rPr>
      </w:pPr>
      <w:r>
        <w:rPr>
          <w:lang w:val="en-US"/>
        </w:rPr>
        <w:t>2.1</w:t>
      </w:r>
      <w:r>
        <w:rPr>
          <w:lang w:val="en-US"/>
        </w:rPr>
        <w:tab/>
        <w:t>Direction of transmission</w:t>
      </w:r>
    </w:p>
    <w:p w14:paraId="3FA99365" w14:textId="16A169E6" w:rsidR="00E224FB" w:rsidRDefault="00DA610C" w:rsidP="00DA610C">
      <w:pPr>
        <w:rPr>
          <w:lang w:val="en-US"/>
        </w:rPr>
      </w:pPr>
      <w:r w:rsidRPr="00D3450F">
        <w:t>A finding shall be established only for frequency assignments in the satellite transmitting beams. In the case of a receiving beam when transmission is carried out by an associated space station, the finding shall be established for the frequency assignments of this associated space station.</w:t>
      </w:r>
    </w:p>
    <w:p w14:paraId="041971D7" w14:textId="77777777" w:rsidR="00AC7611" w:rsidRPr="00D3450F" w:rsidRDefault="00AC7611" w:rsidP="00AC7611">
      <w:r w:rsidRPr="00D3450F">
        <w:t>2.2</w:t>
      </w:r>
      <w:r w:rsidRPr="00D3450F">
        <w:tab/>
        <w:t>Case where both space stations are using the geostationary-satellite orbit</w:t>
      </w:r>
    </w:p>
    <w:p w14:paraId="5F30F761" w14:textId="6AA54D37" w:rsidR="00AC7611" w:rsidRPr="00D3450F" w:rsidRDefault="00AC7611" w:rsidP="00AC7611">
      <w:r w:rsidRPr="00D3450F">
        <w:t xml:space="preserve">The </w:t>
      </w:r>
      <w:proofErr w:type="spellStart"/>
      <w:r w:rsidRPr="00D3450F">
        <w:t>pfd</w:t>
      </w:r>
      <w:proofErr w:type="spellEnd"/>
      <w:r w:rsidRPr="00D3450F">
        <w:t xml:space="preserve"> level is calculated using static geometry. The </w:t>
      </w:r>
      <w:proofErr w:type="spellStart"/>
      <w:r w:rsidRPr="00D3450F">
        <w:t>pfd</w:t>
      </w:r>
      <w:proofErr w:type="spellEnd"/>
      <w:r w:rsidRPr="00D3450F">
        <w:t xml:space="preserve"> limit is considered as having been exceeded if the </w:t>
      </w:r>
      <w:proofErr w:type="spellStart"/>
      <w:r w:rsidRPr="00D3450F">
        <w:t>pfd</w:t>
      </w:r>
      <w:proofErr w:type="spellEnd"/>
      <w:r w:rsidRPr="00D3450F">
        <w:t xml:space="preserve"> level of −145.6 dB(W/(m</w:t>
      </w:r>
      <w:r w:rsidRPr="00D3450F">
        <w:rPr>
          <w:vertAlign w:val="superscript"/>
        </w:rPr>
        <w:t>2</w:t>
      </w:r>
      <w:r w:rsidRPr="00D3450F">
        <w:t> · MHz)) is exceeded at any point of the Earth’</w:t>
      </w:r>
      <w:r w:rsidR="00C73FC1">
        <w:t>s</w:t>
      </w:r>
      <w:r w:rsidRPr="00D3450F">
        <w:t xml:space="preserve"> surface.</w:t>
      </w:r>
    </w:p>
    <w:p w14:paraId="748F3FDE" w14:textId="77777777" w:rsidR="00AC7611" w:rsidRPr="00D3450F" w:rsidRDefault="00AC7611" w:rsidP="00AC7611">
      <w:r w:rsidRPr="00D3450F">
        <w:t>2.3</w:t>
      </w:r>
      <w:r w:rsidRPr="00D3450F">
        <w:tab/>
        <w:t>Case where any of the space stations is using a non-geostationary-satellite orbit</w:t>
      </w:r>
    </w:p>
    <w:p w14:paraId="36921C9D" w14:textId="77777777" w:rsidR="00AC7611" w:rsidRPr="00D3450F" w:rsidRDefault="00AC7611" w:rsidP="00AC7611">
      <w:r w:rsidRPr="00D3450F">
        <w:t xml:space="preserve">The </w:t>
      </w:r>
      <w:proofErr w:type="spellStart"/>
      <w:r w:rsidRPr="00D3450F">
        <w:t>pfd</w:t>
      </w:r>
      <w:proofErr w:type="spellEnd"/>
      <w:r w:rsidRPr="00D3450F">
        <w:t xml:space="preserve"> level is calculated at each grid point on the Earth’s surface through a dynamic simulation over a sufficient simulation running time. For each time step, a space-to-space link is established using the two closest space stations. </w:t>
      </w:r>
    </w:p>
    <w:p w14:paraId="1E607B58" w14:textId="77777777" w:rsidR="00AC7611" w:rsidRPr="00D3450F" w:rsidRDefault="00AC7611" w:rsidP="00AC7611">
      <w:r w:rsidRPr="00D3450F">
        <w:t xml:space="preserve">To identify whether the </w:t>
      </w:r>
      <w:proofErr w:type="spellStart"/>
      <w:r w:rsidRPr="00D3450F">
        <w:t>pfd</w:t>
      </w:r>
      <w:proofErr w:type="spellEnd"/>
      <w:r w:rsidRPr="00D3450F">
        <w:t xml:space="preserve"> limit has been exceeded, the worst 24-hour period (i.e. having the maximum number of events exceeding the value of −145.6 dB(W/(m</w:t>
      </w:r>
      <w:r w:rsidRPr="00D3450F">
        <w:rPr>
          <w:vertAlign w:val="superscript"/>
        </w:rPr>
        <w:t>2</w:t>
      </w:r>
      <w:r w:rsidRPr="00D3450F">
        <w:t> · MHz)) at any grid point) is considered.</w:t>
      </w:r>
    </w:p>
    <w:p w14:paraId="1BC99C71" w14:textId="77777777" w:rsidR="00BC68BD" w:rsidRDefault="00BC68BD">
      <w:pPr>
        <w:tabs>
          <w:tab w:val="clear" w:pos="1134"/>
          <w:tab w:val="clear" w:pos="1871"/>
          <w:tab w:val="clear" w:pos="2268"/>
        </w:tabs>
        <w:overflowPunct/>
        <w:autoSpaceDE/>
        <w:autoSpaceDN/>
        <w:adjustRightInd/>
        <w:spacing w:before="0"/>
        <w:jc w:val="left"/>
        <w:textAlignment w:val="auto"/>
      </w:pPr>
      <w:r>
        <w:br w:type="page"/>
      </w:r>
    </w:p>
    <w:p w14:paraId="76689D4E" w14:textId="6AF03261" w:rsidR="00AC7611" w:rsidRPr="00D3450F" w:rsidRDefault="00AC7611" w:rsidP="00AC7611">
      <w:r w:rsidRPr="00D3450F">
        <w:lastRenderedPageBreak/>
        <w:t>2.4</w:t>
      </w:r>
      <w:r w:rsidRPr="00D3450F">
        <w:tab/>
        <w:t>Space station radiation antenna patterns</w:t>
      </w:r>
    </w:p>
    <w:p w14:paraId="2667BE56" w14:textId="77777777" w:rsidR="00AC7611" w:rsidRPr="00D3450F" w:rsidRDefault="00AC7611" w:rsidP="00AC7611">
      <w:r w:rsidRPr="00D3450F">
        <w:t xml:space="preserve">Administrations submitting a notice for frequency assignments to a space station in the space research service in the frequency band 14.8-15.35 GHz shall either indicate a standard space station antenna radiation pattern or capture a non-standard antenna pattern in </w:t>
      </w:r>
      <w:r w:rsidRPr="00D3450F">
        <w:rPr>
          <w:sz w:val="23"/>
          <w:szCs w:val="23"/>
        </w:rPr>
        <w:t>the Graphical Interference Management Software (GIMS)</w:t>
      </w:r>
      <w:r w:rsidRPr="00D3450F">
        <w:t>.</w:t>
      </w:r>
    </w:p>
    <w:p w14:paraId="74FDAC9A" w14:textId="77777777" w:rsidR="00AC7611" w:rsidRPr="00D3450F" w:rsidRDefault="00AC7611" w:rsidP="00AC7611">
      <w:r w:rsidRPr="00D3450F">
        <w:t>2.5</w:t>
      </w:r>
      <w:r w:rsidRPr="00D3450F">
        <w:tab/>
        <w:t>Status of the notification of the associated space station</w:t>
      </w:r>
    </w:p>
    <w:p w14:paraId="42D37519" w14:textId="77777777" w:rsidR="00AC7611" w:rsidRPr="00D3450F" w:rsidRDefault="00AC7611" w:rsidP="00AC7611">
      <w:r w:rsidRPr="00D3450F">
        <w:t>In cases where a notice for frequency assignments to a space station in the space research service in the frequency band 14.8-15.35 GHz is submitted for coordination, but the notice for frequency assignments to the associated space station in the non-geostationary satellite orbit has not yet been communicated to the Bureau, the Bureau shall establish a qualified favourable finding that shall be reviewed at the notification stage.</w:t>
      </w:r>
    </w:p>
    <w:p w14:paraId="149439A0" w14:textId="1DDB7741" w:rsidR="001B1BDB" w:rsidRPr="00771BBD" w:rsidRDefault="00AC7611" w:rsidP="00AC7611">
      <w:pPr>
        <w:rPr>
          <w:lang w:val="en-US"/>
        </w:rPr>
      </w:pPr>
      <w:r w:rsidRPr="00D3450F">
        <w:t xml:space="preserve">In cases where a notice for frequency assignments to a space station in the space research service in the frequency band 14.8-15.35 GHz is submitted for notification, but the notice for frequency assignments to the associated space station for advance publication, coordination as appropriate, has not yet been received, the notice for notification referred to above is considered non-receivable (see </w:t>
      </w:r>
      <w:r>
        <w:t>§</w:t>
      </w:r>
      <w:r w:rsidRPr="00D3450F">
        <w:t> 4.3.3 of the rules on receivability).</w:t>
      </w:r>
    </w:p>
    <w:p w14:paraId="3370F54D" w14:textId="585010DE" w:rsidR="000E7624" w:rsidRPr="000E7624" w:rsidRDefault="000E7624" w:rsidP="000E7624">
      <w:pPr>
        <w:spacing w:before="0"/>
        <w:rPr>
          <w:sz w:val="16"/>
          <w:szCs w:val="16"/>
          <w:lang w:val="en-US"/>
        </w:rPr>
      </w:pPr>
    </w:p>
    <w:p w14:paraId="01D1B84D" w14:textId="0CD730B2" w:rsidR="00E052A7" w:rsidRDefault="00E052A7" w:rsidP="00D55F11">
      <w:pPr>
        <w:spacing w:before="120"/>
        <w:jc w:val="center"/>
        <w:rPr>
          <w:color w:val="000000"/>
        </w:rPr>
      </w:pPr>
      <w:r>
        <w:rPr>
          <w:color w:val="000000"/>
        </w:rPr>
        <w:t>____________________</w:t>
      </w:r>
    </w:p>
    <w:p w14:paraId="7896D9C9" w14:textId="77777777" w:rsidR="000071D0" w:rsidRDefault="000071D0" w:rsidP="000071D0"/>
    <w:p w14:paraId="54131F9F" w14:textId="77777777" w:rsidR="000071D0" w:rsidRDefault="000071D0" w:rsidP="000071D0"/>
    <w:p w14:paraId="2E7D8DEA" w14:textId="77777777" w:rsidR="000071D0" w:rsidRDefault="000071D0" w:rsidP="000071D0"/>
    <w:p w14:paraId="7D0F4CB9" w14:textId="77777777" w:rsidR="000071D0" w:rsidRDefault="000071D0" w:rsidP="000071D0"/>
    <w:p w14:paraId="36765821" w14:textId="77777777" w:rsidR="000071D0" w:rsidRDefault="000071D0" w:rsidP="000071D0"/>
    <w:p w14:paraId="602C7C3A" w14:textId="77777777" w:rsidR="000071D0" w:rsidRDefault="000071D0" w:rsidP="000071D0"/>
    <w:p w14:paraId="05C6D9FD" w14:textId="77777777" w:rsidR="000071D0" w:rsidRDefault="000071D0" w:rsidP="000071D0"/>
    <w:p w14:paraId="3EE588D8" w14:textId="77777777" w:rsidR="000071D0" w:rsidRDefault="000071D0" w:rsidP="000071D0"/>
    <w:p w14:paraId="7EA41D51" w14:textId="77777777" w:rsidR="000071D0" w:rsidRDefault="000071D0" w:rsidP="000071D0"/>
    <w:p w14:paraId="6BFB545E" w14:textId="77777777" w:rsidR="000071D0" w:rsidRDefault="000071D0" w:rsidP="000071D0"/>
    <w:p w14:paraId="78C25522" w14:textId="77777777" w:rsidR="000071D0" w:rsidRPr="00D55F11" w:rsidRDefault="000071D0" w:rsidP="000071D0"/>
    <w:p w14:paraId="65980689"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799E7" w14:textId="77777777" w:rsidR="005525D9" w:rsidRDefault="005525D9">
      <w:r>
        <w:separator/>
      </w:r>
    </w:p>
  </w:endnote>
  <w:endnote w:type="continuationSeparator" w:id="0">
    <w:p w14:paraId="2EDFAF23" w14:textId="77777777" w:rsidR="005525D9" w:rsidRDefault="0055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68064" w14:textId="77777777" w:rsidR="005525D9" w:rsidRDefault="005525D9">
      <w:r>
        <w:rPr>
          <w:b/>
        </w:rPr>
        <w:t>_______________</w:t>
      </w:r>
    </w:p>
  </w:footnote>
  <w:footnote w:type="continuationSeparator" w:id="0">
    <w:p w14:paraId="1E22B0F2" w14:textId="77777777" w:rsidR="005525D9" w:rsidRDefault="00552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1D0" w14:paraId="32CEE82A" w14:textId="77777777" w:rsidTr="000071D0">
      <w:trPr>
        <w:cantSplit/>
      </w:trPr>
      <w:tc>
        <w:tcPr>
          <w:tcW w:w="1701" w:type="dxa"/>
          <w:tcBorders>
            <w:top w:val="single" w:sz="6" w:space="0" w:color="auto"/>
            <w:left w:val="single" w:sz="6" w:space="0" w:color="auto"/>
            <w:bottom w:val="single" w:sz="6" w:space="0" w:color="auto"/>
            <w:right w:val="single" w:sz="6" w:space="0" w:color="auto"/>
          </w:tcBorders>
        </w:tcPr>
        <w:p w14:paraId="5F31F06C" w14:textId="77777777" w:rsidR="000071D0" w:rsidRDefault="000071D0" w:rsidP="000071D0">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9E1419E" w14:textId="77777777" w:rsidR="000071D0" w:rsidRDefault="000071D0" w:rsidP="000071D0">
          <w:pPr>
            <w:pStyle w:val="HeaderRegProc"/>
            <w:rPr>
              <w:lang w:val="fr-FR"/>
            </w:rPr>
          </w:pPr>
          <w:r>
            <w:t>RES678</w:t>
          </w:r>
        </w:p>
      </w:tc>
      <w:tc>
        <w:tcPr>
          <w:tcW w:w="1701" w:type="dxa"/>
          <w:tcBorders>
            <w:top w:val="single" w:sz="6" w:space="0" w:color="auto"/>
            <w:left w:val="single" w:sz="6" w:space="0" w:color="auto"/>
            <w:bottom w:val="single" w:sz="6" w:space="0" w:color="auto"/>
            <w:right w:val="single" w:sz="6" w:space="0" w:color="auto"/>
          </w:tcBorders>
        </w:tcPr>
        <w:p w14:paraId="719F10D4" w14:textId="77777777" w:rsidR="000071D0" w:rsidRDefault="000071D0" w:rsidP="000071D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558B53" w14:textId="77777777" w:rsidR="000071D0" w:rsidRDefault="000071D0" w:rsidP="000071D0">
          <w:pPr>
            <w:pStyle w:val="HeaderRegProc"/>
            <w:rPr>
              <w:lang w:val="fr-CH"/>
            </w:rPr>
          </w:pPr>
          <w:proofErr w:type="spellStart"/>
          <w:proofErr w:type="gramStart"/>
          <w:r>
            <w:rPr>
              <w:lang w:val="fr-CH"/>
            </w:rPr>
            <w:t>rev</w:t>
          </w:r>
          <w:proofErr w:type="spellEnd"/>
          <w:proofErr w:type="gramEnd"/>
          <w:r>
            <w:rPr>
              <w:lang w:val="fr-CH"/>
            </w:rPr>
            <w:t>. 5</w:t>
          </w:r>
        </w:p>
      </w:tc>
    </w:tr>
  </w:tbl>
  <w:p w14:paraId="430F01B3" w14:textId="77777777" w:rsidR="000A14AD" w:rsidRPr="000071D0" w:rsidRDefault="000A14AD" w:rsidP="00007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73B38F62" w:rsidR="000A14AD" w:rsidRDefault="000A14AD" w:rsidP="001221BA">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09056DC1" w:rsidR="000A14AD" w:rsidRDefault="000A14AD" w:rsidP="001221BA">
          <w:pPr>
            <w:pStyle w:val="HeaderRegProc"/>
            <w:rPr>
              <w:lang w:val="fr-FR"/>
            </w:rPr>
          </w:pPr>
          <w:r>
            <w:t>RES</w:t>
          </w:r>
          <w:r w:rsidR="003D33FD">
            <w:t>678</w:t>
          </w:r>
        </w:p>
      </w:tc>
      <w:tc>
        <w:tcPr>
          <w:tcW w:w="1701" w:type="dxa"/>
          <w:tcBorders>
            <w:top w:val="single" w:sz="6" w:space="0" w:color="auto"/>
            <w:left w:val="single" w:sz="6" w:space="0" w:color="auto"/>
            <w:bottom w:val="single" w:sz="6" w:space="0" w:color="auto"/>
            <w:right w:val="single" w:sz="6" w:space="0" w:color="auto"/>
          </w:tcBorders>
        </w:tcPr>
        <w:p w14:paraId="51F83765" w14:textId="77777777" w:rsidR="000A14AD" w:rsidRDefault="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0E2246DA" w:rsidR="000A14AD" w:rsidRDefault="000A14AD" w:rsidP="006A4C0E">
          <w:pPr>
            <w:pStyle w:val="HeaderRegProc"/>
            <w:rPr>
              <w:lang w:val="fr-CH"/>
            </w:rPr>
          </w:pPr>
          <w:proofErr w:type="spellStart"/>
          <w:proofErr w:type="gramStart"/>
          <w:r>
            <w:rPr>
              <w:lang w:val="fr-CH"/>
            </w:rPr>
            <w:t>rev</w:t>
          </w:r>
          <w:proofErr w:type="spellEnd"/>
          <w:proofErr w:type="gramEnd"/>
          <w:r>
            <w:rPr>
              <w:lang w:val="fr-CH"/>
            </w:rPr>
            <w:t>.</w:t>
          </w:r>
          <w:r w:rsidR="000E7624">
            <w:rPr>
              <w:lang w:val="fr-CH"/>
            </w:rPr>
            <w:t xml:space="preserve"> </w:t>
          </w:r>
          <w:r w:rsidR="003D33FD">
            <w:rPr>
              <w:lang w:val="fr-CH"/>
            </w:rPr>
            <w:t>5</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071D0"/>
    <w:rsid w:val="000A14AD"/>
    <w:rsid w:val="000B52F9"/>
    <w:rsid w:val="000D1D6D"/>
    <w:rsid w:val="000E051F"/>
    <w:rsid w:val="000E7624"/>
    <w:rsid w:val="000F7D8B"/>
    <w:rsid w:val="00117C3F"/>
    <w:rsid w:val="001221BA"/>
    <w:rsid w:val="001A7879"/>
    <w:rsid w:val="001B1BDB"/>
    <w:rsid w:val="002A688C"/>
    <w:rsid w:val="002E60F1"/>
    <w:rsid w:val="002F6FCF"/>
    <w:rsid w:val="0031098C"/>
    <w:rsid w:val="00382B7D"/>
    <w:rsid w:val="003B50A6"/>
    <w:rsid w:val="003D33FD"/>
    <w:rsid w:val="003E1D7F"/>
    <w:rsid w:val="003F0B46"/>
    <w:rsid w:val="003F2AFA"/>
    <w:rsid w:val="00442396"/>
    <w:rsid w:val="00461D63"/>
    <w:rsid w:val="00526977"/>
    <w:rsid w:val="00545224"/>
    <w:rsid w:val="005525D9"/>
    <w:rsid w:val="00636EA8"/>
    <w:rsid w:val="006948D0"/>
    <w:rsid w:val="006A4C0E"/>
    <w:rsid w:val="0075378D"/>
    <w:rsid w:val="00762ECE"/>
    <w:rsid w:val="00771BBD"/>
    <w:rsid w:val="007E3EEF"/>
    <w:rsid w:val="00824378"/>
    <w:rsid w:val="00844A76"/>
    <w:rsid w:val="0089365D"/>
    <w:rsid w:val="008A34C6"/>
    <w:rsid w:val="00935263"/>
    <w:rsid w:val="009421B6"/>
    <w:rsid w:val="0099265C"/>
    <w:rsid w:val="00A70933"/>
    <w:rsid w:val="00AC7611"/>
    <w:rsid w:val="00B84975"/>
    <w:rsid w:val="00BA6673"/>
    <w:rsid w:val="00BC68BD"/>
    <w:rsid w:val="00C344DE"/>
    <w:rsid w:val="00C73FC1"/>
    <w:rsid w:val="00C91547"/>
    <w:rsid w:val="00CC1BC0"/>
    <w:rsid w:val="00D41107"/>
    <w:rsid w:val="00D55F11"/>
    <w:rsid w:val="00DA610C"/>
    <w:rsid w:val="00E052A7"/>
    <w:rsid w:val="00E224FB"/>
    <w:rsid w:val="00E40145"/>
    <w:rsid w:val="00E557EE"/>
    <w:rsid w:val="00E70951"/>
    <w:rsid w:val="00F17911"/>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paragraph" w:styleId="ListParagraph">
    <w:name w:val="List Paragraph"/>
    <w:basedOn w:val="Normal"/>
    <w:uiPriority w:val="34"/>
    <w:qFormat/>
    <w:rsid w:val="001B1B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51</TotalTime>
  <Pages>3</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Gomez, Yoanni</cp:lastModifiedBy>
  <cp:revision>31</cp:revision>
  <cp:lastPrinted>2024-11-28T12:33:00Z</cp:lastPrinted>
  <dcterms:created xsi:type="dcterms:W3CDTF">2020-11-18T16:15:00Z</dcterms:created>
  <dcterms:modified xsi:type="dcterms:W3CDTF">2024-12-02T08:25:00Z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