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638689" w14:textId="77777777" w:rsidR="00085F8F" w:rsidRPr="006B40CA" w:rsidRDefault="00085F8F" w:rsidP="00085F8F">
      <w:pPr>
        <w:rPr>
          <w:sz w:val="16"/>
          <w:szCs w:val="16"/>
        </w:rPr>
      </w:pPr>
      <w:r w:rsidRPr="006B40CA">
        <w:rPr>
          <w:sz w:val="16"/>
          <w:szCs w:val="16"/>
        </w:rPr>
        <w:t>(ADD RRB2</w:t>
      </w:r>
      <w:r>
        <w:rPr>
          <w:sz w:val="16"/>
          <w:szCs w:val="16"/>
        </w:rPr>
        <w:t>4</w:t>
      </w:r>
      <w:r w:rsidRPr="006B40CA">
        <w:rPr>
          <w:sz w:val="16"/>
          <w:szCs w:val="16"/>
        </w:rPr>
        <w:t>/</w:t>
      </w:r>
      <w:r>
        <w:rPr>
          <w:sz w:val="16"/>
          <w:szCs w:val="16"/>
        </w:rPr>
        <w:t>510)</w:t>
      </w:r>
    </w:p>
    <w:p w14:paraId="59E2D0DB" w14:textId="1542AAA6" w:rsidR="00E052A7" w:rsidRDefault="00E052A7" w:rsidP="0089365D">
      <w:pPr>
        <w:pStyle w:val="Heading1"/>
        <w:spacing w:before="300"/>
        <w:ind w:left="0" w:firstLine="0"/>
        <w:jc w:val="center"/>
      </w:pPr>
      <w:r>
        <w:t>Rules concerning</w:t>
      </w:r>
    </w:p>
    <w:p w14:paraId="6D735A6A" w14:textId="3ABDD4AC" w:rsidR="00E052A7" w:rsidRDefault="00E052A7">
      <w:pPr>
        <w:pStyle w:val="Heading2"/>
        <w:ind w:left="0" w:firstLine="0"/>
        <w:jc w:val="center"/>
      </w:pPr>
      <w:r>
        <w:t xml:space="preserve">RESOLUTION  </w:t>
      </w:r>
      <w:r w:rsidR="00062037">
        <w:rPr>
          <w:rStyle w:val="href2"/>
        </w:rPr>
        <w:t>123</w:t>
      </w:r>
      <w:r>
        <w:t xml:space="preserve"> (WRC-</w:t>
      </w:r>
      <w:r w:rsidR="00062037">
        <w:t>2</w:t>
      </w:r>
      <w:r w:rsidR="00A002ED">
        <w:t>3</w:t>
      </w:r>
      <w:r>
        <w:t>)</w:t>
      </w:r>
    </w:p>
    <w:p w14:paraId="7D60942F" w14:textId="784F63A5" w:rsidR="00E052A7" w:rsidRDefault="00264A7E" w:rsidP="003F79CF">
      <w:pPr>
        <w:pStyle w:val="Heading1"/>
        <w:ind w:left="0" w:firstLine="0"/>
        <w:jc w:val="center"/>
      </w:pPr>
      <w:r w:rsidRPr="00264A7E">
        <w:t xml:space="preserve">Use of the frequency bands 17.7-18.6 GHz, 18.8-19.3 GHz </w:t>
      </w:r>
      <w:r w:rsidR="001E215E" w:rsidRPr="00264A7E">
        <w:t>and</w:t>
      </w:r>
      <w:r w:rsidR="001E215E">
        <w:br/>
      </w:r>
      <w:r w:rsidRPr="00264A7E">
        <w:t xml:space="preserve">19.7-20.2 GHz (space-to-Earth) and 27.5-29.1 GHz </w:t>
      </w:r>
      <w:r w:rsidR="001E215E" w:rsidRPr="00264A7E">
        <w:t>and</w:t>
      </w:r>
      <w:r w:rsidR="001E215E">
        <w:br/>
      </w:r>
      <w:r w:rsidRPr="00264A7E">
        <w:t xml:space="preserve">29.5-30 GHz (Earth-to-space) by aeronautical </w:t>
      </w:r>
      <w:r w:rsidR="001E215E" w:rsidRPr="00264A7E">
        <w:t>and</w:t>
      </w:r>
      <w:r w:rsidR="001E215E">
        <w:br/>
      </w:r>
      <w:r w:rsidRPr="00264A7E">
        <w:t xml:space="preserve">maritime earth stations in motion communicating </w:t>
      </w:r>
      <w:r w:rsidR="001E215E">
        <w:br/>
      </w:r>
      <w:r w:rsidRPr="00264A7E">
        <w:t xml:space="preserve">with non-geostationary space stations </w:t>
      </w:r>
      <w:r w:rsidR="008018D9">
        <w:br/>
      </w:r>
      <w:r w:rsidRPr="00264A7E">
        <w:t>in the fixed-satellite service</w:t>
      </w:r>
    </w:p>
    <w:p w14:paraId="4922EEB4" w14:textId="77777777" w:rsidR="009B0898" w:rsidRPr="009B0898" w:rsidRDefault="009B0898" w:rsidP="00E07A08">
      <w:r w:rsidRPr="009B0898">
        <w:t>1</w:t>
      </w:r>
      <w:r w:rsidRPr="009B0898">
        <w:tab/>
        <w:t>The Board noted that r</w:t>
      </w:r>
      <w:r w:rsidRPr="009B0898">
        <w:rPr>
          <w:i/>
          <w:iCs/>
        </w:rPr>
        <w:t>esolves </w:t>
      </w:r>
      <w:r w:rsidRPr="009B0898">
        <w:t>2 of Resolution </w:t>
      </w:r>
      <w:r w:rsidRPr="009B0898">
        <w:rPr>
          <w:b/>
          <w:bCs/>
        </w:rPr>
        <w:t>123 (WRC</w:t>
      </w:r>
      <w:r w:rsidRPr="009B0898">
        <w:rPr>
          <w:b/>
          <w:bCs/>
        </w:rPr>
        <w:noBreakHyphen/>
        <w:t>23)</w:t>
      </w:r>
      <w:r w:rsidRPr="009B0898">
        <w:t xml:space="preserve"> requires that the </w:t>
      </w:r>
      <w:r w:rsidRPr="009B0898">
        <w:rPr>
          <w:szCs w:val="24"/>
        </w:rPr>
        <w:t>characteristics</w:t>
      </w:r>
      <w:r w:rsidRPr="009B0898">
        <w:t xml:space="preserve"> of earth stations in motion (ESIMs) shall remain within the envelope characteristics, including any applicable coordination agreement, of typical earth stations associated with the non-geostationary satellite orbit (non-GSO) system in the fixed-satellite service (FSS) with which ESIMs communicate.</w:t>
      </w:r>
    </w:p>
    <w:p w14:paraId="5C2C5644" w14:textId="77777777" w:rsidR="009B0898" w:rsidRPr="009B0898" w:rsidRDefault="009B0898" w:rsidP="00E07A08">
      <w:r w:rsidRPr="009B0898">
        <w:t>1.1</w:t>
      </w:r>
      <w:r w:rsidRPr="009B0898">
        <w:tab/>
        <w:t xml:space="preserve">For applying </w:t>
      </w:r>
      <w:r w:rsidRPr="009B0898">
        <w:rPr>
          <w:i/>
          <w:iCs/>
        </w:rPr>
        <w:t>resolves</w:t>
      </w:r>
      <w:r w:rsidRPr="009B0898">
        <w:t> 2, the Board decided that the Bureau shall identify whether the ESIM characteristics are within the envelope characteristics of typical earth stations associated with the satellite system with which those aeronautical and/or maritime ESIMs communicate by using the method contained in § 2.3 of the rule of procedure on No. </w:t>
      </w:r>
      <w:r w:rsidRPr="009B0898">
        <w:rPr>
          <w:b/>
          <w:bCs/>
        </w:rPr>
        <w:t>9.27</w:t>
      </w:r>
      <w:r w:rsidRPr="009B0898">
        <w:t>. In cases where such examination indicates that coordination requirements of the frequency assignments of aeronautical and/or maritime ESIMs involve any additional satellite network or system, the frequency assignments to the aeronautical and/or maritime ESIMs will be returned to the notifying administration together with an unfavourable finding under No. </w:t>
      </w:r>
      <w:r w:rsidRPr="009B0898">
        <w:rPr>
          <w:b/>
          <w:bCs/>
        </w:rPr>
        <w:t>11.32</w:t>
      </w:r>
      <w:r w:rsidRPr="009B0898">
        <w:t xml:space="preserve">. The results of the Bureau’s examination shall be published in its International Frequency Information Circular (BR IFIC). </w:t>
      </w:r>
    </w:p>
    <w:p w14:paraId="2BF6579B" w14:textId="77777777" w:rsidR="009B0898" w:rsidRPr="009B0898" w:rsidRDefault="009B0898" w:rsidP="00E07A08">
      <w:r w:rsidRPr="009B0898">
        <w:rPr>
          <w:szCs w:val="28"/>
        </w:rPr>
        <w:t>1.2</w:t>
      </w:r>
      <w:r w:rsidRPr="009B0898">
        <w:rPr>
          <w:szCs w:val="28"/>
        </w:rPr>
        <w:tab/>
        <w:t xml:space="preserve">In addition to the procedure indicated in § 1.1 above, in cases where ESIMs operate in the frequency bands </w:t>
      </w:r>
      <w:r w:rsidRPr="009B0898">
        <w:t>27.5</w:t>
      </w:r>
      <w:r w:rsidRPr="009B0898">
        <w:rPr>
          <w:szCs w:val="28"/>
        </w:rPr>
        <w:t>-28</w:t>
      </w:r>
      <w:r w:rsidRPr="009B0898">
        <w:t>.6 GHz and 29.5-30 GHz (Earth-to-space)</w:t>
      </w:r>
      <w:r w:rsidRPr="009B0898">
        <w:rPr>
          <w:szCs w:val="24"/>
        </w:rPr>
        <w:t>,</w:t>
      </w:r>
      <w:r w:rsidRPr="009B0898">
        <w:t xml:space="preserve"> the Board concluded that the minimum elevation angle submitted for ESIMs (see Appendix </w:t>
      </w:r>
      <w:r w:rsidRPr="009B0898">
        <w:rPr>
          <w:b/>
          <w:bCs/>
        </w:rPr>
        <w:t>4</w:t>
      </w:r>
      <w:r w:rsidRPr="009B0898">
        <w:t xml:space="preserve"> data </w:t>
      </w:r>
      <w:r w:rsidRPr="009B0898">
        <w:rPr>
          <w:szCs w:val="28"/>
        </w:rPr>
        <w:t>item A.36.a</w:t>
      </w:r>
      <w:r w:rsidRPr="009B0898">
        <w:t xml:space="preserve">) shall be greater than or equal to the minimum elevation angle submitted for the associated group of frequency assignments to the </w:t>
      </w:r>
      <w:r w:rsidRPr="009B0898">
        <w:rPr>
          <w:szCs w:val="28"/>
        </w:rPr>
        <w:t>non-GSO</w:t>
      </w:r>
      <w:r w:rsidRPr="009B0898">
        <w:t xml:space="preserve"> FSS system (see Appendix </w:t>
      </w:r>
      <w:r w:rsidRPr="009B0898">
        <w:rPr>
          <w:b/>
          <w:bCs/>
        </w:rPr>
        <w:t>4</w:t>
      </w:r>
      <w:r w:rsidRPr="009B0898">
        <w:t xml:space="preserve"> data item </w:t>
      </w:r>
      <w:r w:rsidRPr="009B0898">
        <w:rPr>
          <w:szCs w:val="28"/>
          <w:lang w:eastAsia="zh-CN"/>
        </w:rPr>
        <w:t>A.4.b.7.c</w:t>
      </w:r>
      <w:r w:rsidRPr="009B0898">
        <w:rPr>
          <w:i/>
          <w:szCs w:val="28"/>
          <w:lang w:eastAsia="zh-CN"/>
        </w:rPr>
        <w:t>bis</w:t>
      </w:r>
      <w:r w:rsidRPr="009B0898">
        <w:t xml:space="preserve">) in order to ensure that ESIMs comply with </w:t>
      </w:r>
      <w:proofErr w:type="spellStart"/>
      <w:r w:rsidRPr="009B0898">
        <w:t>epfd</w:t>
      </w:r>
      <w:proofErr w:type="spellEnd"/>
      <w:r w:rsidRPr="009B0898">
        <w:t xml:space="preserve"> limits </w:t>
      </w:r>
      <w:r w:rsidRPr="009B0898">
        <w:rPr>
          <w:bCs/>
        </w:rPr>
        <w:t>set out</w:t>
      </w:r>
      <w:r w:rsidRPr="009B0898">
        <w:t xml:space="preserve"> in No. </w:t>
      </w:r>
      <w:r w:rsidRPr="009B0898">
        <w:rPr>
          <w:b/>
          <w:bCs/>
          <w:szCs w:val="24"/>
        </w:rPr>
        <w:t>22.5D</w:t>
      </w:r>
      <w:r w:rsidRPr="009B0898">
        <w:t xml:space="preserve">. </w:t>
      </w:r>
    </w:p>
    <w:p w14:paraId="248B942D" w14:textId="77777777" w:rsidR="009B0898" w:rsidRPr="009B0898" w:rsidRDefault="009B0898" w:rsidP="00E07A08">
      <w:r w:rsidRPr="009B0898">
        <w:t xml:space="preserve">The Board noted that, for aeronautical ESIMs, the reference minimum elevation angle value of typical earth stations of the associated </w:t>
      </w:r>
      <w:r w:rsidRPr="009B0898">
        <w:rPr>
          <w:szCs w:val="28"/>
        </w:rPr>
        <w:t>non-GSO</w:t>
      </w:r>
      <w:r w:rsidRPr="009B0898">
        <w:t xml:space="preserve"> FSS system, when adjusted to an altitude of 15 km, will be greater than the one corresponding to an altitude of 0 km, provided that the same viewing angle is maintained from the </w:t>
      </w:r>
      <w:r w:rsidRPr="009B0898">
        <w:rPr>
          <w:szCs w:val="28"/>
        </w:rPr>
        <w:t xml:space="preserve">non-GSO </w:t>
      </w:r>
      <w:r w:rsidRPr="009B0898">
        <w:t>space station.</w:t>
      </w:r>
    </w:p>
    <w:p w14:paraId="51AF60A5" w14:textId="77777777" w:rsidR="00722FEF" w:rsidRDefault="00722FEF">
      <w:pPr>
        <w:tabs>
          <w:tab w:val="clear" w:pos="1134"/>
          <w:tab w:val="clear" w:pos="1871"/>
          <w:tab w:val="clear" w:pos="2268"/>
        </w:tabs>
        <w:overflowPunct/>
        <w:autoSpaceDE/>
        <w:autoSpaceDN/>
        <w:adjustRightInd/>
        <w:spacing w:before="0"/>
        <w:jc w:val="left"/>
        <w:textAlignment w:val="auto"/>
        <w:rPr>
          <w:rFonts w:asciiTheme="majorBidi" w:hAnsiTheme="majorBidi" w:cstheme="majorBidi"/>
          <w:iCs/>
          <w:szCs w:val="22"/>
        </w:rPr>
      </w:pPr>
      <w:r>
        <w:rPr>
          <w:rFonts w:asciiTheme="majorBidi" w:hAnsiTheme="majorBidi" w:cstheme="majorBidi"/>
          <w:iCs/>
          <w:szCs w:val="22"/>
        </w:rPr>
        <w:br w:type="page"/>
      </w:r>
    </w:p>
    <w:p w14:paraId="2EBE8E59" w14:textId="24790486" w:rsidR="009B0898" w:rsidRPr="009B0898" w:rsidRDefault="009B0898" w:rsidP="00E07A08">
      <w:r w:rsidRPr="009B0898">
        <w:rPr>
          <w:iCs/>
        </w:rPr>
        <w:lastRenderedPageBreak/>
        <w:t>2</w:t>
      </w:r>
      <w:r w:rsidRPr="009B0898">
        <w:rPr>
          <w:iCs/>
        </w:rPr>
        <w:tab/>
        <w:t xml:space="preserve">The Board noted that </w:t>
      </w:r>
      <w:r w:rsidRPr="009B0898">
        <w:rPr>
          <w:i/>
        </w:rPr>
        <w:t>resolves</w:t>
      </w:r>
      <w:r w:rsidRPr="009B0898">
        <w:rPr>
          <w:iCs/>
        </w:rPr>
        <w:t> 3</w:t>
      </w:r>
      <w:r w:rsidRPr="009B0898">
        <w:t>.5 of Resolution </w:t>
      </w:r>
      <w:r w:rsidRPr="009B0898">
        <w:rPr>
          <w:b/>
          <w:bCs/>
        </w:rPr>
        <w:t>123 (WRC</w:t>
      </w:r>
      <w:r w:rsidRPr="009B0898">
        <w:rPr>
          <w:b/>
          <w:bCs/>
        </w:rPr>
        <w:noBreakHyphen/>
        <w:t>23)</w:t>
      </w:r>
      <w:r w:rsidRPr="009B0898">
        <w:t xml:space="preserve"> requires that, with respect to the protection of the Earth exploration-satellite (passive) service operating in the frequency band 18.6</w:t>
      </w:r>
      <w:r w:rsidRPr="009B0898">
        <w:noBreakHyphen/>
        <w:t>18.8 GHz, any non-GSO FSS system with an orbital apogee of less than 20 000 km operating in the frequency bands 18.3-18.6 GHz and 18.8-19.1 GHz with which aeronautical and/or maritime ESIMs communicate and for which the complete notification information has been received by the Bureau after 1 January 2025 shall comply with the provisions indicated in Annex 3 to the Resolution. Given the fact that Resolution </w:t>
      </w:r>
      <w:r w:rsidRPr="009B0898">
        <w:rPr>
          <w:b/>
          <w:bCs/>
        </w:rPr>
        <w:t>123 (WRC</w:t>
      </w:r>
      <w:r w:rsidRPr="009B0898">
        <w:rPr>
          <w:b/>
          <w:bCs/>
        </w:rPr>
        <w:noBreakHyphen/>
        <w:t>23)</w:t>
      </w:r>
      <w:r w:rsidRPr="009B0898">
        <w:t xml:space="preserve"> entered into force on 1 January 2025, the Board concluded that the provision applies to any non-GSO FSS system with an orbital apogee of less than 20 000 km operating in the frequency bands 18.3-18.6 GHz and 18.8-19.1 GHz with which aeronautical and/or maritime ESIMs communicate and for which the notification information has been received by the Bureau as of, rather than only after, 1 January 2025.</w:t>
      </w:r>
    </w:p>
    <w:p w14:paraId="2952FB41" w14:textId="77777777" w:rsidR="009B0898" w:rsidRPr="009B0898" w:rsidRDefault="009B0898" w:rsidP="00E07A08">
      <w:r w:rsidRPr="009B0898">
        <w:t>3</w:t>
      </w:r>
      <w:r w:rsidRPr="009B0898">
        <w:tab/>
        <w:t xml:space="preserve">In addition, the Board concluded that the Bureau shall examine the characteristics of aeronautical ESIMs with respect to conformity with the </w:t>
      </w:r>
      <w:proofErr w:type="spellStart"/>
      <w:r w:rsidRPr="009B0898">
        <w:t>pfd</w:t>
      </w:r>
      <w:proofErr w:type="spellEnd"/>
      <w:r w:rsidRPr="009B0898">
        <w:t xml:space="preserve"> limits at the Earth’s surface specified in Part II of Annex 1 to Resolution </w:t>
      </w:r>
      <w:r w:rsidRPr="009B0898">
        <w:rPr>
          <w:b/>
          <w:bCs/>
        </w:rPr>
        <w:t>123 (WRC</w:t>
      </w:r>
      <w:r w:rsidRPr="009B0898">
        <w:rPr>
          <w:b/>
          <w:bCs/>
        </w:rPr>
        <w:noBreakHyphen/>
        <w:t>23)</w:t>
      </w:r>
      <w:r w:rsidRPr="009B0898">
        <w:t xml:space="preserve"> by using the methodology contained in the rule of procedure on calculation of power-flux density levels produced by aeronautical ESIMs and their validation with the limits in Annex 3 to Resolution </w:t>
      </w:r>
      <w:r w:rsidRPr="009B0898">
        <w:rPr>
          <w:b/>
          <w:bCs/>
        </w:rPr>
        <w:t>169 (Rev.WRC</w:t>
      </w:r>
      <w:r w:rsidRPr="009B0898">
        <w:rPr>
          <w:b/>
          <w:bCs/>
        </w:rPr>
        <w:noBreakHyphen/>
        <w:t>23)</w:t>
      </w:r>
      <w:r w:rsidRPr="009B0898">
        <w:t>, Annex 2 to Resolution </w:t>
      </w:r>
      <w:r w:rsidRPr="009B0898">
        <w:rPr>
          <w:b/>
          <w:bCs/>
        </w:rPr>
        <w:t>121 (WRC</w:t>
      </w:r>
      <w:r w:rsidRPr="009B0898">
        <w:rPr>
          <w:b/>
          <w:bCs/>
        </w:rPr>
        <w:noBreakHyphen/>
        <w:t>23)</w:t>
      </w:r>
      <w:r w:rsidRPr="009B0898">
        <w:t xml:space="preserve"> and Annex 2 to Resolution </w:t>
      </w:r>
      <w:r w:rsidRPr="009B0898">
        <w:rPr>
          <w:b/>
          <w:bCs/>
        </w:rPr>
        <w:t>123 (WRC</w:t>
      </w:r>
      <w:r w:rsidRPr="009B0898">
        <w:rPr>
          <w:b/>
          <w:bCs/>
        </w:rPr>
        <w:noBreakHyphen/>
        <w:t>23)</w:t>
      </w:r>
      <w:r w:rsidRPr="009B0898">
        <w:t>. The findings shall be in accordance with No. </w:t>
      </w:r>
      <w:r w:rsidRPr="009B0898">
        <w:rPr>
          <w:b/>
          <w:bCs/>
        </w:rPr>
        <w:t>11.31</w:t>
      </w:r>
      <w:r w:rsidRPr="009B0898">
        <w:t>.</w:t>
      </w:r>
    </w:p>
    <w:p w14:paraId="6F7DB285" w14:textId="77777777" w:rsidR="009B0898" w:rsidRPr="009B0898" w:rsidRDefault="009B0898" w:rsidP="00E07A08">
      <w:pPr>
        <w:rPr>
          <w:szCs w:val="24"/>
        </w:rPr>
      </w:pPr>
      <w:r w:rsidRPr="009B0898">
        <w:t>4</w:t>
      </w:r>
      <w:r w:rsidRPr="009B0898">
        <w:tab/>
        <w:t>With respect to provisions contained in Part 1 of Annex 1 and in Annex 3 to Resolution </w:t>
      </w:r>
      <w:r w:rsidRPr="009B0898">
        <w:rPr>
          <w:b/>
          <w:bCs/>
          <w:szCs w:val="24"/>
        </w:rPr>
        <w:t>123 (WRC</w:t>
      </w:r>
      <w:r w:rsidRPr="009B0898">
        <w:rPr>
          <w:b/>
          <w:bCs/>
          <w:szCs w:val="24"/>
        </w:rPr>
        <w:noBreakHyphen/>
        <w:t>23)</w:t>
      </w:r>
      <w:r w:rsidRPr="009B0898">
        <w:rPr>
          <w:szCs w:val="24"/>
        </w:rPr>
        <w:t>,</w:t>
      </w:r>
      <w:r w:rsidRPr="009B0898">
        <w:t xml:space="preserve"> the Board further concluded that no examination shall be carried out by the Bureau. </w:t>
      </w:r>
      <w:r w:rsidRPr="009B0898">
        <w:rPr>
          <w:szCs w:val="24"/>
        </w:rPr>
        <w:t xml:space="preserve">The notifying administration of the </w:t>
      </w:r>
      <w:r w:rsidRPr="009B0898">
        <w:t>non-GSO</w:t>
      </w:r>
      <w:r w:rsidRPr="009B0898">
        <w:rPr>
          <w:szCs w:val="24"/>
        </w:rPr>
        <w:t xml:space="preserve"> FSS system with which the ESIMs communicate shall ensure compliance with those provisions when providing the commitment required under item A.34.a of Annex 2 to Appendix </w:t>
      </w:r>
      <w:r w:rsidRPr="009B0898">
        <w:rPr>
          <w:b/>
          <w:bCs/>
          <w:szCs w:val="24"/>
        </w:rPr>
        <w:t>4</w:t>
      </w:r>
      <w:r w:rsidRPr="009B0898">
        <w:rPr>
          <w:szCs w:val="24"/>
        </w:rPr>
        <w:t xml:space="preserve"> to operate ESIMS in conformity with the Radio Regulations and Resolution </w:t>
      </w:r>
      <w:r w:rsidRPr="009B0898">
        <w:rPr>
          <w:b/>
          <w:bCs/>
          <w:szCs w:val="24"/>
        </w:rPr>
        <w:t>123 (WRC</w:t>
      </w:r>
      <w:r w:rsidRPr="009B0898">
        <w:rPr>
          <w:b/>
          <w:bCs/>
          <w:szCs w:val="24"/>
        </w:rPr>
        <w:noBreakHyphen/>
        <w:t>23)</w:t>
      </w:r>
      <w:r w:rsidRPr="009B0898">
        <w:rPr>
          <w:szCs w:val="24"/>
        </w:rPr>
        <w:t>.</w:t>
      </w:r>
    </w:p>
    <w:p w14:paraId="3B749283" w14:textId="77777777" w:rsidR="00E052A7" w:rsidRPr="009B0898" w:rsidRDefault="00E052A7" w:rsidP="0089365D"/>
    <w:p w14:paraId="02257F70" w14:textId="77777777" w:rsidR="00E052A7" w:rsidRDefault="00E052A7">
      <w:pPr>
        <w:jc w:val="center"/>
        <w:rPr>
          <w:color w:val="000000"/>
        </w:rPr>
      </w:pPr>
      <w:r>
        <w:rPr>
          <w:color w:val="000000"/>
        </w:rPr>
        <w:t>____________________</w:t>
      </w:r>
    </w:p>
    <w:p w14:paraId="65D0D92C" w14:textId="77777777" w:rsidR="00035525" w:rsidRDefault="00035525">
      <w:pPr>
        <w:jc w:val="center"/>
        <w:rPr>
          <w:color w:val="000000"/>
        </w:rPr>
      </w:pPr>
    </w:p>
    <w:p w14:paraId="47E7C057" w14:textId="77777777" w:rsidR="00035525" w:rsidRDefault="00035525">
      <w:pPr>
        <w:jc w:val="center"/>
        <w:rPr>
          <w:color w:val="000000"/>
        </w:rPr>
      </w:pPr>
    </w:p>
    <w:p w14:paraId="5E21AD6A" w14:textId="77777777" w:rsidR="00035525" w:rsidRDefault="00035525">
      <w:pPr>
        <w:jc w:val="center"/>
        <w:rPr>
          <w:color w:val="000000"/>
        </w:rPr>
      </w:pPr>
    </w:p>
    <w:p w14:paraId="45586D9A" w14:textId="77777777" w:rsidR="00035525" w:rsidRDefault="00035525">
      <w:pPr>
        <w:jc w:val="center"/>
        <w:rPr>
          <w:color w:val="000000"/>
        </w:rPr>
      </w:pPr>
    </w:p>
    <w:p w14:paraId="1C316475" w14:textId="77777777" w:rsidR="00035525" w:rsidRDefault="00035525">
      <w:pPr>
        <w:jc w:val="center"/>
        <w:rPr>
          <w:color w:val="000000"/>
        </w:rPr>
      </w:pPr>
    </w:p>
    <w:p w14:paraId="7396A8FA" w14:textId="77777777" w:rsidR="00E052A7" w:rsidRDefault="00E052A7" w:rsidP="0089365D"/>
    <w:p w14:paraId="1F1DDE53" w14:textId="77777777" w:rsidR="00E07A08" w:rsidRDefault="00E07A08" w:rsidP="00E36ED1">
      <w:pPr>
        <w:rPr>
          <w:lang w:val="en-US"/>
        </w:rPr>
        <w:sectPr w:rsidR="00E07A08" w:rsidSect="0089365D">
          <w:headerReference w:type="even" r:id="rId6"/>
          <w:headerReference w:type="default" r:id="rId7"/>
          <w:footerReference w:type="even" r:id="rId8"/>
          <w:footerReference w:type="default" r:id="rId9"/>
          <w:headerReference w:type="first" r:id="rId10"/>
          <w:footerReference w:type="first" r:id="rId11"/>
          <w:footnotePr>
            <w:pos w:val="beneathText"/>
          </w:footnotePr>
          <w:pgSz w:w="11907" w:h="16840" w:code="9"/>
          <w:pgMar w:top="1701" w:right="851" w:bottom="1134" w:left="1985" w:header="720" w:footer="482" w:gutter="0"/>
          <w:cols w:space="720"/>
          <w:vAlign w:val="both"/>
          <w:titlePg/>
        </w:sectPr>
      </w:pPr>
    </w:p>
    <w:p w14:paraId="445AFBC5" w14:textId="77777777" w:rsidR="00E052A7" w:rsidRDefault="00E052A7" w:rsidP="00E36ED1">
      <w:pPr>
        <w:rPr>
          <w:lang w:val="en-US"/>
        </w:rPr>
      </w:pPr>
    </w:p>
    <w:sectPr w:rsidR="00E052A7" w:rsidSect="0089365D">
      <w:headerReference w:type="first" r:id="rId12"/>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8CADCC" w14:textId="77777777" w:rsidR="00405F45" w:rsidRDefault="00405F45">
      <w:r>
        <w:separator/>
      </w:r>
    </w:p>
  </w:endnote>
  <w:endnote w:type="continuationSeparator" w:id="0">
    <w:p w14:paraId="1C5D059F" w14:textId="77777777" w:rsidR="00405F45" w:rsidRDefault="00405F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CF7A59" w14:textId="77777777" w:rsidR="00E07A08" w:rsidRDefault="00E07A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8CCE30" w14:textId="77777777" w:rsidR="00E07A08" w:rsidRDefault="00E07A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8B281F" w14:textId="77777777" w:rsidR="00E07A08" w:rsidRDefault="00E07A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B79F51" w14:textId="77777777" w:rsidR="00405F45" w:rsidRDefault="00405F45">
      <w:r>
        <w:rPr>
          <w:b/>
        </w:rPr>
        <w:t>_______________</w:t>
      </w:r>
    </w:p>
  </w:footnote>
  <w:footnote w:type="continuationSeparator" w:id="0">
    <w:p w14:paraId="4E3D7376" w14:textId="77777777" w:rsidR="00405F45" w:rsidRDefault="00405F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E07A08" w14:paraId="4C5F77E2" w14:textId="77777777" w:rsidTr="00E07A08">
      <w:trPr>
        <w:cantSplit/>
      </w:trPr>
      <w:tc>
        <w:tcPr>
          <w:tcW w:w="1701" w:type="dxa"/>
          <w:tcBorders>
            <w:top w:val="single" w:sz="6" w:space="0" w:color="auto"/>
            <w:left w:val="single" w:sz="6" w:space="0" w:color="auto"/>
            <w:bottom w:val="single" w:sz="6" w:space="0" w:color="auto"/>
            <w:right w:val="single" w:sz="6" w:space="0" w:color="auto"/>
          </w:tcBorders>
        </w:tcPr>
        <w:p w14:paraId="0B5C71B2" w14:textId="77777777" w:rsidR="00E07A08" w:rsidRDefault="00E07A08" w:rsidP="00E07A08">
          <w:pPr>
            <w:pStyle w:val="HeaderRegProc"/>
          </w:pPr>
          <w:proofErr w:type="spellStart"/>
          <w:r>
            <w:t>Part</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74826545" w14:textId="02E63B5B" w:rsidR="00E07A08" w:rsidRDefault="00E07A08" w:rsidP="00E07A08">
          <w:pPr>
            <w:pStyle w:val="HeaderRegProc"/>
            <w:rPr>
              <w:lang w:val="fr-FR"/>
            </w:rPr>
          </w:pPr>
          <w:r>
            <w:t>RES</w:t>
          </w:r>
          <w:r>
            <w:fldChar w:fldCharType="begin"/>
          </w:r>
          <w:r>
            <w:instrText>styleref href2</w:instrText>
          </w:r>
          <w:r>
            <w:fldChar w:fldCharType="separate"/>
          </w:r>
          <w:r w:rsidR="00085F8F">
            <w:rPr>
              <w:noProof/>
            </w:rPr>
            <w:t>123</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4973FD54" w14:textId="77777777" w:rsidR="00E07A08" w:rsidRDefault="00E07A08" w:rsidP="00E07A08">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1CA63B3" w14:textId="77777777" w:rsidR="00E07A08" w:rsidRDefault="00E07A08" w:rsidP="00E07A08">
          <w:pPr>
            <w:pStyle w:val="HeaderRegProc"/>
            <w:rPr>
              <w:lang w:val="fr-CH"/>
            </w:rPr>
          </w:pPr>
          <w:proofErr w:type="spellStart"/>
          <w:proofErr w:type="gramStart"/>
          <w:r>
            <w:rPr>
              <w:lang w:val="fr-CH"/>
            </w:rPr>
            <w:t>rev</w:t>
          </w:r>
          <w:proofErr w:type="spellEnd"/>
          <w:proofErr w:type="gramEnd"/>
          <w:r>
            <w:rPr>
              <w:lang w:val="fr-CH"/>
            </w:rPr>
            <w:t xml:space="preserve">. </w:t>
          </w:r>
          <w:r>
            <w:t>5</w:t>
          </w:r>
        </w:p>
      </w:tc>
    </w:tr>
  </w:tbl>
  <w:p w14:paraId="7ACF379A" w14:textId="77777777" w:rsidR="00E07A08" w:rsidRDefault="00E07A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A42B73" w14:textId="77777777" w:rsidR="00E07A08" w:rsidRDefault="00E07A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B00715" w14:paraId="6EA4E789" w14:textId="77777777" w:rsidTr="00E766BD">
      <w:trPr>
        <w:cantSplit/>
        <w:jc w:val="right"/>
      </w:trPr>
      <w:tc>
        <w:tcPr>
          <w:tcW w:w="1701" w:type="dxa"/>
          <w:tcBorders>
            <w:top w:val="single" w:sz="6" w:space="0" w:color="auto"/>
            <w:left w:val="single" w:sz="6" w:space="0" w:color="auto"/>
            <w:bottom w:val="single" w:sz="6" w:space="0" w:color="auto"/>
            <w:right w:val="single" w:sz="6" w:space="0" w:color="auto"/>
          </w:tcBorders>
        </w:tcPr>
        <w:p w14:paraId="22BD916C" w14:textId="1E46987E" w:rsidR="00B00715" w:rsidRDefault="00B00715" w:rsidP="00B00715">
          <w:pPr>
            <w:pStyle w:val="HeaderRegProc"/>
          </w:pPr>
          <w:proofErr w:type="spellStart"/>
          <w:r>
            <w:t>Part</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14:paraId="5D8094A7" w14:textId="1FB079A0" w:rsidR="00B00715" w:rsidRDefault="00B00715" w:rsidP="00B00715">
          <w:pPr>
            <w:pStyle w:val="HeaderRegProc"/>
            <w:rPr>
              <w:lang w:val="fr-FR"/>
            </w:rPr>
          </w:pPr>
          <w:r>
            <w:t>RES</w:t>
          </w:r>
          <w:r>
            <w:fldChar w:fldCharType="begin"/>
          </w:r>
          <w:r>
            <w:instrText>styleref href2</w:instrText>
          </w:r>
          <w:r>
            <w:fldChar w:fldCharType="separate"/>
          </w:r>
          <w:r w:rsidR="00085F8F">
            <w:rPr>
              <w:noProof/>
            </w:rPr>
            <w:t>123</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28D3C241" w14:textId="77777777" w:rsidR="00B00715" w:rsidRDefault="00B00715" w:rsidP="00B00715">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ED00D8E" w14:textId="5182CA58" w:rsidR="00B00715" w:rsidRDefault="00B00715" w:rsidP="00B00715">
          <w:pPr>
            <w:pStyle w:val="HeaderRegProc"/>
            <w:rPr>
              <w:lang w:val="fr-CH"/>
            </w:rPr>
          </w:pPr>
          <w:proofErr w:type="spellStart"/>
          <w:proofErr w:type="gramStart"/>
          <w:r>
            <w:rPr>
              <w:lang w:val="fr-CH"/>
            </w:rPr>
            <w:t>rev</w:t>
          </w:r>
          <w:proofErr w:type="spellEnd"/>
          <w:proofErr w:type="gramEnd"/>
          <w:r>
            <w:rPr>
              <w:lang w:val="fr-CH"/>
            </w:rPr>
            <w:t xml:space="preserve">. </w:t>
          </w:r>
          <w:r w:rsidR="00A002ED">
            <w:t>5</w:t>
          </w:r>
        </w:p>
      </w:tc>
    </w:tr>
  </w:tbl>
  <w:p w14:paraId="3CE4A68B" w14:textId="77777777" w:rsidR="00E052A7" w:rsidRDefault="00E05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EA9699" w14:textId="77777777" w:rsidR="00E07A08" w:rsidRDefault="00E07A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052A7"/>
    <w:rsid w:val="00035525"/>
    <w:rsid w:val="00062037"/>
    <w:rsid w:val="00075975"/>
    <w:rsid w:val="00085F8F"/>
    <w:rsid w:val="000B1472"/>
    <w:rsid w:val="000B6CC5"/>
    <w:rsid w:val="001549C7"/>
    <w:rsid w:val="001C7192"/>
    <w:rsid w:val="001E215E"/>
    <w:rsid w:val="00204C1C"/>
    <w:rsid w:val="00264A7E"/>
    <w:rsid w:val="002F6FCF"/>
    <w:rsid w:val="00382B7D"/>
    <w:rsid w:val="00395F3E"/>
    <w:rsid w:val="003F79CF"/>
    <w:rsid w:val="00405F45"/>
    <w:rsid w:val="00483705"/>
    <w:rsid w:val="006779FD"/>
    <w:rsid w:val="006B2BAF"/>
    <w:rsid w:val="006B40CA"/>
    <w:rsid w:val="00722FEF"/>
    <w:rsid w:val="00762188"/>
    <w:rsid w:val="008018D9"/>
    <w:rsid w:val="00803152"/>
    <w:rsid w:val="00824378"/>
    <w:rsid w:val="0089365D"/>
    <w:rsid w:val="009971CA"/>
    <w:rsid w:val="009B0898"/>
    <w:rsid w:val="00A002ED"/>
    <w:rsid w:val="00A04D5E"/>
    <w:rsid w:val="00A70933"/>
    <w:rsid w:val="00AE5F49"/>
    <w:rsid w:val="00B00715"/>
    <w:rsid w:val="00B2732B"/>
    <w:rsid w:val="00B472F8"/>
    <w:rsid w:val="00BA1AEC"/>
    <w:rsid w:val="00C77ED5"/>
    <w:rsid w:val="00CC1BC0"/>
    <w:rsid w:val="00E052A7"/>
    <w:rsid w:val="00E07A08"/>
    <w:rsid w:val="00E36ED1"/>
    <w:rsid w:val="00E70951"/>
    <w:rsid w:val="00EC2C88"/>
    <w:rsid w:val="00F14B16"/>
    <w:rsid w:val="00F7334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6DC919"/>
  <w15:docId w15:val="{8CDC531D-625F-434C-8810-B845F92B1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aliases w:val="h1"/>
    <w:basedOn w:val="Normal"/>
    <w:next w:val="Normal"/>
    <w:qFormat/>
    <w:pPr>
      <w:keepNext/>
      <w:keepLines/>
      <w:tabs>
        <w:tab w:val="clear" w:pos="2268"/>
      </w:tabs>
      <w:spacing w:before="600"/>
      <w:ind w:left="1134" w:hanging="1134"/>
      <w:outlineLvl w:val="0"/>
    </w:pPr>
    <w:rPr>
      <w:b/>
      <w:sz w:val="28"/>
    </w:rPr>
  </w:style>
  <w:style w:type="paragraph" w:styleId="Heading2">
    <w:name w:val="heading 2"/>
    <w:aliases w:val="h2,UNDERRUBRIK 1-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 w:type="character" w:customStyle="1" w:styleId="Resref0">
    <w:name w:val="Res#_ref"/>
    <w:basedOn w:val="DefaultParagraphFont"/>
  </w:style>
  <w:style w:type="paragraph" w:styleId="Revision">
    <w:name w:val="Revision"/>
    <w:hidden/>
    <w:uiPriority w:val="99"/>
    <w:semiHidden/>
    <w:rsid w:val="009971CA"/>
    <w:rPr>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header" Target="header4.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70</TotalTime>
  <Pages>3</Pages>
  <Words>682</Words>
  <Characters>3892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Règles de procédures / Edition 2021</vt:lpstr>
    </vt:vector>
  </TitlesOfParts>
  <Manager>CP--107223/DD</Manager>
  <Company>ITU</Company>
  <LinksUpToDate>false</LinksUpToDate>
  <CharactersWithSpaces>4565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2021</dc:title>
  <dc:subject/>
  <dc:creator>Composition des Publications</dc:creator>
  <cp:keywords/>
  <dc:description/>
  <cp:lastModifiedBy>Gomez, Yoanni</cp:lastModifiedBy>
  <cp:revision>34</cp:revision>
  <cp:lastPrinted>2024-11-28T13:24:00Z</cp:lastPrinted>
  <dcterms:created xsi:type="dcterms:W3CDTF">2012-08-08T06:51:00Z</dcterms:created>
  <dcterms:modified xsi:type="dcterms:W3CDTF">2024-12-02T08:27:00Z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