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1D025F" w14:textId="77777777" w:rsidR="00B43B9D" w:rsidRPr="0085599A" w:rsidRDefault="00B43B9D" w:rsidP="0085599A">
      <w:pPr>
        <w:pStyle w:val="Heading1"/>
        <w:spacing w:before="300"/>
        <w:ind w:left="0" w:firstLine="0"/>
        <w:jc w:val="center"/>
      </w:pPr>
      <w:r w:rsidRPr="0085599A">
        <w:t>Rules concerning</w:t>
      </w:r>
    </w:p>
    <w:p w14:paraId="15F0AA37" w14:textId="2CA9945F" w:rsidR="00B43B9D" w:rsidRDefault="00B43B9D">
      <w:pPr>
        <w:pStyle w:val="Heading2"/>
        <w:jc w:val="center"/>
      </w:pPr>
      <w:r w:rsidRPr="0085599A">
        <w:t xml:space="preserve">APPENDIX </w:t>
      </w:r>
      <w:r w:rsidRPr="0085599A">
        <w:rPr>
          <w:rStyle w:val="href2"/>
        </w:rPr>
        <w:t>27</w:t>
      </w:r>
      <w:r w:rsidRPr="0085599A">
        <w:t xml:space="preserve"> to the RR</w:t>
      </w:r>
    </w:p>
    <w:p w14:paraId="4CBEC032" w14:textId="77777777" w:rsidR="0085599A" w:rsidRPr="0085599A" w:rsidRDefault="0085599A" w:rsidP="0085599A">
      <w:pPr>
        <w:spacing w:before="0"/>
      </w:pPr>
    </w:p>
    <w:p w14:paraId="4CE00B31" w14:textId="77777777" w:rsidR="00B43B9D" w:rsidRPr="0085599A" w:rsidRDefault="00B43B9D">
      <w:pPr>
        <w:pStyle w:val="Heading8"/>
      </w:pPr>
      <w:r w:rsidRPr="0085599A">
        <w:t>27</w:t>
      </w:r>
      <w:r w:rsidRPr="0085599A">
        <w:rPr>
          <w:b w:val="0"/>
        </w:rPr>
        <w:t>/15</w:t>
      </w:r>
    </w:p>
    <w:p w14:paraId="4A1A2626" w14:textId="77777777" w:rsidR="00B43B9D" w:rsidRPr="0085599A" w:rsidRDefault="00B43B9D" w:rsidP="0085599A">
      <w:r w:rsidRPr="0085599A">
        <w:t>This provision specifies that the use of channels derived from the frequencies indicated in No. </w:t>
      </w:r>
      <w:r w:rsidRPr="0085599A">
        <w:rPr>
          <w:rStyle w:val="Artref"/>
          <w:b/>
          <w:bCs/>
          <w:color w:val="000000"/>
        </w:rPr>
        <w:t>27</w:t>
      </w:r>
      <w:r w:rsidRPr="0085599A">
        <w:t xml:space="preserve">/18 for the various classes of emission other than J3E and H2B will be subject to special arrangements by the administrations concerned and affected. In this </w:t>
      </w:r>
      <w:proofErr w:type="gramStart"/>
      <w:r w:rsidRPr="0085599A">
        <w:t>connection, and</w:t>
      </w:r>
      <w:proofErr w:type="gramEnd"/>
      <w:r w:rsidRPr="0085599A">
        <w:t xml:space="preserve"> having in mind the spirit of Resolution </w:t>
      </w:r>
      <w:r w:rsidRPr="0085599A">
        <w:rPr>
          <w:rStyle w:val="Resref"/>
          <w:b/>
          <w:bCs/>
          <w:color w:val="000000"/>
        </w:rPr>
        <w:t>713 (WRC-95)</w:t>
      </w:r>
      <w:r w:rsidR="00B7620D">
        <w:rPr>
          <w:rStyle w:val="FootnoteReference"/>
          <w:b/>
          <w:bCs/>
        </w:rPr>
        <w:footnoteReference w:customMarkFollows="1" w:id="1"/>
        <w:t>*</w:t>
      </w:r>
      <w:r w:rsidRPr="0085599A">
        <w:t>, the Board considers as a valid “special arrangement by the administrations concerned” any formal action by the International Civil Aviation Organization (ICAO) which results in Standards and Recommended Practices (SARPs), which are approved by the ICAO in accordance with its procedures and which are communicated to the ITU accordingly.</w:t>
      </w:r>
    </w:p>
    <w:p w14:paraId="6836675A" w14:textId="77777777" w:rsidR="00B43B9D" w:rsidRPr="0085599A" w:rsidRDefault="00B43B9D">
      <w:pPr>
        <w:pStyle w:val="Heading8"/>
      </w:pPr>
      <w:r w:rsidRPr="0085599A">
        <w:t>27</w:t>
      </w:r>
      <w:r w:rsidRPr="0085599A">
        <w:rPr>
          <w:b w:val="0"/>
          <w:bCs/>
        </w:rPr>
        <w:t>/</w:t>
      </w:r>
      <w:r w:rsidRPr="0085599A">
        <w:rPr>
          <w:rStyle w:val="href"/>
          <w:b w:val="0"/>
          <w:bCs/>
        </w:rPr>
        <w:t>1</w:t>
      </w:r>
      <w:r w:rsidRPr="0085599A">
        <w:rPr>
          <w:b w:val="0"/>
        </w:rPr>
        <w:t>8</w:t>
      </w:r>
    </w:p>
    <w:p w14:paraId="0A27E8F3" w14:textId="77777777" w:rsidR="00B43B9D" w:rsidRPr="0085599A" w:rsidRDefault="00B43B9D" w:rsidP="00821291">
      <w:r w:rsidRPr="0085599A">
        <w:t>1</w:t>
      </w:r>
      <w:r w:rsidRPr="0085599A">
        <w:tab/>
        <w:t xml:space="preserve">The list of </w:t>
      </w:r>
      <w:proofErr w:type="gramStart"/>
      <w:r w:rsidRPr="0085599A">
        <w:t>carrier</w:t>
      </w:r>
      <w:proofErr w:type="gramEnd"/>
      <w:r w:rsidRPr="0085599A">
        <w:t xml:space="preserve"> (reference) frequencies, referred to in this provision contains five frequencies (21</w:t>
      </w:r>
      <w:r w:rsidRPr="0085599A">
        <w:rPr>
          <w:rFonts w:ascii="Tms Rmn" w:hAnsi="Tms Rmn"/>
          <w:sz w:val="12"/>
        </w:rPr>
        <w:t> </w:t>
      </w:r>
      <w:r w:rsidRPr="0085599A">
        <w:t>925 kHz, 21</w:t>
      </w:r>
      <w:r w:rsidRPr="0085599A">
        <w:rPr>
          <w:rFonts w:ascii="Tms Rmn" w:hAnsi="Tms Rmn"/>
          <w:sz w:val="12"/>
        </w:rPr>
        <w:t> </w:t>
      </w:r>
      <w:r w:rsidRPr="0085599A">
        <w:t>928 kHz, 21</w:t>
      </w:r>
      <w:r w:rsidRPr="0085599A">
        <w:rPr>
          <w:rFonts w:ascii="Tms Rmn" w:hAnsi="Tms Rmn"/>
          <w:sz w:val="12"/>
        </w:rPr>
        <w:t> </w:t>
      </w:r>
      <w:r w:rsidRPr="0085599A">
        <w:t>931 kHz, 21</w:t>
      </w:r>
      <w:r w:rsidRPr="0085599A">
        <w:rPr>
          <w:rFonts w:ascii="Tms Rmn" w:hAnsi="Tms Rmn"/>
          <w:sz w:val="12"/>
        </w:rPr>
        <w:t> </w:t>
      </w:r>
      <w:r w:rsidRPr="0085599A">
        <w:t>934 kHz and 21</w:t>
      </w:r>
      <w:r w:rsidRPr="0085599A">
        <w:rPr>
          <w:rFonts w:ascii="Tms Rmn" w:hAnsi="Tms Rmn"/>
          <w:sz w:val="12"/>
        </w:rPr>
        <w:t> </w:t>
      </w:r>
      <w:r w:rsidRPr="0085599A">
        <w:t xml:space="preserve">937 kHz), which are not allotted to any of the allotment areas defined in Appendix </w:t>
      </w:r>
      <w:r w:rsidRPr="0085599A">
        <w:rPr>
          <w:rStyle w:val="Appref"/>
          <w:b/>
          <w:bCs/>
          <w:color w:val="000000"/>
        </w:rPr>
        <w:t>27</w:t>
      </w:r>
      <w:r w:rsidRPr="0085599A">
        <w:t xml:space="preserve">. The Board considers that these frequencies are available to any administration, for such use as it may consider appropriate, </w:t>
      </w:r>
      <w:proofErr w:type="gramStart"/>
      <w:r w:rsidRPr="0085599A">
        <w:t>provided that</w:t>
      </w:r>
      <w:proofErr w:type="gramEnd"/>
      <w:r w:rsidRPr="0085599A">
        <w:t xml:space="preserve"> it is in accorda</w:t>
      </w:r>
      <w:r w:rsidR="00821291">
        <w:t>nce with the definition of the a</w:t>
      </w:r>
      <w:r w:rsidRPr="0085599A">
        <w:t xml:space="preserve">eronautical </w:t>
      </w:r>
      <w:r w:rsidR="00821291">
        <w:t>m</w:t>
      </w:r>
      <w:r w:rsidRPr="0085599A">
        <w:t xml:space="preserve">obile (R) </w:t>
      </w:r>
      <w:r w:rsidR="00821291">
        <w:t>s</w:t>
      </w:r>
      <w:r w:rsidRPr="0085599A">
        <w:t>ervice, as given in No. </w:t>
      </w:r>
      <w:r w:rsidRPr="0085599A">
        <w:rPr>
          <w:rStyle w:val="Artref"/>
          <w:b/>
          <w:bCs/>
          <w:color w:val="000000"/>
        </w:rPr>
        <w:t>1.33</w:t>
      </w:r>
      <w:r w:rsidRPr="0085599A">
        <w:t>.</w:t>
      </w:r>
    </w:p>
    <w:p w14:paraId="3820726B" w14:textId="77777777" w:rsidR="00B43B9D" w:rsidRPr="0085599A" w:rsidRDefault="00B43B9D">
      <w:r w:rsidRPr="0085599A">
        <w:t>2</w:t>
      </w:r>
      <w:r w:rsidRPr="0085599A">
        <w:tab/>
        <w:t xml:space="preserve">In the examinations referred to in No. </w:t>
      </w:r>
      <w:r w:rsidRPr="0085599A">
        <w:rPr>
          <w:rStyle w:val="Artref"/>
          <w:b/>
          <w:bCs/>
          <w:color w:val="000000"/>
        </w:rPr>
        <w:t>11.34</w:t>
      </w:r>
      <w:r w:rsidRPr="0085599A">
        <w:t xml:space="preserve">, the Bureau will examine the relevant notices, related to any of these frequencies, only with respect to their conformity with the technical principles of Appendix </w:t>
      </w:r>
      <w:r w:rsidRPr="0085599A">
        <w:rPr>
          <w:rStyle w:val="Appref"/>
          <w:b/>
          <w:bCs/>
          <w:color w:val="000000"/>
        </w:rPr>
        <w:t>27</w:t>
      </w:r>
      <w:r w:rsidRPr="0085599A">
        <w:t xml:space="preserve"> (channelling arrangement, bandwidth, class of emission, power). When these examinations lead to a favourable finding, the assignment shall be recorded in the Master Register. When the finding is unfavourable, the notice shall be returned to the notifying administration, with an indication of the appropriate action.</w:t>
      </w:r>
    </w:p>
    <w:p w14:paraId="4FD238EE" w14:textId="77777777" w:rsidR="00B43B9D" w:rsidRPr="0085599A" w:rsidRDefault="00B43B9D">
      <w:pPr>
        <w:pStyle w:val="Heading8"/>
      </w:pPr>
      <w:r w:rsidRPr="0085599A">
        <w:t>27</w:t>
      </w:r>
      <w:r w:rsidRPr="0085599A">
        <w:rPr>
          <w:b w:val="0"/>
        </w:rPr>
        <w:t>/19</w:t>
      </w:r>
    </w:p>
    <w:p w14:paraId="4EDED5EE" w14:textId="65AF0DC1" w:rsidR="00B43B9D" w:rsidRDefault="00B43B9D" w:rsidP="0085599A">
      <w:r w:rsidRPr="0085599A">
        <w:t>This provision specifies the role of the ICAO in performing voluntary coordination (“should”) in the operational use of the frequencies. The Board considers such a coordination as an internal ICAO activity, intended to conclude operational agreements between th</w:t>
      </w:r>
      <w:r w:rsidR="00821291">
        <w:t>e international operators (e.g.</w:t>
      </w:r>
      <w:r w:rsidRPr="0085599A">
        <w:t xml:space="preserve"> </w:t>
      </w:r>
      <w:proofErr w:type="gramStart"/>
      <w:r w:rsidRPr="0085599A">
        <w:t>time sharing</w:t>
      </w:r>
      <w:proofErr w:type="gramEnd"/>
      <w:r w:rsidRPr="0085599A">
        <w:t xml:space="preserve"> arrangement). Therefore, the Bureau will not </w:t>
      </w:r>
      <w:proofErr w:type="gramStart"/>
      <w:r w:rsidRPr="0085599A">
        <w:t>take into account</w:t>
      </w:r>
      <w:proofErr w:type="gramEnd"/>
      <w:r w:rsidRPr="0085599A">
        <w:t xml:space="preserve"> such agreements between operators, unless they are communicated to the Bureau by their national telecommunication administrations.</w:t>
      </w:r>
    </w:p>
    <w:p w14:paraId="603B9CC7" w14:textId="77777777" w:rsidR="00FA1276" w:rsidRPr="0085599A" w:rsidRDefault="00FA1276" w:rsidP="00FA1276">
      <w:pPr>
        <w:jc w:val="center"/>
      </w:pPr>
      <w:r w:rsidRPr="0085599A">
        <w:t>____________________</w:t>
      </w:r>
    </w:p>
    <w:p w14:paraId="591A02B2" w14:textId="77777777" w:rsidR="00FA1276" w:rsidRPr="0085599A" w:rsidRDefault="00FA1276" w:rsidP="0085599A"/>
    <w:p w14:paraId="38199C54" w14:textId="77777777" w:rsidR="00FA1276" w:rsidRDefault="00FA1276" w:rsidP="00705042">
      <w:pPr>
        <w:pStyle w:val="Heading8"/>
        <w:sectPr w:rsidR="00FA1276">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6500FC08" w14:textId="77777777" w:rsidR="00B43B9D" w:rsidRPr="0085599A" w:rsidRDefault="00B43B9D" w:rsidP="0085599A"/>
    <w:p w14:paraId="71D1B9DC" w14:textId="77777777" w:rsidR="00B43B9D" w:rsidRPr="0085599A" w:rsidRDefault="00B43B9D" w:rsidP="0085599A"/>
    <w:p w14:paraId="15D42FE6" w14:textId="77777777" w:rsidR="00B43B9D" w:rsidRPr="0085599A" w:rsidRDefault="00B43B9D" w:rsidP="0085599A"/>
    <w:p w14:paraId="083E5184" w14:textId="77777777" w:rsidR="00B43B9D" w:rsidRPr="0085599A" w:rsidRDefault="00B43B9D" w:rsidP="0085599A"/>
    <w:p w14:paraId="59C9E8F4" w14:textId="77777777" w:rsidR="00B43B9D" w:rsidRPr="0085599A" w:rsidRDefault="00B43B9D" w:rsidP="0085599A"/>
    <w:p w14:paraId="31FAB4BB" w14:textId="77777777" w:rsidR="00B43B9D" w:rsidRPr="0085599A" w:rsidRDefault="00B43B9D" w:rsidP="0085599A"/>
    <w:p w14:paraId="79F42679" w14:textId="77777777" w:rsidR="00B43B9D" w:rsidRPr="0085599A" w:rsidRDefault="00B43B9D" w:rsidP="0085599A"/>
    <w:p w14:paraId="2674E72B" w14:textId="77777777" w:rsidR="00B43B9D" w:rsidRPr="0085599A" w:rsidRDefault="00B43B9D" w:rsidP="0085599A"/>
    <w:p w14:paraId="6DD53628" w14:textId="77777777" w:rsidR="00B43B9D" w:rsidRPr="0085599A" w:rsidRDefault="00B43B9D" w:rsidP="0085599A"/>
    <w:p w14:paraId="278B9F0F" w14:textId="77777777" w:rsidR="00B43B9D" w:rsidRPr="0085599A" w:rsidRDefault="00B43B9D" w:rsidP="0085599A"/>
    <w:p w14:paraId="3261C61C" w14:textId="77777777" w:rsidR="00B43B9D" w:rsidRPr="0085599A" w:rsidRDefault="00B43B9D" w:rsidP="0085599A"/>
    <w:p w14:paraId="6BF9FAD5" w14:textId="77777777" w:rsidR="00B43B9D" w:rsidRPr="0085599A" w:rsidRDefault="00B43B9D" w:rsidP="0085599A"/>
    <w:p w14:paraId="7018B556" w14:textId="77777777" w:rsidR="00B43B9D" w:rsidRPr="0085599A" w:rsidRDefault="00B43B9D" w:rsidP="0085599A"/>
    <w:p w14:paraId="1C132B0B" w14:textId="77777777" w:rsidR="00B43B9D" w:rsidRPr="0085599A" w:rsidRDefault="00B43B9D" w:rsidP="0085599A"/>
    <w:sectPr w:rsidR="00B43B9D" w:rsidRPr="0085599A" w:rsidSect="0085599A">
      <w:headerReference w:type="first" r:id="rId8"/>
      <w:foot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880113" w14:textId="77777777" w:rsidR="00330188" w:rsidRDefault="00330188">
      <w:r>
        <w:separator/>
      </w:r>
    </w:p>
  </w:endnote>
  <w:endnote w:type="continuationSeparator" w:id="0">
    <w:p w14:paraId="49304DCA" w14:textId="77777777" w:rsidR="00330188" w:rsidRDefault="00330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15F858" w14:textId="77777777" w:rsidR="00B43B9D" w:rsidRDefault="00B43B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008463" w14:textId="77777777" w:rsidR="00330188" w:rsidRDefault="00330188">
      <w:r>
        <w:rPr>
          <w:b/>
        </w:rPr>
        <w:t>_______________</w:t>
      </w:r>
    </w:p>
  </w:footnote>
  <w:footnote w:type="continuationSeparator" w:id="0">
    <w:p w14:paraId="2D3A8E81" w14:textId="77777777" w:rsidR="00330188" w:rsidRDefault="00330188">
      <w:r>
        <w:continuationSeparator/>
      </w:r>
    </w:p>
  </w:footnote>
  <w:footnote w:id="1">
    <w:p w14:paraId="607E9E90" w14:textId="77777777" w:rsidR="00B7620D" w:rsidRPr="009314A3" w:rsidRDefault="00B7620D" w:rsidP="00B7620D">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suppressed</w:t>
      </w:r>
      <w:r w:rsidRPr="009314A3">
        <w:rPr>
          <w:lang w:val="en-US"/>
        </w:rPr>
        <w:t xml:space="preserve"> by WRC-</w:t>
      </w:r>
      <w:r>
        <w:rPr>
          <w:lang w:val="en-US"/>
        </w:rPr>
        <w:t>97.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43B9D" w14:paraId="5FA3403D" w14:textId="77777777">
      <w:trPr>
        <w:cantSplit/>
      </w:trPr>
      <w:tc>
        <w:tcPr>
          <w:tcW w:w="1701" w:type="dxa"/>
          <w:tcBorders>
            <w:top w:val="single" w:sz="6" w:space="0" w:color="auto"/>
            <w:left w:val="single" w:sz="6" w:space="0" w:color="auto"/>
            <w:bottom w:val="single" w:sz="6" w:space="0" w:color="auto"/>
            <w:right w:val="single" w:sz="6" w:space="0" w:color="auto"/>
          </w:tcBorders>
        </w:tcPr>
        <w:p w14:paraId="2ED67238" w14:textId="296F492F" w:rsidR="00B43B9D" w:rsidRDefault="00B43B9D">
          <w:pPr>
            <w:pStyle w:val="HeaderRegProc"/>
          </w:pPr>
          <w:proofErr w:type="spellStart"/>
          <w:r>
            <w:t>Part</w:t>
          </w:r>
          <w:proofErr w:type="spellEnd"/>
          <w:r>
            <w:t xml:space="preserve"> A</w:t>
          </w:r>
          <w:r w:rsidR="00B7620D">
            <w:fldChar w:fldCharType="begin"/>
          </w:r>
          <w:r w:rsidR="00B7620D">
            <w:instrText>styleref href</w:instrText>
          </w:r>
          <w:r w:rsidR="00B7620D">
            <w:fldChar w:fldCharType="separate"/>
          </w:r>
          <w:r w:rsidR="00936EDF">
            <w:rPr>
              <w:noProof/>
            </w:rPr>
            <w:t>1</w:t>
          </w:r>
          <w:r w:rsidR="00B7620D">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E89200" w14:textId="7FBBA947" w:rsidR="00B43B9D" w:rsidRDefault="00B23DBB">
          <w:pPr>
            <w:pStyle w:val="HeaderRegProc"/>
            <w:rPr>
              <w:lang w:val="fr-FR"/>
            </w:rPr>
          </w:pPr>
          <w:fldSimple w:instr=" DOCPROPERTY &quot;Header1&quot; \* MERGEFORMAT ">
            <w:r w:rsidR="00936EDF">
              <w:t>AP</w:t>
            </w:r>
          </w:fldSimple>
          <w:r w:rsidR="00B7620D">
            <w:fldChar w:fldCharType="begin"/>
          </w:r>
          <w:r w:rsidR="00B7620D">
            <w:instrText>styleref href2</w:instrText>
          </w:r>
          <w:r w:rsidR="00B7620D">
            <w:fldChar w:fldCharType="separate"/>
          </w:r>
          <w:r w:rsidR="00936EDF">
            <w:rPr>
              <w:noProof/>
            </w:rPr>
            <w:t>27</w:t>
          </w:r>
          <w:r w:rsidR="00B7620D">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C360B07" w14:textId="77777777" w:rsidR="00B43B9D" w:rsidRDefault="00B43B9D">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A22CED">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051DD4B" w14:textId="0F13649B" w:rsidR="00B43B9D" w:rsidRDefault="00B43B9D">
          <w:pPr>
            <w:pStyle w:val="HeaderRegProc"/>
            <w:rPr>
              <w:lang w:val="fr-CH"/>
            </w:rPr>
          </w:pPr>
          <w:proofErr w:type="spellStart"/>
          <w:proofErr w:type="gramStart"/>
          <w:r>
            <w:rPr>
              <w:lang w:val="fr-CH"/>
            </w:rPr>
            <w:t>rev</w:t>
          </w:r>
          <w:proofErr w:type="spellEnd"/>
          <w:proofErr w:type="gramEnd"/>
          <w:r>
            <w:rPr>
              <w:lang w:val="fr-CH"/>
            </w:rPr>
            <w:t>.</w:t>
          </w:r>
          <w:r w:rsidR="00A3079E">
            <w:rPr>
              <w:lang w:val="fr-CH"/>
            </w:rPr>
            <w:t xml:space="preserve"> </w:t>
          </w:r>
        </w:p>
      </w:tc>
    </w:tr>
  </w:tbl>
  <w:p w14:paraId="14E454A2" w14:textId="77777777" w:rsidR="00B43B9D" w:rsidRDefault="00B43B9D">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43B9D" w14:paraId="5DA9F2E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A080D07" w14:textId="14822EDE" w:rsidR="00B43B9D" w:rsidRDefault="00B43B9D">
          <w:pPr>
            <w:pStyle w:val="HeaderRegProc"/>
          </w:pPr>
          <w:proofErr w:type="spellStart"/>
          <w:r>
            <w:t>Part</w:t>
          </w:r>
          <w:proofErr w:type="spellEnd"/>
          <w:r>
            <w:t xml:space="preserve"> A</w:t>
          </w:r>
          <w:r w:rsidR="00B7620D">
            <w:fldChar w:fldCharType="begin"/>
          </w:r>
          <w:r w:rsidR="00B7620D">
            <w:instrText>styleref href</w:instrText>
          </w:r>
          <w:r w:rsidR="00B7620D">
            <w:fldChar w:fldCharType="separate"/>
          </w:r>
          <w:r w:rsidR="00936EDF">
            <w:rPr>
              <w:noProof/>
            </w:rPr>
            <w:t>1</w:t>
          </w:r>
          <w:r w:rsidR="00B7620D">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1E879D8" w14:textId="585E952A" w:rsidR="00B43B9D" w:rsidRDefault="00B23DBB">
          <w:pPr>
            <w:pStyle w:val="HeaderRegProc"/>
            <w:rPr>
              <w:lang w:val="fr-FR"/>
            </w:rPr>
          </w:pPr>
          <w:fldSimple w:instr=" DOCPROPERTY &quot;Header1&quot; \* MERGEFORMAT ">
            <w:r w:rsidR="00936EDF">
              <w:t>AP</w:t>
            </w:r>
          </w:fldSimple>
          <w:r w:rsidR="00B7620D">
            <w:fldChar w:fldCharType="begin"/>
          </w:r>
          <w:r w:rsidR="00B7620D">
            <w:instrText>styleref href2</w:instrText>
          </w:r>
          <w:r w:rsidR="00B7620D">
            <w:fldChar w:fldCharType="separate"/>
          </w:r>
          <w:r w:rsidR="00936EDF">
            <w:rPr>
              <w:noProof/>
            </w:rPr>
            <w:t>27</w:t>
          </w:r>
          <w:r w:rsidR="00B7620D">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E972512" w14:textId="77777777" w:rsidR="00B43B9D" w:rsidRDefault="00B43B9D">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A22CED">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775CF99" w14:textId="75F65C6F" w:rsidR="00B43B9D" w:rsidRDefault="00B43B9D">
          <w:pPr>
            <w:pStyle w:val="HeaderRegProc"/>
            <w:rPr>
              <w:lang w:val="fr-CH"/>
            </w:rPr>
          </w:pPr>
          <w:proofErr w:type="spellStart"/>
          <w:proofErr w:type="gramStart"/>
          <w:r>
            <w:rPr>
              <w:lang w:val="fr-CH"/>
            </w:rPr>
            <w:t>rev</w:t>
          </w:r>
          <w:proofErr w:type="spellEnd"/>
          <w:proofErr w:type="gramEnd"/>
          <w:r>
            <w:rPr>
              <w:lang w:val="fr-CH"/>
            </w:rPr>
            <w:t>.</w:t>
          </w:r>
          <w:r w:rsidR="00A3079E">
            <w:rPr>
              <w:lang w:val="fr-CH"/>
            </w:rPr>
            <w:t xml:space="preserve"> </w:t>
          </w:r>
          <w:r w:rsidR="00FA1276">
            <w:rPr>
              <w:lang w:val="fr-CH"/>
            </w:rPr>
            <w:t>5</w:t>
          </w:r>
        </w:p>
      </w:tc>
    </w:tr>
  </w:tbl>
  <w:p w14:paraId="5BD95FD6" w14:textId="77777777" w:rsidR="00B43B9D" w:rsidRDefault="00B43B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582B6F" w14:textId="77777777" w:rsidR="00B43B9D" w:rsidRDefault="00B43B9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43B9D"/>
    <w:rsid w:val="001D4287"/>
    <w:rsid w:val="001D5A01"/>
    <w:rsid w:val="00330188"/>
    <w:rsid w:val="004E2E2E"/>
    <w:rsid w:val="00705042"/>
    <w:rsid w:val="00821291"/>
    <w:rsid w:val="0085599A"/>
    <w:rsid w:val="00910EB1"/>
    <w:rsid w:val="009254DA"/>
    <w:rsid w:val="00936EDF"/>
    <w:rsid w:val="00957910"/>
    <w:rsid w:val="00A06154"/>
    <w:rsid w:val="00A22CED"/>
    <w:rsid w:val="00A3079E"/>
    <w:rsid w:val="00B23DBB"/>
    <w:rsid w:val="00B43B9D"/>
    <w:rsid w:val="00B7620D"/>
    <w:rsid w:val="00C439C5"/>
    <w:rsid w:val="00CE5C97"/>
    <w:rsid w:val="00CF3F35"/>
    <w:rsid w:val="00DA33BC"/>
    <w:rsid w:val="00DE24A0"/>
    <w:rsid w:val="00DE47C6"/>
    <w:rsid w:val="00E003DE"/>
    <w:rsid w:val="00E70951"/>
    <w:rsid w:val="00F71006"/>
    <w:rsid w:val="00FA127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F781AB"/>
  <w15:docId w15:val="{89874046-EC3B-497D-87D3-9B1B53539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link w:val="FootnoteTextChar"/>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character" w:customStyle="1" w:styleId="FootnoteTextChar">
    <w:name w:val="Footnote Text Char"/>
    <w:basedOn w:val="DefaultParagraphFont"/>
    <w:link w:val="FootnoteText"/>
    <w:semiHidden/>
    <w:rsid w:val="00B7620D"/>
    <w:rPr>
      <w:lang w:val="en-GB" w:eastAsia="en-US"/>
    </w:rPr>
  </w:style>
  <w:style w:type="paragraph" w:styleId="Revision">
    <w:name w:val="Revision"/>
    <w:hidden/>
    <w:uiPriority w:val="99"/>
    <w:semiHidden/>
    <w:rsid w:val="00957910"/>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16</TotalTime>
  <Pages>2</Pages>
  <Words>339</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2024</dc:title>
  <dc:subject>AP27</dc:subject>
  <dc:creator>Composition des Publications</dc:creator>
  <cp:keywords>FOLIOS:  1  -  2</cp:keywords>
  <dc:description>Ediiton 2009:  10.02.2009/SdN_x000d_
Corr.:  24.02.2009/DD  (dict. ok)</dc:description>
  <cp:lastModifiedBy>Catalano Moreira, Rossana</cp:lastModifiedBy>
  <cp:revision>22</cp:revision>
  <cp:lastPrinted>2024-11-28T12:44:00Z</cp:lastPrinted>
  <dcterms:created xsi:type="dcterms:W3CDTF">2012-08-08T06:50:00Z</dcterms:created>
  <dcterms:modified xsi:type="dcterms:W3CDTF">2024-11-28T12:45:00Z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