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C9C0BC" w14:textId="77777777" w:rsidR="004458F2" w:rsidRPr="00A74D77" w:rsidRDefault="004458F2" w:rsidP="00A74D77">
      <w:pPr>
        <w:pStyle w:val="Heading1"/>
        <w:spacing w:before="300"/>
        <w:jc w:val="center"/>
      </w:pPr>
      <w:r w:rsidRPr="00A74D77">
        <w:t>Rules concerning</w:t>
      </w:r>
    </w:p>
    <w:p w14:paraId="54F39C53" w14:textId="77777777" w:rsidR="004458F2" w:rsidRDefault="004458F2">
      <w:pPr>
        <w:pStyle w:val="Heading2"/>
        <w:jc w:val="center"/>
      </w:pPr>
      <w:r w:rsidRPr="00A74D77">
        <w:t xml:space="preserve">ARTICLE </w:t>
      </w:r>
      <w:r w:rsidR="00A74D77" w:rsidRPr="00A74D77">
        <w:t xml:space="preserve"> </w:t>
      </w:r>
      <w:r w:rsidRPr="00A74D77">
        <w:rPr>
          <w:rStyle w:val="href2"/>
        </w:rPr>
        <w:t>21</w:t>
      </w:r>
      <w:r w:rsidRPr="00A74D77">
        <w:t xml:space="preserve"> of the RR</w:t>
      </w:r>
    </w:p>
    <w:p w14:paraId="20C1120E" w14:textId="77777777" w:rsidR="005A21EE" w:rsidRPr="00A74D77" w:rsidRDefault="005A21EE" w:rsidP="009135DB">
      <w:pPr>
        <w:pStyle w:val="Heading8"/>
        <w:tabs>
          <w:tab w:val="clear" w:pos="1134"/>
        </w:tabs>
        <w:spacing w:before="240"/>
        <w:ind w:right="7795"/>
      </w:pPr>
      <w:r w:rsidRPr="00326947">
        <w:rPr>
          <w:szCs w:val="24"/>
          <w:lang w:eastAsia="zh-CN"/>
        </w:rPr>
        <w:t>Table 21-2</w:t>
      </w:r>
    </w:p>
    <w:p w14:paraId="2D22E2F9" w14:textId="16300271" w:rsidR="003B624F" w:rsidRPr="003B624F" w:rsidRDefault="003B624F" w:rsidP="003B624F">
      <w:pPr>
        <w:overflowPunct/>
        <w:autoSpaceDE/>
        <w:autoSpaceDN/>
        <w:adjustRightInd/>
        <w:spacing w:before="0" w:after="160" w:line="259" w:lineRule="auto"/>
        <w:textAlignment w:val="auto"/>
        <w:rPr>
          <w:rFonts w:asciiTheme="majorBidi" w:eastAsia="Aptos" w:hAnsiTheme="majorBidi" w:cstheme="majorBidi"/>
          <w:kern w:val="2"/>
          <w:szCs w:val="24"/>
        </w:rPr>
      </w:pPr>
      <w:r w:rsidRPr="003B624F">
        <w:rPr>
          <w:rFonts w:asciiTheme="majorBidi" w:eastAsia="Aptos" w:hAnsiTheme="majorBidi" w:cstheme="majorBidi"/>
          <w:kern w:val="2"/>
          <w:szCs w:val="24"/>
        </w:rPr>
        <w:t xml:space="preserve">Table </w:t>
      </w:r>
      <w:r w:rsidRPr="003B624F">
        <w:rPr>
          <w:rFonts w:asciiTheme="majorBidi" w:eastAsia="Aptos" w:hAnsiTheme="majorBidi" w:cstheme="majorBidi"/>
          <w:b/>
          <w:bCs/>
          <w:kern w:val="2"/>
          <w:szCs w:val="24"/>
        </w:rPr>
        <w:t xml:space="preserve">21-2 </w:t>
      </w:r>
      <w:r w:rsidRPr="003B624F">
        <w:rPr>
          <w:rFonts w:asciiTheme="majorBidi" w:eastAsia="Aptos" w:hAnsiTheme="majorBidi" w:cstheme="majorBidi"/>
          <w:kern w:val="2"/>
          <w:szCs w:val="24"/>
        </w:rPr>
        <w:t>specifies the frequency bands that are shared with equal rights between space services, on the one hand, and the fixed and mobile service, on the other hand. In these frequency bands the protection of satellite receivers is ensured by</w:t>
      </w:r>
      <w:r w:rsidR="0093666C">
        <w:rPr>
          <w:rFonts w:asciiTheme="majorBidi" w:eastAsia="Aptos" w:hAnsiTheme="majorBidi" w:cstheme="majorBidi"/>
          <w:kern w:val="2"/>
          <w:szCs w:val="24"/>
        </w:rPr>
        <w:t xml:space="preserve"> </w:t>
      </w:r>
      <w:r w:rsidRPr="003B624F">
        <w:rPr>
          <w:rFonts w:asciiTheme="majorBidi" w:eastAsia="Aptos" w:hAnsiTheme="majorBidi" w:cstheme="majorBidi"/>
          <w:kern w:val="2"/>
          <w:szCs w:val="24"/>
        </w:rPr>
        <w:t>the power limits which are specified in provisions Nos. </w:t>
      </w:r>
      <w:r w:rsidRPr="003B624F">
        <w:rPr>
          <w:rFonts w:asciiTheme="majorBidi" w:eastAsia="Aptos" w:hAnsiTheme="majorBidi" w:cstheme="majorBidi"/>
          <w:b/>
          <w:bCs/>
          <w:kern w:val="2"/>
          <w:szCs w:val="24"/>
        </w:rPr>
        <w:t xml:space="preserve">21.2 </w:t>
      </w:r>
      <w:r w:rsidRPr="003B624F">
        <w:rPr>
          <w:rFonts w:asciiTheme="majorBidi" w:eastAsia="Aptos" w:hAnsiTheme="majorBidi" w:cstheme="majorBidi"/>
          <w:kern w:val="2"/>
          <w:szCs w:val="24"/>
        </w:rPr>
        <w:t xml:space="preserve">to </w:t>
      </w:r>
      <w:r w:rsidRPr="003B624F">
        <w:rPr>
          <w:rFonts w:asciiTheme="majorBidi" w:eastAsia="Aptos" w:hAnsiTheme="majorBidi" w:cstheme="majorBidi"/>
          <w:b/>
          <w:bCs/>
          <w:kern w:val="2"/>
          <w:szCs w:val="24"/>
        </w:rPr>
        <w:t>21.5A</w:t>
      </w:r>
      <w:r w:rsidRPr="003B624F">
        <w:rPr>
          <w:rFonts w:asciiTheme="majorBidi" w:eastAsia="Aptos" w:hAnsiTheme="majorBidi" w:cstheme="majorBidi"/>
          <w:kern w:val="2"/>
          <w:szCs w:val="24"/>
        </w:rPr>
        <w:t xml:space="preserve"> and imposed on terrestrial stations. Given that notifications of stations of any radiocommunication service are recorded in the Master Register in the form of frequency assignments (see Articles </w:t>
      </w:r>
      <w:r w:rsidRPr="00590E10">
        <w:rPr>
          <w:rFonts w:asciiTheme="majorBidi" w:eastAsia="Aptos" w:hAnsiTheme="majorBidi" w:cstheme="majorBidi"/>
          <w:b/>
          <w:bCs/>
          <w:kern w:val="2"/>
          <w:szCs w:val="24"/>
        </w:rPr>
        <w:t>8</w:t>
      </w:r>
      <w:r w:rsidRPr="003B624F">
        <w:rPr>
          <w:rFonts w:asciiTheme="majorBidi" w:eastAsia="Aptos" w:hAnsiTheme="majorBidi" w:cstheme="majorBidi"/>
          <w:kern w:val="2"/>
          <w:szCs w:val="24"/>
        </w:rPr>
        <w:t xml:space="preserve"> and </w:t>
      </w:r>
      <w:r w:rsidRPr="00590E10">
        <w:rPr>
          <w:rFonts w:asciiTheme="majorBidi" w:eastAsia="Aptos" w:hAnsiTheme="majorBidi" w:cstheme="majorBidi"/>
          <w:b/>
          <w:bCs/>
          <w:kern w:val="2"/>
          <w:szCs w:val="24"/>
        </w:rPr>
        <w:t>11</w:t>
      </w:r>
      <w:r w:rsidRPr="003B624F">
        <w:rPr>
          <w:rFonts w:asciiTheme="majorBidi" w:eastAsia="Aptos" w:hAnsiTheme="majorBidi" w:cstheme="majorBidi"/>
          <w:kern w:val="2"/>
          <w:szCs w:val="24"/>
        </w:rPr>
        <w:t>), the Board concluded that these power limits apply to frequency assignments to stations in the fixed and mobile services and are verified during processing of such frequency assignments by the Bureau under “other provisions” mentioned in No. </w:t>
      </w:r>
      <w:r w:rsidRPr="003B624F">
        <w:rPr>
          <w:rFonts w:asciiTheme="majorBidi" w:eastAsia="Aptos" w:hAnsiTheme="majorBidi" w:cstheme="majorBidi"/>
          <w:b/>
          <w:bCs/>
          <w:kern w:val="2"/>
          <w:szCs w:val="24"/>
        </w:rPr>
        <w:t xml:space="preserve">11.31 </w:t>
      </w:r>
      <w:r w:rsidRPr="003B624F">
        <w:rPr>
          <w:rFonts w:asciiTheme="majorBidi" w:eastAsia="Aptos" w:hAnsiTheme="majorBidi" w:cstheme="majorBidi"/>
          <w:kern w:val="2"/>
          <w:szCs w:val="24"/>
        </w:rPr>
        <w:t>that are mandatory for verification during the regulatory examination (see also section 1 of the Rules of Procedure concerning No. </w:t>
      </w:r>
      <w:r w:rsidRPr="003B624F">
        <w:rPr>
          <w:rFonts w:asciiTheme="majorBidi" w:eastAsia="Aptos" w:hAnsiTheme="majorBidi" w:cstheme="majorBidi"/>
          <w:b/>
          <w:bCs/>
          <w:kern w:val="2"/>
          <w:szCs w:val="24"/>
        </w:rPr>
        <w:t>11.31</w:t>
      </w:r>
      <w:r w:rsidRPr="003B624F">
        <w:rPr>
          <w:rFonts w:asciiTheme="majorBidi" w:eastAsia="Aptos" w:hAnsiTheme="majorBidi" w:cstheme="majorBidi"/>
          <w:kern w:val="2"/>
          <w:szCs w:val="24"/>
        </w:rPr>
        <w:t>).</w:t>
      </w:r>
      <w:r w:rsidR="00E02D02">
        <w:rPr>
          <w:sz w:val="16"/>
          <w:szCs w:val="16"/>
        </w:rPr>
        <w:t>       </w:t>
      </w:r>
      <w:r w:rsidR="00E02D02" w:rsidRPr="00A90E29">
        <w:rPr>
          <w:sz w:val="16"/>
          <w:szCs w:val="16"/>
        </w:rPr>
        <w:t>(</w:t>
      </w:r>
      <w:r w:rsidR="00E02D02">
        <w:rPr>
          <w:sz w:val="16"/>
          <w:szCs w:val="16"/>
        </w:rPr>
        <w:t>MO</w:t>
      </w:r>
      <w:r w:rsidR="00E02D02" w:rsidRPr="00A90E29">
        <w:rPr>
          <w:sz w:val="16"/>
          <w:szCs w:val="16"/>
        </w:rPr>
        <w:t>D RRB2</w:t>
      </w:r>
      <w:r w:rsidR="00E02D02">
        <w:rPr>
          <w:sz w:val="16"/>
          <w:szCs w:val="16"/>
        </w:rPr>
        <w:t>4</w:t>
      </w:r>
      <w:r w:rsidR="00E02D02" w:rsidRPr="00A90E29">
        <w:rPr>
          <w:sz w:val="16"/>
          <w:szCs w:val="16"/>
        </w:rPr>
        <w:t>/</w:t>
      </w:r>
      <w:r w:rsidR="00E02D02">
        <w:rPr>
          <w:sz w:val="16"/>
          <w:szCs w:val="16"/>
        </w:rPr>
        <w:t>510</w:t>
      </w:r>
      <w:r w:rsidR="00E02D02" w:rsidRPr="00A90E29">
        <w:rPr>
          <w:sz w:val="16"/>
          <w:szCs w:val="16"/>
        </w:rPr>
        <w:t>)</w:t>
      </w:r>
    </w:p>
    <w:p w14:paraId="3E7A988D" w14:textId="77777777" w:rsidR="004458F2" w:rsidRPr="00A74D77" w:rsidRDefault="004458F2">
      <w:pPr>
        <w:pStyle w:val="Heading8"/>
      </w:pPr>
      <w:r w:rsidRPr="00A74D77">
        <w:t>21.11</w:t>
      </w:r>
    </w:p>
    <w:p w14:paraId="003B3CA8" w14:textId="77777777" w:rsidR="004458F2" w:rsidRPr="00A74D77" w:rsidRDefault="004458F2" w:rsidP="00484B7C">
      <w:r w:rsidRPr="00A74D77">
        <w:t>1</w:t>
      </w:r>
      <w:r w:rsidRPr="00A74D77">
        <w:tab/>
        <w:t>When the agreement of an administration concerned is not obtained, the assignment is not in conformity with the Radio Regulations. In order to identify the admini</w:t>
      </w:r>
      <w:r w:rsidRPr="00A74D77">
        <w:softHyphen/>
        <w:t>strations concerned, the Bureau shall calculate a nominal contour based in all azimuths on the limits specified under No. </w:t>
      </w:r>
      <w:r w:rsidRPr="00A74D77">
        <w:rPr>
          <w:rStyle w:val="Artref"/>
          <w:b/>
          <w:bCs/>
          <w:color w:val="000000"/>
        </w:rPr>
        <w:t>21.8</w:t>
      </w:r>
      <w:r w:rsidRPr="00A74D77">
        <w:t xml:space="preserve"> and compare it with the appropriate contour resulting from the notified </w:t>
      </w:r>
      <w:proofErr w:type="spellStart"/>
      <w:r w:rsidRPr="00A74D77">
        <w:t>e.i.r.p</w:t>
      </w:r>
      <w:proofErr w:type="spellEnd"/>
      <w:r w:rsidRPr="00A74D77">
        <w:t xml:space="preserve">. and the antenna diagram. In any azimuth where the second contour exceeds the first one, an agreement under this provision is required with any administration having a territory which lies within the contour. The communication to the Bureau of the agreement of this administration is required for the formulation of a favourable </w:t>
      </w:r>
      <w:r w:rsidR="00484B7C">
        <w:t>f</w:t>
      </w:r>
      <w:r w:rsidRPr="00A74D77">
        <w:t>inding under No. </w:t>
      </w:r>
      <w:r w:rsidRPr="00A74D77">
        <w:rPr>
          <w:rStyle w:val="Artref"/>
          <w:b/>
          <w:bCs/>
          <w:color w:val="000000"/>
        </w:rPr>
        <w:t>11.31</w:t>
      </w:r>
      <w:r w:rsidRPr="00A74D77">
        <w:t>.</w:t>
      </w:r>
    </w:p>
    <w:p w14:paraId="7B92ADED" w14:textId="03FE44AA" w:rsidR="004458F2" w:rsidRDefault="004458F2" w:rsidP="00484B7C">
      <w:r w:rsidRPr="00A74D77">
        <w:t>2</w:t>
      </w:r>
      <w:r w:rsidRPr="00A74D77">
        <w:tab/>
        <w:t xml:space="preserve">In accordance with this provision, any frequency assignment having an </w:t>
      </w:r>
      <w:proofErr w:type="spellStart"/>
      <w:r w:rsidRPr="00A74D77">
        <w:t>e.i.r.p</w:t>
      </w:r>
      <w:proofErr w:type="spellEnd"/>
      <w:r w:rsidRPr="00A74D77">
        <w:t xml:space="preserve">. that exceeds the limits by more than 10 dB will receive an unfavourable </w:t>
      </w:r>
      <w:r w:rsidR="00484B7C">
        <w:t>f</w:t>
      </w:r>
      <w:r w:rsidRPr="00A74D77">
        <w:t>inding under No. </w:t>
      </w:r>
      <w:r w:rsidRPr="00A74D77">
        <w:rPr>
          <w:rStyle w:val="Artref"/>
          <w:b/>
          <w:bCs/>
          <w:color w:val="000000"/>
        </w:rPr>
        <w:t>11.31</w:t>
      </w:r>
      <w:r w:rsidRPr="00A74D77">
        <w:t>.</w:t>
      </w:r>
    </w:p>
    <w:p w14:paraId="52FF7169" w14:textId="77777777" w:rsidR="00CE2A25" w:rsidRDefault="00CE2A25" w:rsidP="00484B7C"/>
    <w:p w14:paraId="141724A3" w14:textId="77777777" w:rsidR="00CE2A25" w:rsidRDefault="00CE2A25" w:rsidP="00484B7C">
      <w:pPr>
        <w:sectPr w:rsidR="00CE2A25">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391E355" w14:textId="77777777" w:rsidR="004458F2" w:rsidRPr="00A74D77" w:rsidRDefault="004458F2">
      <w:pPr>
        <w:pStyle w:val="Heading8"/>
      </w:pPr>
      <w:r w:rsidRPr="00A74D77">
        <w:lastRenderedPageBreak/>
        <w:t>21.14</w:t>
      </w:r>
    </w:p>
    <w:p w14:paraId="5ECAE508" w14:textId="77777777" w:rsidR="004458F2" w:rsidRPr="00A74D77" w:rsidRDefault="004458F2">
      <w:r w:rsidRPr="00A74D77">
        <w:t xml:space="preserve">Elevation angles lower than 3° would create a high value of the </w:t>
      </w:r>
      <w:proofErr w:type="spellStart"/>
      <w:r w:rsidRPr="00A74D77">
        <w:t>e.i.r.p</w:t>
      </w:r>
      <w:proofErr w:type="spellEnd"/>
      <w:r w:rsidRPr="00A74D77">
        <w:t>. towards the horizon. The Board concluded that this provision is to be used together with Section III of Article </w:t>
      </w:r>
      <w:r w:rsidRPr="00A74D77">
        <w:rPr>
          <w:rStyle w:val="Artref"/>
          <w:b/>
          <w:bCs/>
          <w:color w:val="000000"/>
        </w:rPr>
        <w:t>21</w:t>
      </w:r>
      <w:r w:rsidRPr="00A74D77">
        <w:t>. This means the following:</w:t>
      </w:r>
    </w:p>
    <w:p w14:paraId="28C143BE" w14:textId="77777777" w:rsidR="004458F2" w:rsidRDefault="004458F2" w:rsidP="00484B7C">
      <w:r w:rsidRPr="00A74D77">
        <w:t xml:space="preserve">Irrespective of the </w:t>
      </w:r>
      <w:proofErr w:type="spellStart"/>
      <w:r w:rsidRPr="00A74D77">
        <w:t>e.i.r.p</w:t>
      </w:r>
      <w:proofErr w:type="spellEnd"/>
      <w:r w:rsidRPr="00A74D77">
        <w:t xml:space="preserve">. of the earth station, an elevation angle lower than 3° is subject to the agreement of the administrations concerned. In the case of receiving earth stations, to identify the administrations concerned, a nominal coordination contour is drawn at a 3° elevation angle and compared with the contour for the notified elevation angle. In any azimuth where the second contour exceeds the first one, an agreement under this provision is required with any administration having a territory which lies within the coordination area. The Bureau shall formulate a favourable </w:t>
      </w:r>
      <w:r w:rsidR="00484B7C">
        <w:t>f</w:t>
      </w:r>
      <w:r w:rsidRPr="00A74D77">
        <w:t>inding under No. </w:t>
      </w:r>
      <w:r w:rsidRPr="00A74D77">
        <w:rPr>
          <w:rStyle w:val="Artref"/>
          <w:b/>
          <w:bCs/>
          <w:color w:val="000000"/>
        </w:rPr>
        <w:t>11.31</w:t>
      </w:r>
      <w:r w:rsidRPr="00A74D77">
        <w:t xml:space="preserve"> only when it is informed of the formal agreement of these administrations.</w:t>
      </w:r>
    </w:p>
    <w:p w14:paraId="19508FB7" w14:textId="77777777" w:rsidR="005E79E1" w:rsidRPr="005E79E1" w:rsidRDefault="005E79E1" w:rsidP="005E79E1">
      <w:r w:rsidRPr="005E79E1">
        <w:rPr>
          <w:b/>
          <w:bCs/>
        </w:rPr>
        <w:t>Note</w:t>
      </w:r>
      <w:r w:rsidRPr="009135DB">
        <w:t>:</w:t>
      </w:r>
      <w:r w:rsidRPr="005E79E1">
        <w:t xml:space="preserve"> WRC-15 took the decision related to the </w:t>
      </w:r>
      <w:proofErr w:type="spellStart"/>
      <w:r w:rsidRPr="005E79E1">
        <w:t>RoP</w:t>
      </w:r>
      <w:proofErr w:type="spellEnd"/>
      <w:r w:rsidRPr="005E79E1">
        <w:t xml:space="preserve"> on No. </w:t>
      </w:r>
      <w:r w:rsidRPr="005E79E1">
        <w:rPr>
          <w:b/>
          <w:bCs/>
        </w:rPr>
        <w:t>21.14</w:t>
      </w:r>
      <w:r w:rsidRPr="005E79E1">
        <w:t xml:space="preserve"> during the 8</w:t>
      </w:r>
      <w:r w:rsidRPr="005E79E1">
        <w:rPr>
          <w:vertAlign w:val="superscript"/>
        </w:rPr>
        <w:t>th</w:t>
      </w:r>
      <w:r w:rsidRPr="005E79E1">
        <w:t xml:space="preserve"> Plenary, Par. 1.39 to 1.42 of Doc. CMR15/505, approval of Doc. CMR15/416 in relation to Section 3.2.5.2.6 of Doc. 4 (Add2) (Rev1), as follows:</w:t>
      </w:r>
    </w:p>
    <w:p w14:paraId="42A62218" w14:textId="77777777" w:rsidR="005E79E1" w:rsidRPr="005E79E1" w:rsidRDefault="005E79E1" w:rsidP="005E79E1">
      <w:pPr>
        <w:rPr>
          <w:i/>
          <w:iCs/>
        </w:rPr>
      </w:pPr>
      <w:r w:rsidRPr="005E79E1">
        <w:rPr>
          <w:i/>
          <w:iCs/>
        </w:rPr>
        <w:t xml:space="preserve">“WRC-15 considered whether existing practice of limiting grid-points to 3° elevation should be maintained when identifying affected administrations and networks under Nos. </w:t>
      </w:r>
      <w:r w:rsidRPr="005E79E1">
        <w:rPr>
          <w:b/>
          <w:bCs/>
          <w:i/>
          <w:iCs/>
        </w:rPr>
        <w:t>9.36</w:t>
      </w:r>
      <w:r w:rsidRPr="005E79E1">
        <w:rPr>
          <w:i/>
          <w:iCs/>
        </w:rPr>
        <w:t xml:space="preserve"> and </w:t>
      </w:r>
      <w:r w:rsidRPr="005E79E1">
        <w:rPr>
          <w:b/>
          <w:bCs/>
          <w:i/>
          <w:iCs/>
        </w:rPr>
        <w:t>9.36.2</w:t>
      </w:r>
      <w:r w:rsidRPr="005E79E1">
        <w:rPr>
          <w:i/>
          <w:iCs/>
        </w:rPr>
        <w:t xml:space="preserve"> and, possibly, extended to No. </w:t>
      </w:r>
      <w:r w:rsidRPr="005E79E1">
        <w:rPr>
          <w:b/>
          <w:bCs/>
          <w:i/>
          <w:iCs/>
        </w:rPr>
        <w:t>9.41</w:t>
      </w:r>
      <w:r w:rsidRPr="005E79E1">
        <w:rPr>
          <w:i/>
          <w:iCs/>
        </w:rPr>
        <w:t xml:space="preserve"> requests from administration, or to remove this limitation from GIBC/AP8/PXT software. </w:t>
      </w:r>
    </w:p>
    <w:p w14:paraId="7A76B88C" w14:textId="77777777" w:rsidR="005E79E1" w:rsidRPr="005E79E1" w:rsidRDefault="005E79E1" w:rsidP="009135DB">
      <w:pPr>
        <w:rPr>
          <w:i/>
          <w:iCs/>
        </w:rPr>
      </w:pPr>
      <w:r w:rsidRPr="005E79E1">
        <w:rPr>
          <w:i/>
          <w:iCs/>
        </w:rPr>
        <w:t>The conference decided to request BR to remove the 3 degree limitation.”</w:t>
      </w:r>
    </w:p>
    <w:p w14:paraId="3792DE27" w14:textId="77777777" w:rsidR="004458F2" w:rsidRPr="00A74D77" w:rsidRDefault="004458F2">
      <w:pPr>
        <w:pStyle w:val="Heading8"/>
      </w:pPr>
      <w:r w:rsidRPr="00A74D77">
        <w:t>21.16</w:t>
      </w:r>
    </w:p>
    <w:p w14:paraId="18614B6C" w14:textId="77777777" w:rsidR="004458F2" w:rsidRPr="00A74D77" w:rsidRDefault="004458F2">
      <w:pPr>
        <w:pStyle w:val="Headingb"/>
        <w:spacing w:before="240"/>
      </w:pPr>
      <w:r w:rsidRPr="00A74D77">
        <w:t>Application of power flux-density (</w:t>
      </w:r>
      <w:proofErr w:type="spellStart"/>
      <w:r w:rsidR="007717C8" w:rsidRPr="00A74D77">
        <w:t>pfd</w:t>
      </w:r>
      <w:proofErr w:type="spellEnd"/>
      <w:r w:rsidRPr="00A74D77">
        <w:t>) limits to steerable beams</w:t>
      </w:r>
    </w:p>
    <w:p w14:paraId="67972C20" w14:textId="77777777" w:rsidR="004458F2" w:rsidRPr="00A74D77" w:rsidRDefault="004458F2" w:rsidP="00CB1CB5">
      <w:r w:rsidRPr="00A74D77">
        <w:t>1</w:t>
      </w:r>
      <w:r w:rsidRPr="00A74D77">
        <w:tab/>
        <w:t xml:space="preserve">Use of steerable beams is becoming widespread. </w:t>
      </w:r>
      <w:proofErr w:type="spellStart"/>
      <w:r w:rsidR="00D37F6C">
        <w:t>pf</w:t>
      </w:r>
      <w:r w:rsidR="00CB1CB5">
        <w:t>d</w:t>
      </w:r>
      <w:proofErr w:type="spellEnd"/>
      <w:r w:rsidR="00D37F6C">
        <w:t xml:space="preserve"> </w:t>
      </w:r>
      <w:r w:rsidRPr="00A74D77">
        <w:t xml:space="preserve">values produced by assignments in steerable beams often exceed the applicable hard </w:t>
      </w:r>
      <w:proofErr w:type="spellStart"/>
      <w:r w:rsidR="007717C8" w:rsidRPr="00A74D77">
        <w:t>pfd</w:t>
      </w:r>
      <w:proofErr w:type="spellEnd"/>
      <w:r w:rsidR="007717C8" w:rsidRPr="00A74D77">
        <w:t xml:space="preserve"> </w:t>
      </w:r>
      <w:r w:rsidRPr="00A74D77">
        <w:t xml:space="preserve">limits for some or all positions of those beams. In these cases, administrations tend to state that </w:t>
      </w:r>
      <w:proofErr w:type="spellStart"/>
      <w:r w:rsidR="007717C8" w:rsidRPr="00A74D77">
        <w:t>pfd</w:t>
      </w:r>
      <w:proofErr w:type="spellEnd"/>
      <w:r w:rsidR="007717C8" w:rsidRPr="00A74D77">
        <w:t xml:space="preserve"> </w:t>
      </w:r>
      <w:r w:rsidRPr="00A74D77">
        <w:t>limits will be met and sometimes provide appropriate technical description as to how it would be done.</w:t>
      </w:r>
    </w:p>
    <w:p w14:paraId="2D84A2D0" w14:textId="77777777" w:rsidR="004458F2" w:rsidRPr="00A74D77" w:rsidRDefault="004458F2">
      <w:r w:rsidRPr="00A74D77">
        <w:t>2</w:t>
      </w:r>
      <w:r w:rsidRPr="00A74D77">
        <w:tab/>
        <w:t xml:space="preserve">For the purpose of transparency and to set an upper limit on the acceptable extent </w:t>
      </w:r>
      <w:r w:rsidR="007717C8" w:rsidRPr="00A74D77">
        <w:t xml:space="preserve">of the </w:t>
      </w:r>
      <w:proofErr w:type="spellStart"/>
      <w:r w:rsidR="007717C8" w:rsidRPr="00A74D77">
        <w:t>pfd</w:t>
      </w:r>
      <w:proofErr w:type="spellEnd"/>
      <w:r w:rsidR="007717C8" w:rsidRPr="00A74D77">
        <w:t xml:space="preserve"> </w:t>
      </w:r>
      <w:r w:rsidRPr="00A74D77">
        <w:t xml:space="preserve">control and avoid subjectivity in the evaluation of the </w:t>
      </w:r>
      <w:proofErr w:type="spellStart"/>
      <w:r w:rsidR="007717C8" w:rsidRPr="00A74D77">
        <w:t>pfd</w:t>
      </w:r>
      <w:proofErr w:type="spellEnd"/>
      <w:r w:rsidR="007717C8" w:rsidRPr="00A74D77">
        <w:t xml:space="preserve"> </w:t>
      </w:r>
      <w:r w:rsidRPr="00A74D77">
        <w:t>control method, the Board concluded that until the time that a relevant ITU-R Recommendation is available, the following Rule will apply on a provisional basis.</w:t>
      </w:r>
    </w:p>
    <w:p w14:paraId="5466E193" w14:textId="77777777" w:rsidR="009135DB" w:rsidRDefault="009135DB" w:rsidP="009135DB">
      <w:pPr>
        <w:tabs>
          <w:tab w:val="clear" w:pos="1134"/>
          <w:tab w:val="clear" w:pos="1871"/>
          <w:tab w:val="clear" w:pos="2268"/>
        </w:tabs>
        <w:overflowPunct/>
        <w:autoSpaceDE/>
        <w:autoSpaceDN/>
        <w:adjustRightInd/>
        <w:spacing w:before="0"/>
        <w:jc w:val="left"/>
        <w:textAlignment w:val="auto"/>
      </w:pPr>
      <w:r>
        <w:br w:type="page"/>
      </w:r>
    </w:p>
    <w:p w14:paraId="09E8A058" w14:textId="77777777" w:rsidR="004458F2" w:rsidRPr="00A74D77" w:rsidRDefault="004458F2" w:rsidP="00484B7C">
      <w:r w:rsidRPr="00A74D77">
        <w:lastRenderedPageBreak/>
        <w:t>3</w:t>
      </w:r>
      <w:r w:rsidRPr="00A74D77">
        <w:tab/>
        <w:t>In cases where frequency assignments in steerable beams of a satellite network</w:t>
      </w:r>
      <w:r w:rsidR="00FD13CB">
        <w:rPr>
          <w:rFonts w:hint="eastAsia"/>
          <w:lang w:eastAsia="zh-CN"/>
        </w:rPr>
        <w:t xml:space="preserve">, </w:t>
      </w:r>
      <w:r w:rsidR="00FD13CB" w:rsidRPr="00FD13CB">
        <w:rPr>
          <w:lang w:eastAsia="zh-CN"/>
        </w:rPr>
        <w:t xml:space="preserve">except the frequency assignments under the Appendix </w:t>
      </w:r>
      <w:r w:rsidR="00FD13CB" w:rsidRPr="00FD13CB">
        <w:rPr>
          <w:b/>
          <w:bCs/>
          <w:lang w:eastAsia="zh-CN"/>
        </w:rPr>
        <w:t>30B</w:t>
      </w:r>
      <w:r w:rsidR="00FD13CB" w:rsidRPr="00FD13CB">
        <w:rPr>
          <w:rFonts w:hint="eastAsia"/>
          <w:lang w:eastAsia="zh-CN"/>
        </w:rPr>
        <w:t>,</w:t>
      </w:r>
      <w:r w:rsidRPr="00A74D77">
        <w:t xml:space="preserve"> exceed the applicable hard </w:t>
      </w:r>
      <w:proofErr w:type="spellStart"/>
      <w:r w:rsidR="007717C8" w:rsidRPr="00A74D77">
        <w:t>pfd</w:t>
      </w:r>
      <w:proofErr w:type="spellEnd"/>
      <w:r w:rsidR="007717C8" w:rsidRPr="00A74D77">
        <w:t xml:space="preserve"> </w:t>
      </w:r>
      <w:r w:rsidRPr="00A74D77">
        <w:t>limits, the Bureau will establish a favourable</w:t>
      </w:r>
      <w:r w:rsidRPr="00A74D77">
        <w:rPr>
          <w:b/>
        </w:rPr>
        <w:t xml:space="preserve"> </w:t>
      </w:r>
      <w:r w:rsidR="00484B7C" w:rsidRPr="00484B7C">
        <w:rPr>
          <w:bCs/>
        </w:rPr>
        <w:t>f</w:t>
      </w:r>
      <w:r w:rsidRPr="00A74D77">
        <w:t>inding only if:</w:t>
      </w:r>
    </w:p>
    <w:p w14:paraId="3C5BFE93" w14:textId="77777777" w:rsidR="004458F2" w:rsidRPr="00A74D77" w:rsidRDefault="004458F2">
      <w:pPr>
        <w:pStyle w:val="enumlev1"/>
        <w:rPr>
          <w:u w:val="single"/>
        </w:rPr>
      </w:pPr>
      <w:r w:rsidRPr="00A74D77">
        <w:rPr>
          <w:i/>
        </w:rPr>
        <w:t>a)</w:t>
      </w:r>
      <w:r w:rsidRPr="00A74D77">
        <w:tab/>
        <w:t xml:space="preserve">there is at least one position of the steerable beam where the applicable </w:t>
      </w:r>
      <w:proofErr w:type="spellStart"/>
      <w:r w:rsidR="007717C8" w:rsidRPr="007717C8">
        <w:t>pfd</w:t>
      </w:r>
      <w:proofErr w:type="spellEnd"/>
      <w:r w:rsidR="007717C8" w:rsidRPr="00A74D77">
        <w:t xml:space="preserve"> </w:t>
      </w:r>
      <w:r w:rsidRPr="00A74D77">
        <w:t>limits are met without any reduction of the notified power density; and</w:t>
      </w:r>
    </w:p>
    <w:p w14:paraId="3042267E" w14:textId="77777777" w:rsidR="004458F2" w:rsidRPr="00A74D77" w:rsidRDefault="004458F2">
      <w:pPr>
        <w:pStyle w:val="enumlev1"/>
      </w:pPr>
      <w:r w:rsidRPr="00A74D77">
        <w:rPr>
          <w:i/>
        </w:rPr>
        <w:t>b)</w:t>
      </w:r>
      <w:r w:rsidRPr="00A74D77">
        <w:tab/>
        <w:t xml:space="preserve">the administration states that the applicable </w:t>
      </w:r>
      <w:proofErr w:type="spellStart"/>
      <w:r w:rsidR="007717C8" w:rsidRPr="00A74D77">
        <w:t>pfd</w:t>
      </w:r>
      <w:proofErr w:type="spellEnd"/>
      <w:r w:rsidR="007717C8" w:rsidRPr="00A74D77">
        <w:t xml:space="preserve"> </w:t>
      </w:r>
      <w:r w:rsidRPr="00A74D77">
        <w:t>limits will be met by applying a method, the description of which should be submitted to the Bureau. One possible example of such a method is described in the Annex to this Rule.</w:t>
      </w:r>
    </w:p>
    <w:p w14:paraId="74CB887C" w14:textId="77777777" w:rsidR="00A74D77" w:rsidRPr="00A74D77" w:rsidRDefault="00A74D77" w:rsidP="00A74D77"/>
    <w:p w14:paraId="3F3FFFA6" w14:textId="77777777" w:rsidR="004458F2" w:rsidRPr="00A74D77" w:rsidRDefault="004458F2">
      <w:pPr>
        <w:pStyle w:val="Annex"/>
      </w:pPr>
      <w:r w:rsidRPr="00A74D77">
        <w:t>ANNEX  1</w:t>
      </w:r>
    </w:p>
    <w:p w14:paraId="153F4DDC" w14:textId="77777777" w:rsidR="004458F2" w:rsidRPr="00A74D77" w:rsidRDefault="004458F2" w:rsidP="00A74D77">
      <w:pPr>
        <w:pStyle w:val="AnnexTitle"/>
        <w:rPr>
          <w:lang w:val="en-GB"/>
        </w:rPr>
      </w:pPr>
      <w:r w:rsidRPr="00A74D77">
        <w:rPr>
          <w:lang w:val="en-GB"/>
        </w:rPr>
        <w:t>Method to be applied to meet the regulatory</w:t>
      </w:r>
      <w:r w:rsidR="00A74D77" w:rsidRPr="00A74D77">
        <w:rPr>
          <w:lang w:val="en-GB"/>
        </w:rPr>
        <w:t xml:space="preserve"> </w:t>
      </w:r>
      <w:r w:rsidR="007717C8" w:rsidRPr="00A74D77">
        <w:rPr>
          <w:lang w:val="en-GB"/>
        </w:rPr>
        <w:t xml:space="preserve">pfd </w:t>
      </w:r>
      <w:r w:rsidRPr="00A74D77">
        <w:rPr>
          <w:lang w:val="en-GB"/>
        </w:rPr>
        <w:t>limits</w:t>
      </w:r>
      <w:r w:rsidR="00A74D77" w:rsidRPr="00A74D77">
        <w:rPr>
          <w:lang w:val="en-GB"/>
        </w:rPr>
        <w:br/>
      </w:r>
      <w:r w:rsidRPr="00A74D77">
        <w:rPr>
          <w:lang w:val="en-GB"/>
        </w:rPr>
        <w:t>when steerable beams are used</w:t>
      </w:r>
    </w:p>
    <w:p w14:paraId="389AC07F" w14:textId="77777777" w:rsidR="004458F2" w:rsidRPr="00A74D77" w:rsidRDefault="004458F2">
      <w:pPr>
        <w:pStyle w:val="Normalaftertitle"/>
      </w:pPr>
      <w:r w:rsidRPr="00A74D77">
        <w:t xml:space="preserve">Where steerable beams are used in satellite networks, operational measures may be needed to adjust space station transmit power density so that the applicable regulatory </w:t>
      </w:r>
      <w:proofErr w:type="spellStart"/>
      <w:r w:rsidR="007717C8" w:rsidRPr="00A74D77">
        <w:t>pfd</w:t>
      </w:r>
      <w:proofErr w:type="spellEnd"/>
      <w:r w:rsidR="007717C8" w:rsidRPr="00A74D77">
        <w:t xml:space="preserve"> </w:t>
      </w:r>
      <w:r w:rsidRPr="00A74D77">
        <w:t>limits for specific beam positions are met. In such cases, administrations may apply the following method for each specific steerable beam position and for each assignment in such beam:</w:t>
      </w:r>
    </w:p>
    <w:p w14:paraId="23D79E3B" w14:textId="77777777" w:rsidR="004458F2" w:rsidRPr="00A74D77" w:rsidRDefault="004458F2">
      <w:r w:rsidRPr="00A74D77">
        <w:rPr>
          <w:i/>
        </w:rPr>
        <w:t>Step 1</w:t>
      </w:r>
      <w:r w:rsidRPr="00A74D77">
        <w:t>:</w:t>
      </w:r>
      <w:r w:rsidRPr="00A74D77">
        <w:tab/>
        <w:t>For a specific beam position, produce a plot of beam gain contours on a map of the Earth that shows equal elevation lines.</w:t>
      </w:r>
    </w:p>
    <w:p w14:paraId="21DE0BF6" w14:textId="77777777" w:rsidR="004458F2" w:rsidRPr="00A74D77" w:rsidRDefault="004458F2" w:rsidP="00A74D77">
      <w:r w:rsidRPr="00A74D77">
        <w:rPr>
          <w:i/>
        </w:rPr>
        <w:t>Step 2</w:t>
      </w:r>
      <w:r w:rsidRPr="00A74D77">
        <w:t>:</w:t>
      </w:r>
      <w:r w:rsidRPr="00A74D77">
        <w:tab/>
        <w:t>Using the notified power density of the particular assignment, determine if</w:t>
      </w:r>
      <w:r w:rsidR="00A74D77" w:rsidRPr="00A74D77">
        <w:t xml:space="preserve"> </w:t>
      </w:r>
      <w:proofErr w:type="spellStart"/>
      <w:r w:rsidR="007717C8" w:rsidRPr="00A74D77">
        <w:t>pfd</w:t>
      </w:r>
      <w:proofErr w:type="spellEnd"/>
      <w:r w:rsidR="007717C8" w:rsidRPr="00A74D77">
        <w:t xml:space="preserve"> </w:t>
      </w:r>
      <w:r w:rsidRPr="00A74D77">
        <w:t xml:space="preserve">produced at beam peak or any other point on the Earth exceeds the applicable </w:t>
      </w:r>
      <w:proofErr w:type="spellStart"/>
      <w:r w:rsidR="007717C8" w:rsidRPr="00A74D77">
        <w:t>pfd</w:t>
      </w:r>
      <w:proofErr w:type="spellEnd"/>
      <w:r w:rsidR="007717C8" w:rsidRPr="00A74D77">
        <w:t xml:space="preserve"> </w:t>
      </w:r>
      <w:r w:rsidRPr="00A74D77">
        <w:t xml:space="preserve">limits. If so, determine the maximum amount of </w:t>
      </w:r>
      <w:proofErr w:type="spellStart"/>
      <w:r w:rsidR="007717C8" w:rsidRPr="00A74D77">
        <w:t>pfd</w:t>
      </w:r>
      <w:proofErr w:type="spellEnd"/>
      <w:r w:rsidR="007717C8" w:rsidRPr="00A74D77">
        <w:t xml:space="preserve"> </w:t>
      </w:r>
      <w:r w:rsidRPr="00A74D77">
        <w:t>excess (i.e. find the point with largest excess over the limit).</w:t>
      </w:r>
    </w:p>
    <w:p w14:paraId="5E7D9DA1" w14:textId="77777777" w:rsidR="004458F2" w:rsidRPr="00A74D77" w:rsidRDefault="004458F2">
      <w:r w:rsidRPr="00A74D77">
        <w:rPr>
          <w:i/>
        </w:rPr>
        <w:t>Step 3</w:t>
      </w:r>
      <w:r w:rsidRPr="00A74D77">
        <w:t>:</w:t>
      </w:r>
      <w:r w:rsidRPr="00A74D77">
        <w:tab/>
        <w:t xml:space="preserve">Adjust, i.e. reduce, the operational power density of the assignment by at least the maximum amount determined in Step 2 above, so that </w:t>
      </w:r>
      <w:proofErr w:type="spellStart"/>
      <w:r w:rsidR="007717C8" w:rsidRPr="00A74D77">
        <w:t>pfd</w:t>
      </w:r>
      <w:proofErr w:type="spellEnd"/>
      <w:r w:rsidR="007717C8" w:rsidRPr="00A74D77">
        <w:t xml:space="preserve"> </w:t>
      </w:r>
      <w:r w:rsidRPr="00A74D77">
        <w:t xml:space="preserve">produced on any point on the Earth meets the applicable </w:t>
      </w:r>
      <w:proofErr w:type="spellStart"/>
      <w:r w:rsidR="007717C8" w:rsidRPr="00A74D77">
        <w:t>pfd</w:t>
      </w:r>
      <w:proofErr w:type="spellEnd"/>
      <w:r w:rsidR="007717C8" w:rsidRPr="00A74D77">
        <w:t xml:space="preserve"> </w:t>
      </w:r>
      <w:r w:rsidRPr="00A74D77">
        <w:t>limit.</w:t>
      </w:r>
    </w:p>
    <w:p w14:paraId="14150B59" w14:textId="77777777" w:rsidR="004458F2" w:rsidRPr="00A74D77" w:rsidRDefault="004458F2">
      <w:r w:rsidRPr="00A74D77">
        <w:t xml:space="preserve">For non-GSO satellites in elliptical orbits, its distance towards points on the Earth also changes as the satellite travels along the orbit. To find the maximum amount of </w:t>
      </w:r>
      <w:proofErr w:type="spellStart"/>
      <w:r w:rsidR="007717C8" w:rsidRPr="00A74D77">
        <w:t>pfd</w:t>
      </w:r>
      <w:proofErr w:type="spellEnd"/>
      <w:r w:rsidR="007717C8" w:rsidRPr="00A74D77">
        <w:t xml:space="preserve"> </w:t>
      </w:r>
      <w:r w:rsidRPr="00A74D77">
        <w:t>excess in this case, Steps 1 and 2 above need to be repeated for various orbital positions of the satellite.</w:t>
      </w:r>
    </w:p>
    <w:p w14:paraId="0661115A" w14:textId="77777777" w:rsidR="004458F2" w:rsidRPr="00A74D77" w:rsidRDefault="004458F2" w:rsidP="00A74D77">
      <w:r w:rsidRPr="00A74D77">
        <w:t xml:space="preserve">The application of this method is illustrated in the following example. Assume that the steerable beam is positioned as shown in the </w:t>
      </w:r>
      <w:r w:rsidR="00A74D77" w:rsidRPr="00A74D77">
        <w:t>f</w:t>
      </w:r>
      <w:r w:rsidRPr="00A74D77">
        <w:t>igure below.</w:t>
      </w:r>
    </w:p>
    <w:p w14:paraId="54E37021" w14:textId="77777777" w:rsidR="009135DB" w:rsidRDefault="009135DB">
      <w:pPr>
        <w:tabs>
          <w:tab w:val="clear" w:pos="1134"/>
          <w:tab w:val="clear" w:pos="1871"/>
          <w:tab w:val="clear" w:pos="2268"/>
        </w:tabs>
        <w:overflowPunct/>
        <w:autoSpaceDE/>
        <w:autoSpaceDN/>
        <w:adjustRightInd/>
        <w:spacing w:before="0"/>
        <w:jc w:val="left"/>
        <w:textAlignment w:val="auto"/>
      </w:pPr>
      <w:r>
        <w:br w:type="page"/>
      </w:r>
    </w:p>
    <w:p w14:paraId="345171F0" w14:textId="72B35EDD" w:rsidR="004458F2" w:rsidRPr="00A74D77" w:rsidRDefault="005140C6" w:rsidP="00565564">
      <w:pPr>
        <w:jc w:val="center"/>
      </w:pPr>
      <w:r>
        <w:rPr>
          <w:noProof/>
        </w:rPr>
        <w:lastRenderedPageBreak/>
        <w:drawing>
          <wp:inline distT="0" distB="0" distL="0" distR="0" wp14:anchorId="664B29F6" wp14:editId="46C095BD">
            <wp:extent cx="3584455" cy="3008382"/>
            <wp:effectExtent l="0" t="0" r="0" b="0"/>
            <wp:docPr id="1192104665" name="Picture 1" descr="A diagram of the sola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104665" name="Picture 1" descr="A diagram of the solar syste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84455" cy="3008382"/>
                    </a:xfrm>
                    <a:prstGeom prst="rect">
                      <a:avLst/>
                    </a:prstGeom>
                  </pic:spPr>
                </pic:pic>
              </a:graphicData>
            </a:graphic>
          </wp:inline>
        </w:drawing>
      </w:r>
    </w:p>
    <w:p w14:paraId="338CD6C2" w14:textId="77777777" w:rsidR="004458F2" w:rsidRPr="00A74D77" w:rsidRDefault="004458F2" w:rsidP="00A74D77">
      <w:pPr>
        <w:spacing w:line="270" w:lineRule="exact"/>
      </w:pPr>
      <w:r w:rsidRPr="00A74D77">
        <w:t>The beam peak is at point A and its elevation angle can be computed using geometrical methods. The –3 dB contour touches the 10</w:t>
      </w:r>
      <w:r w:rsidRPr="00A74D77">
        <w:rPr>
          <w:rFonts w:ascii="Symbol" w:hAnsi="Symbol"/>
        </w:rPr>
        <w:sym w:font="Symbol" w:char="F0B0"/>
      </w:r>
      <w:r w:rsidRPr="00A74D77">
        <w:t xml:space="preserve"> elevation line at point B, and the –</w:t>
      </w:r>
      <w:r w:rsidR="00A74D77" w:rsidRPr="00A74D77">
        <w:rPr>
          <w:sz w:val="4"/>
          <w:szCs w:val="4"/>
        </w:rPr>
        <w:t xml:space="preserve"> </w:t>
      </w:r>
      <w:r w:rsidRPr="00A74D77">
        <w:t>4</w:t>
      </w:r>
      <w:r w:rsidR="00A74D77" w:rsidRPr="00A74D77">
        <w:t xml:space="preserve"> </w:t>
      </w:r>
      <w:r w:rsidRPr="00A74D77">
        <w:t>dB contour touches the 5</w:t>
      </w:r>
      <w:r w:rsidR="00A74D77" w:rsidRPr="00A74D77">
        <w:rPr>
          <w:rFonts w:ascii="Symbol" w:hAnsi="Symbol"/>
        </w:rPr>
        <w:sym w:font="Symbol" w:char="F0B0"/>
      </w:r>
      <w:r w:rsidRPr="00A74D77">
        <w:t xml:space="preserve"> elevation line at point C. For these points, </w:t>
      </w:r>
      <w:proofErr w:type="spellStart"/>
      <w:r w:rsidR="007717C8" w:rsidRPr="00A74D77">
        <w:t>pfd</w:t>
      </w:r>
      <w:proofErr w:type="spellEnd"/>
      <w:r w:rsidR="007717C8" w:rsidRPr="00A74D77">
        <w:t xml:space="preserve"> values, the applicable </w:t>
      </w:r>
      <w:proofErr w:type="spellStart"/>
      <w:r w:rsidR="007717C8" w:rsidRPr="00A74D77">
        <w:t>pfd</w:t>
      </w:r>
      <w:proofErr w:type="spellEnd"/>
      <w:r w:rsidR="007717C8" w:rsidRPr="00A74D77">
        <w:t xml:space="preserve"> </w:t>
      </w:r>
      <w:r w:rsidRPr="00A74D77">
        <w:t xml:space="preserve">limits and the excess over the limits (if any) are given in the Table below. Values are for frequencies above 15 GHz and the reference bandwidth is 1 </w:t>
      </w:r>
      <w:proofErr w:type="spellStart"/>
      <w:r w:rsidRPr="00A74D77">
        <w:t>MHz.</w:t>
      </w:r>
      <w:proofErr w:type="spellEnd"/>
      <w:r w:rsidRPr="00A74D77">
        <w:t xml:space="preserve"> The data in the Table show that at this particular steerable beam position it is necessary to reduce the notified power density by 2</w:t>
      </w:r>
      <w:r w:rsidR="00A74D77" w:rsidRPr="00A74D77">
        <w:t> </w:t>
      </w:r>
      <w:r w:rsidRPr="00A74D77">
        <w:t xml:space="preserve">dB to meet the regulatory </w:t>
      </w:r>
      <w:proofErr w:type="spellStart"/>
      <w:r w:rsidR="007717C8" w:rsidRPr="00A74D77">
        <w:t>pfd</w:t>
      </w:r>
      <w:proofErr w:type="spellEnd"/>
      <w:r w:rsidR="007717C8" w:rsidRPr="00A74D77">
        <w:t xml:space="preserve"> </w:t>
      </w:r>
      <w:r w:rsidRPr="00A74D77">
        <w:t>limit.</w:t>
      </w:r>
    </w:p>
    <w:p w14:paraId="3D17B0C3" w14:textId="77777777" w:rsidR="004458F2" w:rsidRPr="00A74D77" w:rsidRDefault="004458F2">
      <w:pPr>
        <w:spacing w:before="0"/>
      </w:pPr>
    </w:p>
    <w:p w14:paraId="50E4EBFA" w14:textId="77777777" w:rsidR="004458F2" w:rsidRPr="00A74D77" w:rsidRDefault="004458F2">
      <w:pPr>
        <w:tabs>
          <w:tab w:val="clear" w:pos="1134"/>
          <w:tab w:val="clear" w:pos="1871"/>
          <w:tab w:val="clear" w:pos="2268"/>
          <w:tab w:val="left" w:pos="2835"/>
          <w:tab w:val="left" w:pos="5500"/>
        </w:tabs>
        <w:jc w:val="left"/>
        <w:rPr>
          <w:sz w:val="20"/>
        </w:rPr>
      </w:pPr>
      <w:r w:rsidRPr="00A74D77">
        <w:rPr>
          <w:sz w:val="20"/>
        </w:rPr>
        <w:t xml:space="preserve">Beam name:  </w:t>
      </w:r>
      <w:r w:rsidRPr="00A74D77">
        <w:rPr>
          <w:b/>
          <w:sz w:val="20"/>
        </w:rPr>
        <w:t>AAR</w:t>
      </w:r>
      <w:r w:rsidRPr="00A74D77">
        <w:rPr>
          <w:sz w:val="20"/>
        </w:rPr>
        <w:tab/>
        <w:t xml:space="preserve">Emission:  </w:t>
      </w:r>
      <w:r w:rsidRPr="00A74D77">
        <w:rPr>
          <w:b/>
          <w:sz w:val="20"/>
        </w:rPr>
        <w:t>11M7G7W--</w:t>
      </w:r>
      <w:r w:rsidRPr="00A74D77">
        <w:rPr>
          <w:sz w:val="20"/>
        </w:rPr>
        <w:tab/>
        <w:t xml:space="preserve">Notified power density:  </w:t>
      </w:r>
      <w:r w:rsidRPr="00A74D77">
        <w:rPr>
          <w:b/>
          <w:sz w:val="20"/>
        </w:rPr>
        <w:t>–55.7 dB(W/Hz)</w:t>
      </w:r>
    </w:p>
    <w:p w14:paraId="793DA611" w14:textId="77777777" w:rsidR="004458F2" w:rsidRPr="00A74D77" w:rsidRDefault="004458F2">
      <w:pPr>
        <w:spacing w:before="0"/>
        <w:rPr>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right w:w="0" w:type="dxa"/>
        </w:tblCellMar>
        <w:tblLook w:val="0000" w:firstRow="0" w:lastRow="0" w:firstColumn="0" w:lastColumn="0" w:noHBand="0" w:noVBand="0"/>
      </w:tblPr>
      <w:tblGrid>
        <w:gridCol w:w="3969"/>
        <w:gridCol w:w="2060"/>
        <w:gridCol w:w="946"/>
        <w:gridCol w:w="1021"/>
        <w:gridCol w:w="1021"/>
      </w:tblGrid>
      <w:tr w:rsidR="004458F2" w:rsidRPr="00A74D77" w14:paraId="1343FA97" w14:textId="77777777">
        <w:trPr>
          <w:jc w:val="center"/>
        </w:trPr>
        <w:tc>
          <w:tcPr>
            <w:tcW w:w="3969" w:type="dxa"/>
            <w:tcBorders>
              <w:top w:val="single" w:sz="6" w:space="0" w:color="auto"/>
              <w:left w:val="single" w:sz="6" w:space="0" w:color="auto"/>
              <w:bottom w:val="single" w:sz="6" w:space="0" w:color="auto"/>
              <w:right w:val="nil"/>
            </w:tcBorders>
          </w:tcPr>
          <w:p w14:paraId="4D18C89F" w14:textId="77777777" w:rsidR="004458F2" w:rsidRPr="00A74D77" w:rsidRDefault="004458F2">
            <w:pPr>
              <w:pStyle w:val="TableHead"/>
              <w:framePr w:hSpace="181" w:wrap="notBeside" w:vAnchor="text" w:hAnchor="text" w:xAlign="center" w:y="1"/>
              <w:ind w:left="57" w:right="57"/>
            </w:pPr>
          </w:p>
        </w:tc>
        <w:tc>
          <w:tcPr>
            <w:tcW w:w="2060" w:type="dxa"/>
            <w:tcBorders>
              <w:top w:val="single" w:sz="6" w:space="0" w:color="auto"/>
              <w:left w:val="nil"/>
              <w:bottom w:val="single" w:sz="6" w:space="0" w:color="auto"/>
              <w:right w:val="single" w:sz="6" w:space="0" w:color="auto"/>
            </w:tcBorders>
          </w:tcPr>
          <w:p w14:paraId="4AD54BB6" w14:textId="77777777" w:rsidR="004458F2" w:rsidRPr="00A74D77" w:rsidRDefault="004458F2">
            <w:pPr>
              <w:pStyle w:val="TableHead"/>
              <w:framePr w:hSpace="181" w:wrap="notBeside" w:vAnchor="text" w:hAnchor="text" w:xAlign="center" w:y="1"/>
              <w:ind w:right="284"/>
              <w:jc w:val="right"/>
            </w:pPr>
          </w:p>
        </w:tc>
        <w:tc>
          <w:tcPr>
            <w:tcW w:w="946" w:type="dxa"/>
            <w:tcBorders>
              <w:top w:val="single" w:sz="6" w:space="0" w:color="auto"/>
              <w:left w:val="single" w:sz="6" w:space="0" w:color="auto"/>
              <w:bottom w:val="single" w:sz="6" w:space="0" w:color="auto"/>
              <w:right w:val="single" w:sz="6" w:space="0" w:color="auto"/>
            </w:tcBorders>
          </w:tcPr>
          <w:p w14:paraId="73C657AF" w14:textId="77777777" w:rsidR="004458F2" w:rsidRPr="00A74D77" w:rsidRDefault="004458F2">
            <w:pPr>
              <w:pStyle w:val="TableHead"/>
              <w:framePr w:hSpace="181" w:wrap="notBeside" w:vAnchor="text" w:hAnchor="text" w:xAlign="center" w:y="1"/>
              <w:ind w:left="57" w:right="57"/>
              <w:jc w:val="both"/>
            </w:pPr>
            <w:r w:rsidRPr="00A74D77">
              <w:t>Point A</w:t>
            </w:r>
          </w:p>
        </w:tc>
        <w:tc>
          <w:tcPr>
            <w:tcW w:w="1021" w:type="dxa"/>
            <w:tcBorders>
              <w:top w:val="single" w:sz="6" w:space="0" w:color="auto"/>
              <w:left w:val="single" w:sz="6" w:space="0" w:color="auto"/>
              <w:bottom w:val="single" w:sz="6" w:space="0" w:color="auto"/>
              <w:right w:val="single" w:sz="6" w:space="0" w:color="auto"/>
            </w:tcBorders>
          </w:tcPr>
          <w:p w14:paraId="1B1EDB39" w14:textId="77777777" w:rsidR="004458F2" w:rsidRPr="00A74D77" w:rsidRDefault="004458F2">
            <w:pPr>
              <w:pStyle w:val="TableHead"/>
              <w:framePr w:hSpace="181" w:wrap="notBeside" w:vAnchor="text" w:hAnchor="text" w:xAlign="center" w:y="1"/>
              <w:ind w:left="57" w:right="57"/>
              <w:jc w:val="both"/>
            </w:pPr>
            <w:r w:rsidRPr="00A74D77">
              <w:t>Point B</w:t>
            </w:r>
          </w:p>
        </w:tc>
        <w:tc>
          <w:tcPr>
            <w:tcW w:w="1021" w:type="dxa"/>
            <w:tcBorders>
              <w:top w:val="single" w:sz="6" w:space="0" w:color="auto"/>
              <w:left w:val="single" w:sz="6" w:space="0" w:color="auto"/>
              <w:bottom w:val="single" w:sz="6" w:space="0" w:color="auto"/>
              <w:right w:val="single" w:sz="6" w:space="0" w:color="auto"/>
            </w:tcBorders>
          </w:tcPr>
          <w:p w14:paraId="09CCDCEC" w14:textId="77777777" w:rsidR="004458F2" w:rsidRPr="00A74D77" w:rsidRDefault="004458F2">
            <w:pPr>
              <w:pStyle w:val="TableHead"/>
              <w:framePr w:hSpace="181" w:wrap="notBeside" w:vAnchor="text" w:hAnchor="text" w:xAlign="center" w:y="1"/>
              <w:ind w:left="57" w:right="57"/>
              <w:jc w:val="both"/>
            </w:pPr>
            <w:r w:rsidRPr="00A74D77">
              <w:t>Point C</w:t>
            </w:r>
          </w:p>
        </w:tc>
      </w:tr>
      <w:tr w:rsidR="004458F2" w:rsidRPr="00A74D77" w14:paraId="1C66668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31F136D1" w14:textId="77777777" w:rsidR="004458F2" w:rsidRPr="00A74D77" w:rsidRDefault="004458F2">
            <w:pPr>
              <w:pStyle w:val="TableText"/>
              <w:framePr w:hSpace="181" w:wrap="notBeside" w:vAnchor="text" w:hAnchor="text" w:xAlign="center" w:y="1"/>
              <w:ind w:right="57"/>
            </w:pPr>
            <w:r w:rsidRPr="00A74D77">
              <w:t>Notified power density per Hz (dB(W/Hz))</w:t>
            </w:r>
          </w:p>
        </w:tc>
        <w:tc>
          <w:tcPr>
            <w:tcW w:w="2988" w:type="dxa"/>
            <w:gridSpan w:val="3"/>
            <w:tcBorders>
              <w:top w:val="single" w:sz="6" w:space="0" w:color="auto"/>
              <w:left w:val="single" w:sz="6" w:space="0" w:color="auto"/>
              <w:bottom w:val="single" w:sz="6" w:space="0" w:color="auto"/>
              <w:right w:val="single" w:sz="6" w:space="0" w:color="auto"/>
            </w:tcBorders>
          </w:tcPr>
          <w:p w14:paraId="0DD0C01A" w14:textId="77777777" w:rsidR="004458F2" w:rsidRPr="00A74D77" w:rsidRDefault="004458F2">
            <w:pPr>
              <w:pStyle w:val="TableText"/>
              <w:framePr w:hSpace="181" w:wrap="notBeside" w:vAnchor="text" w:hAnchor="text" w:xAlign="center" w:y="1"/>
              <w:ind w:left="57" w:right="57"/>
              <w:jc w:val="center"/>
            </w:pPr>
            <w:r w:rsidRPr="00A74D77">
              <w:t>–55.7</w:t>
            </w:r>
          </w:p>
        </w:tc>
      </w:tr>
      <w:tr w:rsidR="004458F2" w:rsidRPr="00A74D77" w14:paraId="0C6A5D1E"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1F794FDF" w14:textId="77777777" w:rsidR="004458F2" w:rsidRPr="00A74D77" w:rsidRDefault="004458F2">
            <w:pPr>
              <w:pStyle w:val="TableText"/>
              <w:framePr w:hSpace="181" w:wrap="notBeside" w:vAnchor="text" w:hAnchor="text" w:xAlign="center" w:y="1"/>
              <w:ind w:right="284"/>
              <w:jc w:val="left"/>
            </w:pPr>
            <w:r w:rsidRPr="00A74D77">
              <w:t>Notified power density per 1 MHz (dB(W/MHz))</w:t>
            </w:r>
          </w:p>
        </w:tc>
        <w:tc>
          <w:tcPr>
            <w:tcW w:w="2988" w:type="dxa"/>
            <w:gridSpan w:val="3"/>
            <w:tcBorders>
              <w:top w:val="single" w:sz="6" w:space="0" w:color="auto"/>
              <w:left w:val="single" w:sz="6" w:space="0" w:color="auto"/>
              <w:bottom w:val="single" w:sz="6" w:space="0" w:color="auto"/>
              <w:right w:val="single" w:sz="6" w:space="0" w:color="auto"/>
            </w:tcBorders>
          </w:tcPr>
          <w:p w14:paraId="0BF9E246" w14:textId="77777777" w:rsidR="004458F2" w:rsidRPr="00A74D77" w:rsidRDefault="004458F2">
            <w:pPr>
              <w:pStyle w:val="TableText"/>
              <w:framePr w:hSpace="181" w:wrap="notBeside" w:vAnchor="text" w:hAnchor="text" w:xAlign="center" w:y="1"/>
              <w:ind w:left="57" w:right="57"/>
              <w:jc w:val="center"/>
            </w:pPr>
            <w:r w:rsidRPr="00A74D77">
              <w:t>4.3</w:t>
            </w:r>
          </w:p>
        </w:tc>
      </w:tr>
      <w:tr w:rsidR="004458F2" w:rsidRPr="00A74D77" w14:paraId="7587300C"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782F886" w14:textId="77777777" w:rsidR="004458F2" w:rsidRPr="00A74D77" w:rsidRDefault="004458F2">
            <w:pPr>
              <w:pStyle w:val="TableText"/>
              <w:framePr w:hSpace="181" w:wrap="notBeside" w:vAnchor="text" w:hAnchor="text" w:xAlign="center" w:y="1"/>
              <w:ind w:right="284"/>
              <w:jc w:val="left"/>
            </w:pPr>
            <w:r w:rsidRPr="00A74D77">
              <w:t>Antenna gain towards a point (</w:t>
            </w:r>
            <w:proofErr w:type="spellStart"/>
            <w:r w:rsidRPr="00A74D77">
              <w:t>dBi</w:t>
            </w:r>
            <w:proofErr w:type="spellEnd"/>
            <w:r w:rsidRPr="00A74D77">
              <w:t>)</w:t>
            </w:r>
          </w:p>
        </w:tc>
        <w:tc>
          <w:tcPr>
            <w:tcW w:w="946" w:type="dxa"/>
            <w:tcBorders>
              <w:top w:val="single" w:sz="6" w:space="0" w:color="auto"/>
              <w:left w:val="single" w:sz="6" w:space="0" w:color="auto"/>
              <w:bottom w:val="single" w:sz="6" w:space="0" w:color="auto"/>
              <w:right w:val="single" w:sz="6" w:space="0" w:color="auto"/>
            </w:tcBorders>
          </w:tcPr>
          <w:p w14:paraId="26852877" w14:textId="77777777" w:rsidR="004458F2" w:rsidRPr="00A74D77" w:rsidRDefault="004458F2">
            <w:pPr>
              <w:pStyle w:val="TableText"/>
              <w:framePr w:hSpace="181" w:wrap="notBeside" w:vAnchor="text" w:hAnchor="text" w:xAlign="center" w:y="1"/>
              <w:ind w:left="57" w:right="57"/>
              <w:jc w:val="center"/>
            </w:pPr>
            <w:r w:rsidRPr="00A74D77">
              <w:t>50.0</w:t>
            </w:r>
          </w:p>
        </w:tc>
        <w:tc>
          <w:tcPr>
            <w:tcW w:w="1021" w:type="dxa"/>
            <w:tcBorders>
              <w:top w:val="single" w:sz="6" w:space="0" w:color="auto"/>
              <w:left w:val="single" w:sz="6" w:space="0" w:color="auto"/>
              <w:bottom w:val="single" w:sz="6" w:space="0" w:color="auto"/>
              <w:right w:val="single" w:sz="6" w:space="0" w:color="auto"/>
            </w:tcBorders>
          </w:tcPr>
          <w:p w14:paraId="5D6E1367" w14:textId="77777777" w:rsidR="004458F2" w:rsidRPr="00A74D77" w:rsidRDefault="004458F2">
            <w:pPr>
              <w:pStyle w:val="TableText"/>
              <w:framePr w:hSpace="181" w:wrap="notBeside" w:vAnchor="text" w:hAnchor="text" w:xAlign="center" w:y="1"/>
              <w:ind w:left="57" w:right="57"/>
              <w:jc w:val="center"/>
            </w:pPr>
            <w:r w:rsidRPr="00A74D77">
              <w:t>47.0</w:t>
            </w:r>
          </w:p>
        </w:tc>
        <w:tc>
          <w:tcPr>
            <w:tcW w:w="1021" w:type="dxa"/>
            <w:tcBorders>
              <w:top w:val="single" w:sz="6" w:space="0" w:color="auto"/>
              <w:left w:val="single" w:sz="6" w:space="0" w:color="auto"/>
              <w:bottom w:val="single" w:sz="6" w:space="0" w:color="auto"/>
              <w:right w:val="single" w:sz="6" w:space="0" w:color="auto"/>
            </w:tcBorders>
          </w:tcPr>
          <w:p w14:paraId="62EB3CC5" w14:textId="77777777" w:rsidR="004458F2" w:rsidRPr="00A74D77" w:rsidRDefault="004458F2">
            <w:pPr>
              <w:pStyle w:val="TableText"/>
              <w:framePr w:hSpace="181" w:wrap="notBeside" w:vAnchor="text" w:hAnchor="text" w:xAlign="center" w:y="1"/>
              <w:ind w:left="57" w:right="57"/>
              <w:jc w:val="center"/>
            </w:pPr>
            <w:r w:rsidRPr="00A74D77">
              <w:t>46.0</w:t>
            </w:r>
          </w:p>
        </w:tc>
      </w:tr>
      <w:tr w:rsidR="004458F2" w:rsidRPr="00A74D77" w14:paraId="60D3B87C"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5E4B3E6F" w14:textId="77777777" w:rsidR="004458F2" w:rsidRPr="00A74D77" w:rsidRDefault="004458F2">
            <w:pPr>
              <w:pStyle w:val="TableText"/>
              <w:framePr w:hSpace="181" w:wrap="notBeside" w:vAnchor="text" w:hAnchor="text" w:xAlign="center" w:y="1"/>
              <w:ind w:right="284"/>
              <w:jc w:val="left"/>
            </w:pPr>
            <w:proofErr w:type="spellStart"/>
            <w:r w:rsidRPr="00A74D77">
              <w:t>e.i.r.p</w:t>
            </w:r>
            <w:proofErr w:type="spellEnd"/>
            <w:r w:rsidRPr="00A74D77">
              <w:t>. towards a point (dB(W/1 MHz))</w:t>
            </w:r>
          </w:p>
        </w:tc>
        <w:tc>
          <w:tcPr>
            <w:tcW w:w="946" w:type="dxa"/>
            <w:tcBorders>
              <w:top w:val="single" w:sz="6" w:space="0" w:color="auto"/>
              <w:left w:val="single" w:sz="6" w:space="0" w:color="auto"/>
              <w:bottom w:val="single" w:sz="6" w:space="0" w:color="auto"/>
              <w:right w:val="single" w:sz="6" w:space="0" w:color="auto"/>
            </w:tcBorders>
          </w:tcPr>
          <w:p w14:paraId="07A70EC1" w14:textId="77777777" w:rsidR="004458F2" w:rsidRPr="00A74D77" w:rsidRDefault="004458F2">
            <w:pPr>
              <w:pStyle w:val="TableText"/>
              <w:framePr w:hSpace="181" w:wrap="notBeside" w:vAnchor="text" w:hAnchor="text" w:xAlign="center" w:y="1"/>
              <w:ind w:left="57" w:right="57"/>
              <w:jc w:val="center"/>
            </w:pPr>
            <w:r w:rsidRPr="00A74D77">
              <w:t>54.3</w:t>
            </w:r>
          </w:p>
        </w:tc>
        <w:tc>
          <w:tcPr>
            <w:tcW w:w="1021" w:type="dxa"/>
            <w:tcBorders>
              <w:top w:val="single" w:sz="6" w:space="0" w:color="auto"/>
              <w:left w:val="single" w:sz="6" w:space="0" w:color="auto"/>
              <w:bottom w:val="single" w:sz="6" w:space="0" w:color="auto"/>
              <w:right w:val="single" w:sz="6" w:space="0" w:color="auto"/>
            </w:tcBorders>
          </w:tcPr>
          <w:p w14:paraId="2EEDC134" w14:textId="77777777" w:rsidR="004458F2" w:rsidRPr="00A74D77" w:rsidRDefault="004458F2">
            <w:pPr>
              <w:pStyle w:val="TableText"/>
              <w:framePr w:hSpace="181" w:wrap="notBeside" w:vAnchor="text" w:hAnchor="text" w:xAlign="center" w:y="1"/>
              <w:ind w:left="57" w:right="57"/>
              <w:jc w:val="center"/>
            </w:pPr>
            <w:r w:rsidRPr="00A74D77">
              <w:t>51.3</w:t>
            </w:r>
          </w:p>
        </w:tc>
        <w:tc>
          <w:tcPr>
            <w:tcW w:w="1021" w:type="dxa"/>
            <w:tcBorders>
              <w:top w:val="single" w:sz="6" w:space="0" w:color="auto"/>
              <w:left w:val="single" w:sz="6" w:space="0" w:color="auto"/>
              <w:bottom w:val="single" w:sz="6" w:space="0" w:color="auto"/>
              <w:right w:val="single" w:sz="6" w:space="0" w:color="auto"/>
            </w:tcBorders>
          </w:tcPr>
          <w:p w14:paraId="7219BF7B" w14:textId="77777777" w:rsidR="004458F2" w:rsidRPr="00A74D77" w:rsidRDefault="004458F2">
            <w:pPr>
              <w:pStyle w:val="TableText"/>
              <w:framePr w:hSpace="181" w:wrap="notBeside" w:vAnchor="text" w:hAnchor="text" w:xAlign="center" w:y="1"/>
              <w:ind w:left="57" w:right="57"/>
              <w:jc w:val="center"/>
            </w:pPr>
            <w:r w:rsidRPr="00A74D77">
              <w:t>50.3</w:t>
            </w:r>
          </w:p>
        </w:tc>
      </w:tr>
      <w:tr w:rsidR="004458F2" w:rsidRPr="00A74D77" w14:paraId="7B775ED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35594EFB" w14:textId="77777777" w:rsidR="004458F2" w:rsidRPr="00A74D77" w:rsidRDefault="004458F2">
            <w:pPr>
              <w:pStyle w:val="TableText"/>
              <w:framePr w:hSpace="181" w:wrap="notBeside" w:vAnchor="text" w:hAnchor="text" w:xAlign="center" w:y="1"/>
              <w:ind w:right="284"/>
              <w:jc w:val="left"/>
            </w:pPr>
            <w:r w:rsidRPr="00A74D77">
              <w:t>Path length (km)</w:t>
            </w:r>
          </w:p>
        </w:tc>
        <w:tc>
          <w:tcPr>
            <w:tcW w:w="946" w:type="dxa"/>
            <w:tcBorders>
              <w:top w:val="single" w:sz="6" w:space="0" w:color="auto"/>
              <w:left w:val="single" w:sz="6" w:space="0" w:color="auto"/>
              <w:bottom w:val="single" w:sz="6" w:space="0" w:color="auto"/>
              <w:right w:val="single" w:sz="6" w:space="0" w:color="auto"/>
            </w:tcBorders>
          </w:tcPr>
          <w:p w14:paraId="3E37B62C" w14:textId="77777777" w:rsidR="004458F2" w:rsidRPr="00A74D77" w:rsidRDefault="004458F2">
            <w:pPr>
              <w:pStyle w:val="TableText"/>
              <w:framePr w:hSpace="181" w:wrap="notBeside" w:vAnchor="text" w:hAnchor="text" w:xAlign="center" w:y="1"/>
              <w:ind w:left="57" w:right="57"/>
              <w:jc w:val="center"/>
            </w:pPr>
            <w:r w:rsidRPr="00A74D77">
              <w:t>39</w:t>
            </w:r>
            <w:r w:rsidRPr="00A74D77">
              <w:rPr>
                <w:rFonts w:ascii="Tms Rmn" w:hAnsi="Tms Rmn"/>
                <w:sz w:val="12"/>
              </w:rPr>
              <w:t> </w:t>
            </w:r>
            <w:r w:rsidRPr="00A74D77">
              <w:t>532</w:t>
            </w:r>
          </w:p>
        </w:tc>
        <w:tc>
          <w:tcPr>
            <w:tcW w:w="1021" w:type="dxa"/>
            <w:tcBorders>
              <w:top w:val="single" w:sz="6" w:space="0" w:color="auto"/>
              <w:left w:val="single" w:sz="6" w:space="0" w:color="auto"/>
              <w:bottom w:val="single" w:sz="6" w:space="0" w:color="auto"/>
              <w:right w:val="single" w:sz="6" w:space="0" w:color="auto"/>
            </w:tcBorders>
          </w:tcPr>
          <w:p w14:paraId="7A54784B" w14:textId="77777777" w:rsidR="004458F2" w:rsidRPr="00A74D77" w:rsidRDefault="004458F2">
            <w:pPr>
              <w:pStyle w:val="TableText"/>
              <w:framePr w:hSpace="181" w:wrap="notBeside" w:vAnchor="text" w:hAnchor="text" w:xAlign="center" w:y="1"/>
              <w:ind w:left="57" w:right="57"/>
              <w:jc w:val="center"/>
            </w:pPr>
            <w:r w:rsidRPr="00A74D77">
              <w:t>40</w:t>
            </w:r>
            <w:r w:rsidRPr="00A74D77">
              <w:rPr>
                <w:rFonts w:ascii="Tms Rmn" w:hAnsi="Tms Rmn"/>
                <w:sz w:val="12"/>
              </w:rPr>
              <w:t> </w:t>
            </w:r>
            <w:r w:rsidRPr="00A74D77">
              <w:t>584</w:t>
            </w:r>
          </w:p>
        </w:tc>
        <w:tc>
          <w:tcPr>
            <w:tcW w:w="1021" w:type="dxa"/>
            <w:tcBorders>
              <w:top w:val="single" w:sz="6" w:space="0" w:color="auto"/>
              <w:left w:val="single" w:sz="6" w:space="0" w:color="auto"/>
              <w:bottom w:val="single" w:sz="6" w:space="0" w:color="auto"/>
              <w:right w:val="single" w:sz="6" w:space="0" w:color="auto"/>
            </w:tcBorders>
          </w:tcPr>
          <w:p w14:paraId="1597CBEF" w14:textId="77777777" w:rsidR="004458F2" w:rsidRPr="00A74D77" w:rsidRDefault="004458F2">
            <w:pPr>
              <w:pStyle w:val="TableText"/>
              <w:framePr w:hSpace="181" w:wrap="notBeside" w:vAnchor="text" w:hAnchor="text" w:xAlign="center" w:y="1"/>
              <w:ind w:left="57" w:right="57"/>
              <w:jc w:val="center"/>
            </w:pPr>
            <w:r w:rsidRPr="00A74D77">
              <w:t>41</w:t>
            </w:r>
            <w:r w:rsidRPr="00A74D77">
              <w:rPr>
                <w:rFonts w:ascii="Tms Rmn" w:hAnsi="Tms Rmn"/>
                <w:sz w:val="12"/>
              </w:rPr>
              <w:t> </w:t>
            </w:r>
            <w:r w:rsidRPr="00A74D77">
              <w:t>125</w:t>
            </w:r>
          </w:p>
        </w:tc>
      </w:tr>
      <w:tr w:rsidR="004458F2" w:rsidRPr="00A74D77" w14:paraId="25209D44"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2D7F830E" w14:textId="77777777" w:rsidR="004458F2" w:rsidRPr="00A74D77" w:rsidRDefault="004458F2">
            <w:pPr>
              <w:pStyle w:val="TableText"/>
              <w:framePr w:hSpace="181" w:wrap="notBeside" w:vAnchor="text" w:hAnchor="text" w:xAlign="center" w:y="1"/>
              <w:ind w:right="284"/>
              <w:jc w:val="left"/>
            </w:pPr>
            <w:r w:rsidRPr="00A74D77">
              <w:t>Spreading loss (dB)</w:t>
            </w:r>
          </w:p>
        </w:tc>
        <w:tc>
          <w:tcPr>
            <w:tcW w:w="946" w:type="dxa"/>
            <w:tcBorders>
              <w:top w:val="single" w:sz="6" w:space="0" w:color="auto"/>
              <w:left w:val="single" w:sz="6" w:space="0" w:color="auto"/>
              <w:bottom w:val="single" w:sz="6" w:space="0" w:color="auto"/>
              <w:right w:val="single" w:sz="6" w:space="0" w:color="auto"/>
            </w:tcBorders>
          </w:tcPr>
          <w:p w14:paraId="0FD3753F" w14:textId="77777777" w:rsidR="004458F2" w:rsidRPr="00A74D77" w:rsidRDefault="004458F2">
            <w:pPr>
              <w:pStyle w:val="TableText"/>
              <w:framePr w:hSpace="181" w:wrap="notBeside" w:vAnchor="text" w:hAnchor="text" w:xAlign="center" w:y="1"/>
              <w:ind w:left="57" w:right="57"/>
              <w:jc w:val="center"/>
            </w:pPr>
            <w:r w:rsidRPr="00A74D77">
              <w:t>162.9</w:t>
            </w:r>
          </w:p>
        </w:tc>
        <w:tc>
          <w:tcPr>
            <w:tcW w:w="1021" w:type="dxa"/>
            <w:tcBorders>
              <w:top w:val="single" w:sz="6" w:space="0" w:color="auto"/>
              <w:left w:val="single" w:sz="6" w:space="0" w:color="auto"/>
              <w:bottom w:val="single" w:sz="6" w:space="0" w:color="auto"/>
              <w:right w:val="single" w:sz="6" w:space="0" w:color="auto"/>
            </w:tcBorders>
          </w:tcPr>
          <w:p w14:paraId="3E45BE77" w14:textId="77777777" w:rsidR="004458F2" w:rsidRPr="00A74D77" w:rsidRDefault="004458F2">
            <w:pPr>
              <w:pStyle w:val="TableText"/>
              <w:framePr w:hSpace="181" w:wrap="notBeside" w:vAnchor="text" w:hAnchor="text" w:xAlign="center" w:y="1"/>
              <w:ind w:left="57" w:right="57"/>
              <w:jc w:val="center"/>
            </w:pPr>
            <w:r w:rsidRPr="00A74D77">
              <w:t>163.2</w:t>
            </w:r>
          </w:p>
        </w:tc>
        <w:tc>
          <w:tcPr>
            <w:tcW w:w="1021" w:type="dxa"/>
            <w:tcBorders>
              <w:top w:val="single" w:sz="6" w:space="0" w:color="auto"/>
              <w:left w:val="single" w:sz="6" w:space="0" w:color="auto"/>
              <w:bottom w:val="single" w:sz="6" w:space="0" w:color="auto"/>
              <w:right w:val="single" w:sz="6" w:space="0" w:color="auto"/>
            </w:tcBorders>
          </w:tcPr>
          <w:p w14:paraId="14A8A723" w14:textId="77777777" w:rsidR="004458F2" w:rsidRPr="00A74D77" w:rsidRDefault="004458F2">
            <w:pPr>
              <w:pStyle w:val="TableText"/>
              <w:framePr w:hSpace="181" w:wrap="notBeside" w:vAnchor="text" w:hAnchor="text" w:xAlign="center" w:y="1"/>
              <w:ind w:left="57" w:right="57"/>
              <w:jc w:val="center"/>
            </w:pPr>
            <w:r w:rsidRPr="00A74D77">
              <w:t>163.3</w:t>
            </w:r>
          </w:p>
        </w:tc>
      </w:tr>
      <w:tr w:rsidR="004458F2" w:rsidRPr="00A74D77" w14:paraId="1D3E8E0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F3E1257" w14:textId="77777777" w:rsidR="004458F2" w:rsidRPr="00A74D77" w:rsidRDefault="007B1A05">
            <w:pPr>
              <w:pStyle w:val="TableText"/>
              <w:framePr w:hSpace="181" w:wrap="notBeside" w:vAnchor="text" w:hAnchor="text" w:xAlign="center" w:y="1"/>
              <w:ind w:right="284"/>
              <w:jc w:val="left"/>
            </w:pPr>
            <w:proofErr w:type="spellStart"/>
            <w:r w:rsidRPr="00EB6A66">
              <w:t>pfd</w:t>
            </w:r>
            <w:proofErr w:type="spellEnd"/>
            <w:r w:rsidR="004458F2" w:rsidRPr="00A74D77">
              <w:t xml:space="preserve"> produced at a point (dB(W/(m</w:t>
            </w:r>
            <w:r w:rsidR="004458F2" w:rsidRPr="00A74D77">
              <w:rPr>
                <w:vertAlign w:val="superscript"/>
              </w:rPr>
              <w:t>2</w:t>
            </w:r>
            <w:r w:rsidR="004458F2" w:rsidRPr="00A74D77">
              <w:rPr>
                <w:sz w:val="22"/>
              </w:rPr>
              <w:t> </w:t>
            </w:r>
            <w:r w:rsidR="004458F2" w:rsidRPr="00A74D77">
              <w:t>· 1 MHz)))</w:t>
            </w:r>
          </w:p>
        </w:tc>
        <w:tc>
          <w:tcPr>
            <w:tcW w:w="946" w:type="dxa"/>
            <w:tcBorders>
              <w:top w:val="single" w:sz="6" w:space="0" w:color="auto"/>
              <w:left w:val="single" w:sz="6" w:space="0" w:color="auto"/>
              <w:bottom w:val="single" w:sz="6" w:space="0" w:color="auto"/>
              <w:right w:val="single" w:sz="6" w:space="0" w:color="auto"/>
            </w:tcBorders>
          </w:tcPr>
          <w:p w14:paraId="3B528F3D" w14:textId="77777777" w:rsidR="004458F2" w:rsidRPr="00A74D77" w:rsidRDefault="004458F2">
            <w:pPr>
              <w:pStyle w:val="TableText"/>
              <w:framePr w:hSpace="181" w:wrap="notBeside" w:vAnchor="text" w:hAnchor="text" w:xAlign="center" w:y="1"/>
              <w:ind w:left="57" w:right="57"/>
              <w:jc w:val="center"/>
            </w:pPr>
            <w:r w:rsidRPr="00A74D77">
              <w:t>–108.6</w:t>
            </w:r>
          </w:p>
        </w:tc>
        <w:tc>
          <w:tcPr>
            <w:tcW w:w="1021" w:type="dxa"/>
            <w:tcBorders>
              <w:top w:val="single" w:sz="6" w:space="0" w:color="auto"/>
              <w:left w:val="single" w:sz="6" w:space="0" w:color="auto"/>
              <w:bottom w:val="single" w:sz="6" w:space="0" w:color="auto"/>
              <w:right w:val="single" w:sz="6" w:space="0" w:color="auto"/>
            </w:tcBorders>
          </w:tcPr>
          <w:p w14:paraId="694DE5E8" w14:textId="77777777" w:rsidR="004458F2" w:rsidRPr="00A74D77" w:rsidRDefault="004458F2">
            <w:pPr>
              <w:pStyle w:val="TableText"/>
              <w:framePr w:hSpace="181" w:wrap="notBeside" w:vAnchor="text" w:hAnchor="text" w:xAlign="center" w:y="1"/>
              <w:ind w:left="57" w:right="57"/>
              <w:jc w:val="center"/>
            </w:pPr>
            <w:r w:rsidRPr="00A74D77">
              <w:t>–111.9</w:t>
            </w:r>
          </w:p>
        </w:tc>
        <w:tc>
          <w:tcPr>
            <w:tcW w:w="1021" w:type="dxa"/>
            <w:tcBorders>
              <w:top w:val="single" w:sz="6" w:space="0" w:color="auto"/>
              <w:left w:val="single" w:sz="6" w:space="0" w:color="auto"/>
              <w:bottom w:val="single" w:sz="6" w:space="0" w:color="auto"/>
              <w:right w:val="single" w:sz="6" w:space="0" w:color="auto"/>
            </w:tcBorders>
          </w:tcPr>
          <w:p w14:paraId="6C79F1CF" w14:textId="77777777" w:rsidR="004458F2" w:rsidRPr="00A74D77" w:rsidRDefault="004458F2">
            <w:pPr>
              <w:pStyle w:val="TableText"/>
              <w:framePr w:hSpace="181" w:wrap="notBeside" w:vAnchor="text" w:hAnchor="text" w:xAlign="center" w:y="1"/>
              <w:ind w:left="57" w:right="57"/>
              <w:jc w:val="center"/>
            </w:pPr>
            <w:r w:rsidRPr="00A74D77">
              <w:t>–113.0</w:t>
            </w:r>
          </w:p>
        </w:tc>
      </w:tr>
      <w:tr w:rsidR="004458F2" w:rsidRPr="00A74D77" w14:paraId="2C44D14F"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03DC92AB" w14:textId="77777777" w:rsidR="004458F2" w:rsidRPr="00A74D77" w:rsidRDefault="004458F2">
            <w:pPr>
              <w:pStyle w:val="TableText"/>
              <w:framePr w:hSpace="181" w:wrap="notBeside" w:vAnchor="text" w:hAnchor="text" w:xAlign="center" w:y="1"/>
              <w:ind w:right="284"/>
              <w:jc w:val="left"/>
            </w:pPr>
            <w:r w:rsidRPr="00A74D77">
              <w:rPr>
                <w:rStyle w:val="Artref"/>
                <w:b/>
                <w:bCs/>
                <w:color w:val="000000"/>
              </w:rPr>
              <w:t>21.16</w:t>
            </w:r>
            <w:r w:rsidRPr="00A74D77">
              <w:t xml:space="preserve"> </w:t>
            </w:r>
            <w:proofErr w:type="spellStart"/>
            <w:r w:rsidR="007717C8" w:rsidRPr="00A74D77">
              <w:t>pfd</w:t>
            </w:r>
            <w:proofErr w:type="spellEnd"/>
            <w:r w:rsidR="007717C8" w:rsidRPr="00A74D77">
              <w:t xml:space="preserve"> </w:t>
            </w:r>
            <w:r w:rsidRPr="00A74D77">
              <w:t>limit at a point (dB(W/(m</w:t>
            </w:r>
            <w:r w:rsidRPr="00A74D77">
              <w:rPr>
                <w:vertAlign w:val="superscript"/>
              </w:rPr>
              <w:t>2</w:t>
            </w:r>
            <w:r w:rsidRPr="00A74D77">
              <w:t> · 1 MHz)))</w:t>
            </w:r>
          </w:p>
        </w:tc>
        <w:tc>
          <w:tcPr>
            <w:tcW w:w="946" w:type="dxa"/>
            <w:tcBorders>
              <w:top w:val="single" w:sz="6" w:space="0" w:color="auto"/>
              <w:left w:val="single" w:sz="6" w:space="0" w:color="auto"/>
              <w:bottom w:val="single" w:sz="6" w:space="0" w:color="auto"/>
              <w:right w:val="single" w:sz="6" w:space="0" w:color="auto"/>
            </w:tcBorders>
          </w:tcPr>
          <w:p w14:paraId="3FF36CF5" w14:textId="77777777" w:rsidR="004458F2" w:rsidRPr="00A74D77" w:rsidRDefault="004458F2">
            <w:pPr>
              <w:pStyle w:val="TableText"/>
              <w:framePr w:hSpace="181" w:wrap="notBeside" w:vAnchor="text" w:hAnchor="text" w:xAlign="center" w:y="1"/>
              <w:ind w:left="57" w:right="57"/>
              <w:jc w:val="center"/>
            </w:pPr>
            <w:r w:rsidRPr="00A74D77">
              <w:t>–108.5</w:t>
            </w:r>
          </w:p>
        </w:tc>
        <w:tc>
          <w:tcPr>
            <w:tcW w:w="1021" w:type="dxa"/>
            <w:tcBorders>
              <w:top w:val="single" w:sz="6" w:space="0" w:color="auto"/>
              <w:left w:val="single" w:sz="6" w:space="0" w:color="auto"/>
              <w:bottom w:val="single" w:sz="6" w:space="0" w:color="auto"/>
              <w:right w:val="single" w:sz="6" w:space="0" w:color="auto"/>
            </w:tcBorders>
          </w:tcPr>
          <w:p w14:paraId="78A7CDBD" w14:textId="77777777" w:rsidR="004458F2" w:rsidRPr="00A74D77" w:rsidRDefault="004458F2">
            <w:pPr>
              <w:pStyle w:val="TableText"/>
              <w:framePr w:hSpace="181" w:wrap="notBeside" w:vAnchor="text" w:hAnchor="text" w:xAlign="center" w:y="1"/>
              <w:ind w:left="57" w:right="57"/>
              <w:jc w:val="center"/>
            </w:pPr>
            <w:r w:rsidRPr="00A74D77">
              <w:t>–112.5</w:t>
            </w:r>
          </w:p>
        </w:tc>
        <w:tc>
          <w:tcPr>
            <w:tcW w:w="1021" w:type="dxa"/>
            <w:tcBorders>
              <w:top w:val="single" w:sz="6" w:space="0" w:color="auto"/>
              <w:left w:val="single" w:sz="6" w:space="0" w:color="auto"/>
              <w:bottom w:val="single" w:sz="6" w:space="0" w:color="auto"/>
              <w:right w:val="single" w:sz="6" w:space="0" w:color="auto"/>
            </w:tcBorders>
          </w:tcPr>
          <w:p w14:paraId="588CCA96" w14:textId="77777777" w:rsidR="004458F2" w:rsidRPr="00A74D77" w:rsidRDefault="004458F2">
            <w:pPr>
              <w:pStyle w:val="TableText"/>
              <w:framePr w:hSpace="181" w:wrap="notBeside" w:vAnchor="text" w:hAnchor="text" w:xAlign="center" w:y="1"/>
              <w:ind w:left="57" w:right="57"/>
              <w:jc w:val="center"/>
            </w:pPr>
            <w:r w:rsidRPr="00A74D77">
              <w:t>–115.0</w:t>
            </w:r>
          </w:p>
        </w:tc>
      </w:tr>
      <w:tr w:rsidR="004458F2" w:rsidRPr="00A74D77" w14:paraId="21734404"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671E7DFE" w14:textId="77777777" w:rsidR="004458F2" w:rsidRPr="00A74D77" w:rsidRDefault="004458F2">
            <w:pPr>
              <w:pStyle w:val="TableText"/>
              <w:framePr w:hSpace="181" w:wrap="notBeside" w:vAnchor="text" w:hAnchor="text" w:xAlign="center" w:y="1"/>
              <w:ind w:right="284"/>
              <w:jc w:val="left"/>
            </w:pPr>
            <w:r w:rsidRPr="00A74D77">
              <w:t xml:space="preserve">Excess over the </w:t>
            </w:r>
            <w:proofErr w:type="spellStart"/>
            <w:r w:rsidR="007717C8" w:rsidRPr="00A74D77">
              <w:t>pfd</w:t>
            </w:r>
            <w:proofErr w:type="spellEnd"/>
            <w:r w:rsidRPr="00A74D77">
              <w:t xml:space="preserve"> limit (dB)</w:t>
            </w:r>
          </w:p>
        </w:tc>
        <w:tc>
          <w:tcPr>
            <w:tcW w:w="946" w:type="dxa"/>
            <w:tcBorders>
              <w:top w:val="single" w:sz="6" w:space="0" w:color="auto"/>
              <w:left w:val="single" w:sz="6" w:space="0" w:color="auto"/>
              <w:bottom w:val="single" w:sz="6" w:space="0" w:color="auto"/>
              <w:right w:val="single" w:sz="6" w:space="0" w:color="auto"/>
            </w:tcBorders>
          </w:tcPr>
          <w:p w14:paraId="17D45F41" w14:textId="77777777" w:rsidR="004458F2" w:rsidRPr="00A74D77" w:rsidRDefault="004458F2">
            <w:pPr>
              <w:pStyle w:val="TableText"/>
              <w:framePr w:hSpace="181" w:wrap="notBeside" w:vAnchor="text" w:hAnchor="text" w:xAlign="center" w:y="1"/>
              <w:ind w:left="57" w:right="57"/>
              <w:jc w:val="center"/>
            </w:pPr>
            <w:r w:rsidRPr="00A74D77">
              <w:t>–</w:t>
            </w:r>
          </w:p>
        </w:tc>
        <w:tc>
          <w:tcPr>
            <w:tcW w:w="1021" w:type="dxa"/>
            <w:tcBorders>
              <w:top w:val="single" w:sz="6" w:space="0" w:color="auto"/>
              <w:left w:val="single" w:sz="6" w:space="0" w:color="auto"/>
              <w:bottom w:val="single" w:sz="6" w:space="0" w:color="auto"/>
              <w:right w:val="single" w:sz="6" w:space="0" w:color="auto"/>
            </w:tcBorders>
          </w:tcPr>
          <w:p w14:paraId="4956FC42" w14:textId="77777777" w:rsidR="004458F2" w:rsidRPr="00A74D77" w:rsidRDefault="004458F2">
            <w:pPr>
              <w:pStyle w:val="TableText"/>
              <w:framePr w:hSpace="181" w:wrap="notBeside" w:vAnchor="text" w:hAnchor="text" w:xAlign="center" w:y="1"/>
              <w:ind w:left="57" w:right="57"/>
              <w:jc w:val="center"/>
            </w:pPr>
            <w:r w:rsidRPr="00A74D77">
              <w:t>0.6</w:t>
            </w:r>
          </w:p>
        </w:tc>
        <w:tc>
          <w:tcPr>
            <w:tcW w:w="1021" w:type="dxa"/>
            <w:tcBorders>
              <w:top w:val="single" w:sz="6" w:space="0" w:color="auto"/>
              <w:left w:val="single" w:sz="6" w:space="0" w:color="auto"/>
              <w:bottom w:val="single" w:sz="6" w:space="0" w:color="auto"/>
              <w:right w:val="single" w:sz="6" w:space="0" w:color="auto"/>
            </w:tcBorders>
          </w:tcPr>
          <w:p w14:paraId="291839EF" w14:textId="77777777"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14:paraId="30494F1A"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5E051E26" w14:textId="77777777" w:rsidR="004458F2" w:rsidRPr="00A74D77" w:rsidRDefault="004458F2">
            <w:pPr>
              <w:pStyle w:val="TableText"/>
              <w:framePr w:hSpace="181" w:wrap="notBeside" w:vAnchor="text" w:hAnchor="text" w:xAlign="center" w:y="1"/>
              <w:ind w:right="284"/>
              <w:jc w:val="left"/>
            </w:pPr>
            <w:r w:rsidRPr="00A74D77">
              <w:t>Required reduction of power density to meet the limit (dB)</w:t>
            </w:r>
          </w:p>
        </w:tc>
        <w:tc>
          <w:tcPr>
            <w:tcW w:w="2988" w:type="dxa"/>
            <w:gridSpan w:val="3"/>
            <w:tcBorders>
              <w:top w:val="single" w:sz="6" w:space="0" w:color="auto"/>
              <w:left w:val="single" w:sz="6" w:space="0" w:color="auto"/>
              <w:bottom w:val="single" w:sz="6" w:space="0" w:color="auto"/>
              <w:right w:val="single" w:sz="6" w:space="0" w:color="auto"/>
            </w:tcBorders>
          </w:tcPr>
          <w:p w14:paraId="056289B3" w14:textId="77777777"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14:paraId="703A86DA" w14:textId="777777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14:paraId="076C5F55" w14:textId="77777777" w:rsidR="004458F2" w:rsidRPr="00A74D77" w:rsidRDefault="004458F2">
            <w:pPr>
              <w:pStyle w:val="TableText"/>
              <w:framePr w:hSpace="181" w:wrap="notBeside" w:vAnchor="text" w:hAnchor="text" w:xAlign="center" w:y="1"/>
              <w:ind w:right="284"/>
              <w:jc w:val="left"/>
            </w:pPr>
            <w:r w:rsidRPr="00A74D77">
              <w:t>Maximum power density to be used at this beam position (dB(W/Hz))</w:t>
            </w:r>
          </w:p>
        </w:tc>
        <w:tc>
          <w:tcPr>
            <w:tcW w:w="2988" w:type="dxa"/>
            <w:gridSpan w:val="3"/>
            <w:tcBorders>
              <w:top w:val="single" w:sz="6" w:space="0" w:color="auto"/>
              <w:left w:val="single" w:sz="6" w:space="0" w:color="auto"/>
              <w:bottom w:val="single" w:sz="6" w:space="0" w:color="auto"/>
              <w:right w:val="single" w:sz="6" w:space="0" w:color="auto"/>
            </w:tcBorders>
          </w:tcPr>
          <w:p w14:paraId="6391ECE9" w14:textId="77777777" w:rsidR="004458F2" w:rsidRPr="00A74D77" w:rsidRDefault="004458F2">
            <w:pPr>
              <w:pStyle w:val="TableText"/>
              <w:framePr w:hSpace="181" w:wrap="notBeside" w:vAnchor="text" w:hAnchor="text" w:xAlign="center" w:y="1"/>
              <w:ind w:left="57" w:right="57"/>
              <w:jc w:val="center"/>
            </w:pPr>
            <w:r w:rsidRPr="00A74D77">
              <w:t>–57.7</w:t>
            </w:r>
          </w:p>
        </w:tc>
      </w:tr>
    </w:tbl>
    <w:p w14:paraId="10543BBB" w14:textId="77777777" w:rsidR="004458F2" w:rsidRPr="00A74D77" w:rsidRDefault="004458F2">
      <w:pPr>
        <w:pStyle w:val="TableFin"/>
      </w:pPr>
    </w:p>
    <w:p w14:paraId="0A842305" w14:textId="77777777" w:rsidR="004458F2" w:rsidRPr="00A74D77" w:rsidRDefault="004458F2">
      <w:pPr>
        <w:jc w:val="center"/>
      </w:pPr>
      <w:r w:rsidRPr="00A74D77">
        <w:t>____________________</w:t>
      </w:r>
    </w:p>
    <w:p w14:paraId="0A401F22" w14:textId="77777777" w:rsidR="004458F2" w:rsidRPr="00A74D77" w:rsidRDefault="004458F2" w:rsidP="00A74D77"/>
    <w:p w14:paraId="58F70430" w14:textId="77777777" w:rsidR="004458F2" w:rsidRPr="00A74D77" w:rsidRDefault="004458F2">
      <w:pPr>
        <w:sectPr w:rsidR="004458F2" w:rsidRPr="00A74D77">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17687F0E" w14:textId="77777777" w:rsidR="004458F2" w:rsidRPr="00A74D77" w:rsidRDefault="004458F2"/>
    <w:sectPr w:rsidR="004458F2" w:rsidRPr="00A74D77" w:rsidSect="009135DB">
      <w:headerReference w:type="even" r:id="rId11"/>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A9526" w14:textId="77777777" w:rsidR="00B844DD" w:rsidRDefault="00B844DD">
      <w:r>
        <w:separator/>
      </w:r>
    </w:p>
  </w:endnote>
  <w:endnote w:type="continuationSeparator" w:id="0">
    <w:p w14:paraId="28753209" w14:textId="77777777" w:rsidR="00B844DD" w:rsidRDefault="00B84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C315D" w14:textId="77777777" w:rsidR="00B844DD" w:rsidRDefault="00B844DD">
      <w:r>
        <w:rPr>
          <w:b/>
        </w:rPr>
        <w:t>_______________</w:t>
      </w:r>
    </w:p>
    <w:p w14:paraId="048E71D7" w14:textId="77777777" w:rsidR="00B844DD" w:rsidRDefault="00B844DD"/>
  </w:footnote>
  <w:footnote w:type="continuationSeparator" w:id="0">
    <w:p w14:paraId="2F4FD82F" w14:textId="77777777" w:rsidR="00B844DD" w:rsidRDefault="00B84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1EE" w14:paraId="72CFF5E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88DDF4" w14:textId="77777777" w:rsidR="005A21EE" w:rsidRDefault="005A21E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60B7AF36" w14:textId="3C75617A" w:rsidR="005A21EE" w:rsidRDefault="002211CA">
          <w:pPr>
            <w:pStyle w:val="HeaderRegProc"/>
            <w:rPr>
              <w:lang w:val="en-US"/>
            </w:rPr>
          </w:pPr>
          <w:fldSimple w:instr=" DOCPROPERTY &quot;Header&quot; \* MERGEFORMAT ">
            <w:r w:rsidRPr="002211CA">
              <w:rPr>
                <w:lang w:val="en-US"/>
              </w:rPr>
              <w:t>AR</w:t>
            </w:r>
          </w:fldSimple>
          <w:r w:rsidR="005A21EE">
            <w:fldChar w:fldCharType="begin"/>
          </w:r>
          <w:r w:rsidR="005A21EE">
            <w:rPr>
              <w:lang w:val="en-US"/>
            </w:rPr>
            <w:instrText>styleref href2</w:instrText>
          </w:r>
          <w:r w:rsidR="005A21EE">
            <w:fldChar w:fldCharType="separate"/>
          </w:r>
          <w:r>
            <w:rPr>
              <w:noProof/>
              <w:lang w:val="en-US"/>
            </w:rPr>
            <w:t>21</w:t>
          </w:r>
          <w:r w:rsidR="005A21EE">
            <w:fldChar w:fldCharType="end"/>
          </w:r>
        </w:p>
      </w:tc>
      <w:tc>
        <w:tcPr>
          <w:tcW w:w="1701" w:type="dxa"/>
          <w:tcBorders>
            <w:top w:val="single" w:sz="6" w:space="0" w:color="auto"/>
            <w:left w:val="single" w:sz="6" w:space="0" w:color="auto"/>
            <w:bottom w:val="single" w:sz="6" w:space="0" w:color="auto"/>
            <w:right w:val="single" w:sz="6" w:space="0" w:color="auto"/>
          </w:tcBorders>
        </w:tcPr>
        <w:p w14:paraId="01C985BC" w14:textId="77777777" w:rsidR="005A21EE" w:rsidRDefault="005A21EE">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430EC">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1C2BFB" w14:textId="59A3CAD5" w:rsidR="005A21EE" w:rsidRDefault="005A21EE" w:rsidP="00DD0362">
          <w:pPr>
            <w:pStyle w:val="HeaderRegProc"/>
            <w:rPr>
              <w:lang w:val="fr-CH"/>
            </w:rPr>
          </w:pPr>
          <w:proofErr w:type="spellStart"/>
          <w:proofErr w:type="gramStart"/>
          <w:r>
            <w:rPr>
              <w:lang w:val="fr-CH"/>
            </w:rPr>
            <w:t>rev</w:t>
          </w:r>
          <w:proofErr w:type="spellEnd"/>
          <w:proofErr w:type="gramEnd"/>
          <w:r>
            <w:rPr>
              <w:lang w:val="fr-CH"/>
            </w:rPr>
            <w:t>.</w:t>
          </w:r>
          <w:r w:rsidR="00112AD3">
            <w:rPr>
              <w:lang w:val="fr-CH"/>
            </w:rPr>
            <w:t xml:space="preserve"> </w:t>
          </w:r>
          <w:r w:rsidR="009135DB">
            <w:t>-</w:t>
          </w:r>
        </w:p>
      </w:tc>
    </w:tr>
  </w:tbl>
  <w:p w14:paraId="2F18A456" w14:textId="77777777" w:rsidR="005A21EE" w:rsidRDefault="005A21EE">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0362" w14:paraId="456B7D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BF2EF2A" w14:textId="77777777" w:rsidR="00DD0362" w:rsidRDefault="00DD036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1CDF88C" w14:textId="2EAF7721" w:rsidR="00DD0362" w:rsidRDefault="002211CA">
          <w:pPr>
            <w:pStyle w:val="HeaderRegProc"/>
            <w:rPr>
              <w:lang w:val="en-US"/>
            </w:rPr>
          </w:pPr>
          <w:fldSimple w:instr=" DOCPROPERTY &quot;Header&quot; \* MERGEFORMAT ">
            <w:r w:rsidRPr="002211CA">
              <w:rPr>
                <w:lang w:val="en-US"/>
              </w:rPr>
              <w:t>AR</w:t>
            </w:r>
          </w:fldSimple>
          <w:r w:rsidR="00DD0362" w:rsidRPr="009135DB">
            <w:fldChar w:fldCharType="begin"/>
          </w:r>
          <w:r w:rsidR="00DD0362" w:rsidRPr="009135DB">
            <w:rPr>
              <w:lang w:val="en-US"/>
            </w:rPr>
            <w:instrText>styleref href2</w:instrText>
          </w:r>
          <w:r w:rsidR="00DD0362" w:rsidRPr="009135DB">
            <w:fldChar w:fldCharType="separate"/>
          </w:r>
          <w:r w:rsidR="00501715">
            <w:rPr>
              <w:noProof/>
              <w:lang w:val="en-US"/>
            </w:rPr>
            <w:t>21</w:t>
          </w:r>
          <w:r w:rsidR="00DD0362"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15C4E7FB" w14:textId="77777777" w:rsidR="00DD0362" w:rsidRDefault="00DD0362">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430EC">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448D9" w14:textId="29945F6A" w:rsidR="00DD0362" w:rsidRDefault="00DD0362">
          <w:pPr>
            <w:pStyle w:val="HeaderRegProc"/>
            <w:rPr>
              <w:lang w:val="fr-CH"/>
            </w:rPr>
          </w:pPr>
          <w:proofErr w:type="spellStart"/>
          <w:proofErr w:type="gramStart"/>
          <w:r>
            <w:rPr>
              <w:lang w:val="fr-CH"/>
            </w:rPr>
            <w:t>rev</w:t>
          </w:r>
          <w:proofErr w:type="spellEnd"/>
          <w:proofErr w:type="gramEnd"/>
          <w:r>
            <w:rPr>
              <w:lang w:val="fr-CH"/>
            </w:rPr>
            <w:t>.</w:t>
          </w:r>
          <w:r w:rsidR="00112AD3">
            <w:rPr>
              <w:lang w:val="fr-CH"/>
            </w:rPr>
            <w:t xml:space="preserve"> </w:t>
          </w:r>
          <w:r w:rsidR="005E38B3">
            <w:t>5</w:t>
          </w:r>
        </w:p>
      </w:tc>
    </w:tr>
  </w:tbl>
  <w:p w14:paraId="47B2F652" w14:textId="77777777" w:rsidR="00DD0362" w:rsidRDefault="00DD0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E38B3" w14:paraId="67ACF4F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E2E42F4" w14:textId="77777777" w:rsidR="005E38B3" w:rsidRDefault="005E38B3">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5FCB6E72" w14:textId="21F6CF2A" w:rsidR="005E38B3" w:rsidRDefault="002211CA">
          <w:pPr>
            <w:pStyle w:val="HeaderRegProc"/>
            <w:rPr>
              <w:lang w:val="en-US"/>
            </w:rPr>
          </w:pPr>
          <w:fldSimple w:instr=" DOCPROPERTY &quot;Header&quot; \* MERGEFORMAT ">
            <w:r w:rsidRPr="002211CA">
              <w:rPr>
                <w:lang w:val="en-US"/>
              </w:rPr>
              <w:t>AR</w:t>
            </w:r>
          </w:fldSimple>
          <w:r w:rsidR="005E38B3">
            <w:fldChar w:fldCharType="begin"/>
          </w:r>
          <w:r w:rsidR="005E38B3">
            <w:rPr>
              <w:lang w:val="en-US"/>
            </w:rPr>
            <w:instrText>styleref href2</w:instrText>
          </w:r>
          <w:r w:rsidR="005E38B3">
            <w:fldChar w:fldCharType="separate"/>
          </w:r>
          <w:r w:rsidR="00501715">
            <w:rPr>
              <w:noProof/>
              <w:lang w:val="en-US"/>
            </w:rPr>
            <w:t>21</w:t>
          </w:r>
          <w:r w:rsidR="005E38B3">
            <w:fldChar w:fldCharType="end"/>
          </w:r>
        </w:p>
      </w:tc>
      <w:tc>
        <w:tcPr>
          <w:tcW w:w="1701" w:type="dxa"/>
          <w:tcBorders>
            <w:top w:val="single" w:sz="6" w:space="0" w:color="auto"/>
            <w:left w:val="single" w:sz="6" w:space="0" w:color="auto"/>
            <w:bottom w:val="single" w:sz="6" w:space="0" w:color="auto"/>
            <w:right w:val="single" w:sz="6" w:space="0" w:color="auto"/>
          </w:tcBorders>
        </w:tcPr>
        <w:p w14:paraId="1A58E328" w14:textId="77777777" w:rsidR="005E38B3" w:rsidRDefault="005E38B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0F43E8" w14:textId="77777777" w:rsidR="005E38B3" w:rsidRDefault="005E38B3" w:rsidP="00DD0362">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713EB831" w14:textId="77777777" w:rsidR="005E38B3" w:rsidRDefault="005E38B3">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E38B3" w14:paraId="5A1CF7C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319FA84" w14:textId="77777777" w:rsidR="005E38B3" w:rsidRDefault="005E38B3">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26AC743E" w14:textId="7E613B62" w:rsidR="005E38B3" w:rsidRDefault="002211CA">
          <w:pPr>
            <w:pStyle w:val="HeaderRegProc"/>
            <w:rPr>
              <w:lang w:val="en-US"/>
            </w:rPr>
          </w:pPr>
          <w:fldSimple w:instr=" DOCPROPERTY &quot;Header&quot; \* MERGEFORMAT ">
            <w:r w:rsidRPr="002211CA">
              <w:rPr>
                <w:lang w:val="en-US"/>
              </w:rPr>
              <w:t>AR</w:t>
            </w:r>
          </w:fldSimple>
          <w:r w:rsidR="005E38B3" w:rsidRPr="009135DB">
            <w:fldChar w:fldCharType="begin"/>
          </w:r>
          <w:r w:rsidR="005E38B3" w:rsidRPr="009135DB">
            <w:rPr>
              <w:lang w:val="en-US"/>
            </w:rPr>
            <w:instrText>styleref href2</w:instrText>
          </w:r>
          <w:r w:rsidR="005E38B3" w:rsidRPr="009135DB">
            <w:fldChar w:fldCharType="separate"/>
          </w:r>
          <w:r w:rsidR="00501715">
            <w:rPr>
              <w:noProof/>
              <w:lang w:val="en-US"/>
            </w:rPr>
            <w:t>21</w:t>
          </w:r>
          <w:r w:rsidR="005E38B3" w:rsidRPr="009135DB">
            <w:fldChar w:fldCharType="end"/>
          </w:r>
        </w:p>
      </w:tc>
      <w:tc>
        <w:tcPr>
          <w:tcW w:w="1701" w:type="dxa"/>
          <w:tcBorders>
            <w:top w:val="single" w:sz="6" w:space="0" w:color="auto"/>
            <w:left w:val="single" w:sz="6" w:space="0" w:color="auto"/>
            <w:bottom w:val="single" w:sz="6" w:space="0" w:color="auto"/>
            <w:right w:val="single" w:sz="6" w:space="0" w:color="auto"/>
          </w:tcBorders>
        </w:tcPr>
        <w:p w14:paraId="40F443A4" w14:textId="77777777" w:rsidR="005E38B3" w:rsidRDefault="005E38B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D3D19A" w14:textId="5ACB6A4D" w:rsidR="005E38B3" w:rsidRDefault="005E38B3">
          <w:pPr>
            <w:pStyle w:val="HeaderRegProc"/>
            <w:rPr>
              <w:lang w:val="fr-CH"/>
            </w:rPr>
          </w:pPr>
          <w:proofErr w:type="spellStart"/>
          <w:proofErr w:type="gramStart"/>
          <w:r>
            <w:rPr>
              <w:lang w:val="fr-CH"/>
            </w:rPr>
            <w:t>rev</w:t>
          </w:r>
          <w:proofErr w:type="spellEnd"/>
          <w:proofErr w:type="gramEnd"/>
          <w:r>
            <w:rPr>
              <w:lang w:val="fr-CH"/>
            </w:rPr>
            <w:t xml:space="preserve">. </w:t>
          </w:r>
          <w:fldSimple w:instr=" DOCPROPERTY &quot;Header10&quot; \* MERGEFORMAT ">
            <w:r w:rsidR="002211CA" w:rsidRPr="002211CA">
              <w:rPr>
                <w:lang w:val="fr-CH"/>
              </w:rPr>
              <w:t>-</w:t>
            </w:r>
          </w:fldSimple>
        </w:p>
      </w:tc>
    </w:tr>
  </w:tbl>
  <w:p w14:paraId="245A90CB" w14:textId="77777777" w:rsidR="005E38B3" w:rsidRDefault="005E38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E2D7B" w14:textId="77777777" w:rsidR="004458F2" w:rsidRDefault="004458F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DDDE" w14:textId="77777777" w:rsidR="00DD0362" w:rsidRDefault="00DD03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458F2"/>
    <w:rsid w:val="00030DEA"/>
    <w:rsid w:val="00084397"/>
    <w:rsid w:val="000B4C5E"/>
    <w:rsid w:val="000F4EDF"/>
    <w:rsid w:val="00112AD3"/>
    <w:rsid w:val="00117A42"/>
    <w:rsid w:val="00157136"/>
    <w:rsid w:val="001676FC"/>
    <w:rsid w:val="001915A1"/>
    <w:rsid w:val="002211CA"/>
    <w:rsid w:val="00296F28"/>
    <w:rsid w:val="003211C0"/>
    <w:rsid w:val="003B624F"/>
    <w:rsid w:val="004159E1"/>
    <w:rsid w:val="004458F2"/>
    <w:rsid w:val="00484B7C"/>
    <w:rsid w:val="0049283F"/>
    <w:rsid w:val="00501715"/>
    <w:rsid w:val="005140C6"/>
    <w:rsid w:val="005321D6"/>
    <w:rsid w:val="00560DA2"/>
    <w:rsid w:val="00565564"/>
    <w:rsid w:val="00590E10"/>
    <w:rsid w:val="005A2081"/>
    <w:rsid w:val="005A21EE"/>
    <w:rsid w:val="005E38B3"/>
    <w:rsid w:val="005E79E1"/>
    <w:rsid w:val="00645D25"/>
    <w:rsid w:val="006A08F4"/>
    <w:rsid w:val="006E2C2F"/>
    <w:rsid w:val="00744322"/>
    <w:rsid w:val="00754883"/>
    <w:rsid w:val="007717C8"/>
    <w:rsid w:val="007918CF"/>
    <w:rsid w:val="007B1A05"/>
    <w:rsid w:val="007D16F3"/>
    <w:rsid w:val="008100AA"/>
    <w:rsid w:val="00834427"/>
    <w:rsid w:val="00842715"/>
    <w:rsid w:val="008C468D"/>
    <w:rsid w:val="008C5019"/>
    <w:rsid w:val="008E0D56"/>
    <w:rsid w:val="008E29E4"/>
    <w:rsid w:val="009135DB"/>
    <w:rsid w:val="0093666C"/>
    <w:rsid w:val="009815A9"/>
    <w:rsid w:val="00A70933"/>
    <w:rsid w:val="00A74D77"/>
    <w:rsid w:val="00A84614"/>
    <w:rsid w:val="00B11F5D"/>
    <w:rsid w:val="00B844DD"/>
    <w:rsid w:val="00C430EC"/>
    <w:rsid w:val="00C772DA"/>
    <w:rsid w:val="00CB1CB5"/>
    <w:rsid w:val="00CE2A25"/>
    <w:rsid w:val="00CF6C3A"/>
    <w:rsid w:val="00D37F6C"/>
    <w:rsid w:val="00DD0362"/>
    <w:rsid w:val="00E02D02"/>
    <w:rsid w:val="00E70951"/>
    <w:rsid w:val="00EB6A66"/>
    <w:rsid w:val="00EC7365"/>
    <w:rsid w:val="00EE3B81"/>
    <w:rsid w:val="00F31FB8"/>
    <w:rsid w:val="00F41D90"/>
    <w:rsid w:val="00F62C1A"/>
    <w:rsid w:val="00FD13CB"/>
    <w:rsid w:val="00FE48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A291"/>
  <w15:docId w15:val="{8D0F03AE-FB19-4CEF-AAB0-6D389B47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paragraph" w:styleId="Revision">
    <w:name w:val="Revision"/>
    <w:hidden/>
    <w:uiPriority w:val="99"/>
    <w:semiHidden/>
    <w:rsid w:val="00EE3B8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120</TotalTime>
  <Pages>5</Pages>
  <Words>1104</Words>
  <Characters>6507</Characters>
  <Application>Microsoft Office Word</Application>
  <DocSecurity>0</DocSecurity>
  <Lines>120</Lines>
  <Paragraphs>67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21</dc:subject>
  <dc:creator>Composition des Publications</dc:creator>
  <cp:keywords>Folios: 1 - 4 (blanc)</cp:keywords>
  <dc:description>Edition 2009:  10.02.2009/SdN_x000d_
Corr.:  24.02.2009/DD (dict. ok)</dc:description>
  <cp:lastModifiedBy>Gachet, Christelle</cp:lastModifiedBy>
  <cp:revision>55</cp:revision>
  <cp:lastPrinted>2024-11-28T11:38:00Z</cp:lastPrinted>
  <dcterms:created xsi:type="dcterms:W3CDTF">2012-08-08T06:49:00Z</dcterms:created>
  <dcterms:modified xsi:type="dcterms:W3CDTF">2024-12-03T09:39:00Z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