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368D56" w14:textId="77777777" w:rsidR="003A718D" w:rsidRDefault="003A718D" w:rsidP="003A718D">
      <w:pPr>
        <w:rPr>
          <w:lang w:eastAsia="zh-CN"/>
        </w:rPr>
      </w:pPr>
      <w:r w:rsidRPr="00A90E29">
        <w:rPr>
          <w:sz w:val="16"/>
          <w:szCs w:val="16"/>
          <w:lang w:eastAsia="zh-CN"/>
        </w:rPr>
        <w:t>(</w:t>
      </w:r>
      <w:r>
        <w:rPr>
          <w:sz w:val="16"/>
          <w:szCs w:val="16"/>
          <w:lang w:eastAsia="zh-CN"/>
        </w:rPr>
        <w:t>AD</w:t>
      </w:r>
      <w:r w:rsidRPr="00A90E29">
        <w:rPr>
          <w:sz w:val="16"/>
          <w:szCs w:val="16"/>
          <w:lang w:eastAsia="zh-CN"/>
        </w:rPr>
        <w:t>D RRB2</w:t>
      </w:r>
      <w:r>
        <w:rPr>
          <w:sz w:val="16"/>
          <w:szCs w:val="16"/>
          <w:lang w:eastAsia="zh-CN"/>
        </w:rPr>
        <w:t>4</w:t>
      </w:r>
      <w:r w:rsidRPr="00A90E29">
        <w:rPr>
          <w:sz w:val="16"/>
          <w:szCs w:val="16"/>
          <w:lang w:eastAsia="zh-CN"/>
        </w:rPr>
        <w:t>/</w:t>
      </w:r>
      <w:r>
        <w:rPr>
          <w:sz w:val="16"/>
          <w:szCs w:val="16"/>
          <w:lang w:eastAsia="zh-CN"/>
        </w:rPr>
        <w:t>510</w:t>
      </w:r>
      <w:r w:rsidRPr="00A90E29">
        <w:rPr>
          <w:sz w:val="16"/>
          <w:szCs w:val="16"/>
          <w:lang w:eastAsia="zh-CN"/>
        </w:rPr>
        <w:t>)</w:t>
      </w:r>
    </w:p>
    <w:p w14:paraId="59E2D0DB" w14:textId="6830EF17" w:rsidR="00E052A7" w:rsidRDefault="005D72AC" w:rsidP="0089365D">
      <w:pPr>
        <w:pStyle w:val="Heading1"/>
        <w:spacing w:before="300"/>
        <w:ind w:left="0" w:firstLine="0"/>
        <w:jc w:val="center"/>
        <w:rPr>
          <w:lang w:eastAsia="zh-CN"/>
        </w:rPr>
      </w:pPr>
      <w:r w:rsidRPr="005D72AC">
        <w:rPr>
          <w:rFonts w:ascii="SimSun" w:hAnsi="SimSun" w:cs="SimSun" w:hint="eastAsia"/>
          <w:lang w:eastAsia="zh-CN"/>
        </w:rPr>
        <w:t>有关</w:t>
      </w:r>
    </w:p>
    <w:p w14:paraId="6D735A6A" w14:textId="6EE0E0C1" w:rsidR="00E052A7" w:rsidRPr="009838AF" w:rsidRDefault="005D72AC">
      <w:pPr>
        <w:pStyle w:val="Heading2"/>
        <w:ind w:left="0" w:firstLine="0"/>
        <w:jc w:val="center"/>
        <w:rPr>
          <w:sz w:val="28"/>
          <w:szCs w:val="28"/>
          <w:lang w:eastAsia="zh-CN"/>
        </w:rPr>
      </w:pPr>
      <w:r w:rsidRPr="009838AF">
        <w:rPr>
          <w:rFonts w:ascii="SimSun" w:hAnsi="SimSun" w:cs="SimSun" w:hint="eastAsia"/>
          <w:sz w:val="28"/>
          <w:szCs w:val="28"/>
          <w:lang w:eastAsia="zh-CN"/>
        </w:rPr>
        <w:t>第</w:t>
      </w:r>
      <w:r w:rsidR="00C24A47">
        <w:rPr>
          <w:rStyle w:val="href2"/>
          <w:rFonts w:hint="eastAsia"/>
          <w:sz w:val="28"/>
          <w:szCs w:val="28"/>
          <w:lang w:eastAsia="zh-CN"/>
        </w:rPr>
        <w:t>123</w:t>
      </w:r>
      <w:r w:rsidRPr="009838AF">
        <w:rPr>
          <w:rFonts w:hint="eastAsia"/>
          <w:sz w:val="28"/>
          <w:szCs w:val="28"/>
          <w:lang w:eastAsia="zh-CN"/>
        </w:rPr>
        <w:t>号决议（</w:t>
      </w:r>
      <w:r w:rsidR="00E052A7" w:rsidRPr="009838AF">
        <w:rPr>
          <w:sz w:val="28"/>
          <w:szCs w:val="28"/>
          <w:lang w:eastAsia="zh-CN"/>
        </w:rPr>
        <w:t>WRC-</w:t>
      </w:r>
      <w:r w:rsidR="004763F7" w:rsidRPr="009838AF">
        <w:rPr>
          <w:sz w:val="28"/>
          <w:szCs w:val="28"/>
          <w:lang w:eastAsia="zh-CN"/>
        </w:rPr>
        <w:t>23</w:t>
      </w:r>
      <w:r w:rsidRPr="009838AF">
        <w:rPr>
          <w:rFonts w:hint="eastAsia"/>
          <w:sz w:val="28"/>
          <w:szCs w:val="28"/>
          <w:lang w:eastAsia="zh-CN"/>
        </w:rPr>
        <w:t>）的程序规则</w:t>
      </w:r>
    </w:p>
    <w:p w14:paraId="7D60942F" w14:textId="4405DA5F" w:rsidR="00E052A7" w:rsidRDefault="00C24A47">
      <w:pPr>
        <w:pStyle w:val="Heading1"/>
        <w:ind w:left="0" w:firstLine="0"/>
        <w:jc w:val="center"/>
        <w:rPr>
          <w:lang w:eastAsia="zh-CN"/>
        </w:rPr>
      </w:pPr>
      <w:r w:rsidRPr="00A95B95">
        <w:rPr>
          <w:rFonts w:hint="eastAsia"/>
          <w:lang w:eastAsia="zh-CN"/>
        </w:rPr>
        <w:t>与卫星固定业务非对地静止空间电台通信的航空和</w:t>
      </w:r>
      <w:r>
        <w:rPr>
          <w:lang w:eastAsia="zh-CN"/>
        </w:rPr>
        <w:br/>
      </w:r>
      <w:r w:rsidRPr="00A95B95">
        <w:rPr>
          <w:rFonts w:hint="eastAsia"/>
          <w:lang w:eastAsia="zh-CN"/>
        </w:rPr>
        <w:t>水上动中通地球站对</w:t>
      </w:r>
      <w:r w:rsidRPr="00A95B95">
        <w:rPr>
          <w:rFonts w:hint="eastAsia"/>
          <w:lang w:eastAsia="zh-CN"/>
        </w:rPr>
        <w:t>17.7-18.6 GHz</w:t>
      </w:r>
      <w:r w:rsidRPr="00A95B95">
        <w:rPr>
          <w:rFonts w:hint="eastAsia"/>
          <w:lang w:eastAsia="zh-CN"/>
        </w:rPr>
        <w:t>、</w:t>
      </w:r>
      <w:r w:rsidRPr="00A95B95">
        <w:rPr>
          <w:rFonts w:hint="eastAsia"/>
          <w:lang w:eastAsia="zh-CN"/>
        </w:rPr>
        <w:t>18.8-19.3 GHz</w:t>
      </w:r>
      <w:r w:rsidRPr="00A95B95">
        <w:rPr>
          <w:rFonts w:hint="eastAsia"/>
          <w:lang w:eastAsia="zh-CN"/>
        </w:rPr>
        <w:t>和</w:t>
      </w:r>
      <w:r>
        <w:rPr>
          <w:lang w:eastAsia="zh-CN"/>
        </w:rPr>
        <w:br/>
      </w:r>
      <w:r w:rsidRPr="00A95B95">
        <w:rPr>
          <w:rFonts w:hint="eastAsia"/>
          <w:lang w:eastAsia="zh-CN"/>
        </w:rPr>
        <w:t>19.7-20.2 GHz</w:t>
      </w:r>
      <w:r w:rsidRPr="00A95B95">
        <w:rPr>
          <w:rFonts w:hint="eastAsia"/>
          <w:lang w:eastAsia="zh-CN"/>
        </w:rPr>
        <w:t>频段（空对地）以及</w:t>
      </w:r>
      <w:r w:rsidRPr="00A95B95">
        <w:rPr>
          <w:rFonts w:hint="eastAsia"/>
          <w:lang w:eastAsia="zh-CN"/>
        </w:rPr>
        <w:t>27.5-29.1 GHz</w:t>
      </w:r>
      <w:r>
        <w:rPr>
          <w:lang w:eastAsia="zh-CN"/>
        </w:rPr>
        <w:br/>
      </w:r>
      <w:r w:rsidRPr="00A95B95">
        <w:rPr>
          <w:rFonts w:hint="eastAsia"/>
          <w:lang w:eastAsia="zh-CN"/>
        </w:rPr>
        <w:t>和</w:t>
      </w:r>
      <w:r w:rsidRPr="00A95B95">
        <w:rPr>
          <w:rFonts w:hint="eastAsia"/>
          <w:lang w:eastAsia="zh-CN"/>
        </w:rPr>
        <w:t>29.5-30 GHz</w:t>
      </w:r>
      <w:r w:rsidRPr="00A95B95">
        <w:rPr>
          <w:rFonts w:hint="eastAsia"/>
          <w:lang w:eastAsia="zh-CN"/>
        </w:rPr>
        <w:t>频段（地对空）的使用</w:t>
      </w:r>
    </w:p>
    <w:p w14:paraId="467E95B3" w14:textId="77777777" w:rsidR="00C24A47" w:rsidRPr="00C24A47" w:rsidRDefault="00C24A47" w:rsidP="00C24A47">
      <w:pPr>
        <w:pStyle w:val="Normalaftertitle"/>
        <w:rPr>
          <w:szCs w:val="24"/>
          <w:lang w:eastAsia="zh-CN"/>
        </w:rPr>
      </w:pPr>
      <w:r w:rsidRPr="00C24A47">
        <w:rPr>
          <w:szCs w:val="24"/>
          <w:lang w:eastAsia="zh-CN"/>
        </w:rPr>
        <w:t>1</w:t>
      </w:r>
      <w:r w:rsidRPr="00C24A47">
        <w:rPr>
          <w:szCs w:val="24"/>
          <w:lang w:eastAsia="zh-CN"/>
        </w:rPr>
        <w:tab/>
      </w:r>
      <w:r w:rsidRPr="00C24A47">
        <w:rPr>
          <w:szCs w:val="24"/>
          <w:lang w:eastAsia="zh-CN"/>
        </w:rPr>
        <w:t>无线电规则委员会注意到，第</w:t>
      </w:r>
      <w:r w:rsidRPr="00C24A47">
        <w:rPr>
          <w:b/>
          <w:bCs/>
          <w:szCs w:val="24"/>
          <w:lang w:eastAsia="zh-CN"/>
        </w:rPr>
        <w:t>123</w:t>
      </w:r>
      <w:r w:rsidRPr="00C24A47">
        <w:rPr>
          <w:szCs w:val="24"/>
          <w:lang w:eastAsia="zh-CN"/>
        </w:rPr>
        <w:t>号决议</w:t>
      </w:r>
      <w:r w:rsidRPr="00C24A47">
        <w:rPr>
          <w:b/>
          <w:bCs/>
          <w:szCs w:val="24"/>
          <w:lang w:eastAsia="zh-CN"/>
        </w:rPr>
        <w:t>（</w:t>
      </w:r>
      <w:r w:rsidRPr="00C24A47">
        <w:rPr>
          <w:b/>
          <w:bCs/>
          <w:szCs w:val="24"/>
          <w:lang w:eastAsia="zh-CN"/>
        </w:rPr>
        <w:t>WRC-23</w:t>
      </w:r>
      <w:r w:rsidRPr="00C24A47">
        <w:rPr>
          <w:b/>
          <w:bCs/>
          <w:szCs w:val="24"/>
          <w:lang w:eastAsia="zh-CN"/>
        </w:rPr>
        <w:t>）</w:t>
      </w:r>
      <w:r w:rsidRPr="00C24A47">
        <w:rPr>
          <w:rFonts w:eastAsia="STKaiti"/>
          <w:szCs w:val="24"/>
          <w:lang w:eastAsia="zh-CN"/>
        </w:rPr>
        <w:t>做出决议</w:t>
      </w:r>
      <w:r w:rsidRPr="00C24A47">
        <w:rPr>
          <w:szCs w:val="24"/>
          <w:lang w:eastAsia="zh-CN"/>
        </w:rPr>
        <w:t>2</w:t>
      </w:r>
      <w:r w:rsidRPr="00C24A47">
        <w:rPr>
          <w:szCs w:val="24"/>
          <w:lang w:eastAsia="zh-CN"/>
        </w:rPr>
        <w:t>要求动中通地球站（</w:t>
      </w:r>
      <w:r w:rsidRPr="00C24A47">
        <w:rPr>
          <w:szCs w:val="24"/>
          <w:lang w:eastAsia="zh-CN"/>
        </w:rPr>
        <w:t>ESIM</w:t>
      </w:r>
      <w:r w:rsidRPr="00C24A47">
        <w:rPr>
          <w:szCs w:val="24"/>
          <w:lang w:eastAsia="zh-CN"/>
        </w:rPr>
        <w:t>）的特性应保持在与</w:t>
      </w:r>
      <w:r w:rsidRPr="00C24A47">
        <w:rPr>
          <w:szCs w:val="24"/>
          <w:lang w:eastAsia="zh-CN"/>
        </w:rPr>
        <w:t>ESIM</w:t>
      </w:r>
      <w:r w:rsidRPr="00C24A47">
        <w:rPr>
          <w:szCs w:val="24"/>
          <w:lang w:eastAsia="zh-CN"/>
        </w:rPr>
        <w:t>通信的卫星固定业务（</w:t>
      </w:r>
      <w:r w:rsidRPr="00C24A47">
        <w:rPr>
          <w:szCs w:val="24"/>
          <w:lang w:eastAsia="zh-CN"/>
        </w:rPr>
        <w:t>FSS</w:t>
      </w:r>
      <w:r w:rsidRPr="00C24A47">
        <w:rPr>
          <w:szCs w:val="24"/>
          <w:lang w:eastAsia="zh-CN"/>
        </w:rPr>
        <w:t>）非对地静止卫星轨道（</w:t>
      </w:r>
      <w:r w:rsidRPr="00C24A47">
        <w:rPr>
          <w:szCs w:val="24"/>
          <w:lang w:eastAsia="zh-CN"/>
        </w:rPr>
        <w:t>non-GSO</w:t>
      </w:r>
      <w:r w:rsidRPr="00C24A47">
        <w:rPr>
          <w:szCs w:val="24"/>
          <w:lang w:eastAsia="zh-CN"/>
        </w:rPr>
        <w:t>）系统相关典型地球站的包络特性范围内，包括所有适用的协调协议。</w:t>
      </w:r>
    </w:p>
    <w:p w14:paraId="0141CFBE" w14:textId="77777777" w:rsidR="00C24A47" w:rsidRPr="00C24A47" w:rsidRDefault="00C24A47" w:rsidP="00C24A47">
      <w:pPr>
        <w:rPr>
          <w:lang w:eastAsia="zh-CN"/>
        </w:rPr>
      </w:pPr>
      <w:r w:rsidRPr="00C24A47">
        <w:rPr>
          <w:lang w:eastAsia="zh-CN"/>
        </w:rPr>
        <w:t>1.1</w:t>
      </w:r>
      <w:r w:rsidRPr="00C24A47">
        <w:rPr>
          <w:lang w:eastAsia="zh-CN"/>
        </w:rPr>
        <w:tab/>
      </w:r>
      <w:r w:rsidRPr="00C24A47">
        <w:rPr>
          <w:lang w:eastAsia="zh-CN"/>
        </w:rPr>
        <w:t>在应用</w:t>
      </w:r>
      <w:r w:rsidRPr="00C24A47">
        <w:rPr>
          <w:rFonts w:eastAsia="STKaiti"/>
          <w:lang w:eastAsia="zh-CN"/>
        </w:rPr>
        <w:t>做出决议</w:t>
      </w:r>
      <w:r w:rsidRPr="00C24A47">
        <w:rPr>
          <w:lang w:eastAsia="zh-CN"/>
        </w:rPr>
        <w:t>2</w:t>
      </w:r>
      <w:r w:rsidRPr="00C24A47">
        <w:rPr>
          <w:lang w:eastAsia="zh-CN"/>
        </w:rPr>
        <w:t>时，无线电规则委员会决定，无线电通信局应使用有关第</w:t>
      </w:r>
      <w:r w:rsidRPr="00C24A47">
        <w:rPr>
          <w:b/>
          <w:bCs/>
          <w:lang w:eastAsia="zh-CN"/>
        </w:rPr>
        <w:t>9.27</w:t>
      </w:r>
      <w:r w:rsidRPr="00C24A47">
        <w:rPr>
          <w:lang w:eastAsia="zh-CN"/>
        </w:rPr>
        <w:t>款的程序规则第</w:t>
      </w:r>
      <w:r w:rsidRPr="00C24A47">
        <w:rPr>
          <w:lang w:eastAsia="zh-CN"/>
        </w:rPr>
        <w:t>2.3</w:t>
      </w:r>
      <w:r w:rsidRPr="00C24A47">
        <w:rPr>
          <w:lang w:eastAsia="zh-CN"/>
        </w:rPr>
        <w:t>段中的方法，确定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的特性是否在与那些航空和</w:t>
      </w:r>
      <w:r w:rsidRPr="00C24A47">
        <w:rPr>
          <w:lang w:eastAsia="zh-CN"/>
        </w:rPr>
        <w:t>/</w:t>
      </w:r>
      <w:r w:rsidRPr="00C24A47">
        <w:rPr>
          <w:lang w:eastAsia="zh-CN"/>
        </w:rPr>
        <w:t>或水上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通信的卫星系统相关的典型地球站的包络特性范围内。如果审查表明航空和</w:t>
      </w:r>
      <w:r w:rsidRPr="00C24A47">
        <w:rPr>
          <w:lang w:eastAsia="zh-CN"/>
        </w:rPr>
        <w:t>/</w:t>
      </w:r>
      <w:r w:rsidRPr="00C24A47">
        <w:rPr>
          <w:lang w:eastAsia="zh-CN"/>
        </w:rPr>
        <w:t>或水上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频率指配的协调要求涉及任何额外的卫星网络或系统，则航空和</w:t>
      </w:r>
      <w:r w:rsidRPr="00C24A47">
        <w:rPr>
          <w:lang w:eastAsia="zh-CN"/>
        </w:rPr>
        <w:t>/</w:t>
      </w:r>
      <w:r w:rsidRPr="00C24A47">
        <w:rPr>
          <w:lang w:eastAsia="zh-CN"/>
        </w:rPr>
        <w:t>或水上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的频率指配将与根据第</w:t>
      </w:r>
      <w:proofErr w:type="gramStart"/>
      <w:r w:rsidRPr="00C24A47">
        <w:rPr>
          <w:b/>
          <w:bCs/>
          <w:lang w:eastAsia="zh-CN"/>
        </w:rPr>
        <w:t>11.32</w:t>
      </w:r>
      <w:r w:rsidRPr="00C24A47">
        <w:rPr>
          <w:lang w:eastAsia="zh-CN"/>
        </w:rPr>
        <w:t>款做出的不合格审查结论一起退回通知主管部门。无线电通信局的审查结果须公布在其</w:t>
      </w:r>
      <w:proofErr w:type="gramEnd"/>
      <w:r w:rsidRPr="00C24A47">
        <w:rPr>
          <w:lang w:eastAsia="zh-CN"/>
        </w:rPr>
        <w:t>《国际频率信息通报》（</w:t>
      </w:r>
      <w:r w:rsidRPr="00C24A47">
        <w:rPr>
          <w:lang w:eastAsia="zh-CN"/>
        </w:rPr>
        <w:t>BR IFIC</w:t>
      </w:r>
      <w:r w:rsidRPr="00C24A47">
        <w:rPr>
          <w:lang w:eastAsia="zh-CN"/>
        </w:rPr>
        <w:t>）中。</w:t>
      </w:r>
    </w:p>
    <w:p w14:paraId="54CB6C16" w14:textId="77777777" w:rsidR="00C24A47" w:rsidRPr="00C24A47" w:rsidRDefault="00C24A47" w:rsidP="00C24A47">
      <w:pPr>
        <w:rPr>
          <w:lang w:eastAsia="zh-CN"/>
        </w:rPr>
      </w:pPr>
      <w:r w:rsidRPr="00C24A47">
        <w:rPr>
          <w:szCs w:val="28"/>
          <w:lang w:eastAsia="zh-CN"/>
        </w:rPr>
        <w:t>1.2</w:t>
      </w:r>
      <w:r w:rsidRPr="00C24A47">
        <w:rPr>
          <w:szCs w:val="28"/>
          <w:lang w:eastAsia="zh-CN"/>
        </w:rPr>
        <w:tab/>
      </w:r>
      <w:r w:rsidRPr="00C24A47">
        <w:rPr>
          <w:lang w:eastAsia="zh-CN"/>
        </w:rPr>
        <w:t>除上述第</w:t>
      </w:r>
      <w:r w:rsidRPr="00C24A47">
        <w:rPr>
          <w:lang w:eastAsia="zh-CN"/>
        </w:rPr>
        <w:t>1.1</w:t>
      </w:r>
      <w:r w:rsidRPr="00C24A47">
        <w:rPr>
          <w:lang w:eastAsia="zh-CN"/>
        </w:rPr>
        <w:t>段所述的程序外，在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在</w:t>
      </w:r>
      <w:r w:rsidRPr="00C24A47">
        <w:rPr>
          <w:lang w:eastAsia="zh-CN"/>
        </w:rPr>
        <w:t>27.5-28.6 GHz</w:t>
      </w:r>
      <w:r w:rsidRPr="00C24A47">
        <w:rPr>
          <w:lang w:eastAsia="zh-CN"/>
        </w:rPr>
        <w:t>和</w:t>
      </w:r>
      <w:r w:rsidRPr="00C24A47">
        <w:rPr>
          <w:lang w:eastAsia="zh-CN"/>
        </w:rPr>
        <w:t>29.5-30 GHz</w:t>
      </w:r>
      <w:r w:rsidRPr="00C24A47">
        <w:rPr>
          <w:lang w:eastAsia="zh-CN"/>
        </w:rPr>
        <w:t>（地对空）频段操作的情况下，无线电规则委员会得出结论，为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提交的最小仰角（见附录</w:t>
      </w:r>
      <w:r w:rsidRPr="00C24A47">
        <w:rPr>
          <w:b/>
          <w:bCs/>
          <w:lang w:eastAsia="zh-CN"/>
        </w:rPr>
        <w:t>4</w:t>
      </w:r>
      <w:r w:rsidRPr="00C24A47">
        <w:rPr>
          <w:lang w:eastAsia="zh-CN"/>
        </w:rPr>
        <w:t>数据项</w:t>
      </w:r>
      <w:r w:rsidRPr="00C24A47">
        <w:rPr>
          <w:lang w:eastAsia="zh-CN"/>
        </w:rPr>
        <w:t>A.36.a</w:t>
      </w:r>
      <w:r w:rsidRPr="00C24A47">
        <w:rPr>
          <w:lang w:eastAsia="zh-CN"/>
        </w:rPr>
        <w:t>）应大于或等于为</w:t>
      </w:r>
      <w:r w:rsidRPr="00C24A47">
        <w:rPr>
          <w:lang w:eastAsia="zh-CN"/>
        </w:rPr>
        <w:t>non-GSO FSS</w:t>
      </w:r>
      <w:r w:rsidRPr="00C24A47">
        <w:rPr>
          <w:lang w:eastAsia="zh-CN"/>
        </w:rPr>
        <w:t>系统相关一组频率指配（见附录</w:t>
      </w:r>
      <w:r w:rsidRPr="00C24A47">
        <w:rPr>
          <w:b/>
          <w:bCs/>
          <w:lang w:eastAsia="zh-CN"/>
        </w:rPr>
        <w:t>4</w:t>
      </w:r>
      <w:r w:rsidRPr="00C24A47">
        <w:rPr>
          <w:lang w:eastAsia="zh-CN"/>
        </w:rPr>
        <w:t>数据项</w:t>
      </w:r>
      <w:r w:rsidRPr="00C24A47">
        <w:rPr>
          <w:lang w:eastAsia="zh-CN"/>
        </w:rPr>
        <w:t>A.</w:t>
      </w:r>
      <w:proofErr w:type="gramStart"/>
      <w:r w:rsidRPr="00C24A47">
        <w:rPr>
          <w:lang w:eastAsia="zh-CN"/>
        </w:rPr>
        <w:t>4.b.7.c</w:t>
      </w:r>
      <w:r w:rsidRPr="00C24A47">
        <w:rPr>
          <w:rFonts w:eastAsia="STKaiti"/>
          <w:lang w:eastAsia="zh-CN"/>
        </w:rPr>
        <w:t>之二</w:t>
      </w:r>
      <w:proofErr w:type="gramEnd"/>
      <w:r w:rsidRPr="00C24A47">
        <w:rPr>
          <w:lang w:eastAsia="zh-CN"/>
        </w:rPr>
        <w:t>）提交的最小仰角，以确保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符合第</w:t>
      </w:r>
      <w:r w:rsidRPr="00C24A47">
        <w:rPr>
          <w:b/>
          <w:bCs/>
          <w:lang w:eastAsia="zh-CN"/>
        </w:rPr>
        <w:t>22.5D</w:t>
      </w:r>
      <w:r w:rsidRPr="00C24A47">
        <w:rPr>
          <w:lang w:eastAsia="zh-CN"/>
        </w:rPr>
        <w:t>款规定的</w:t>
      </w:r>
      <w:proofErr w:type="spellStart"/>
      <w:r w:rsidRPr="00C24A47">
        <w:rPr>
          <w:lang w:eastAsia="zh-CN"/>
        </w:rPr>
        <w:t>epfd</w:t>
      </w:r>
      <w:proofErr w:type="spellEnd"/>
      <w:r w:rsidRPr="00C24A47">
        <w:rPr>
          <w:lang w:eastAsia="zh-CN"/>
        </w:rPr>
        <w:t>限值。</w:t>
      </w:r>
    </w:p>
    <w:p w14:paraId="1A8B19BE" w14:textId="1AFE6D73" w:rsidR="005D72AC" w:rsidRDefault="00C24A47" w:rsidP="00C24A47">
      <w:pPr>
        <w:ind w:firstLineChars="200" w:firstLine="480"/>
        <w:rPr>
          <w:lang w:eastAsia="zh-CN"/>
        </w:rPr>
      </w:pPr>
      <w:r w:rsidRPr="00C24A47">
        <w:rPr>
          <w:lang w:eastAsia="zh-CN"/>
        </w:rPr>
        <w:t>无线电规则委员会注意到，对于航空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，当调整为</w:t>
      </w:r>
      <w:r w:rsidRPr="00C24A47">
        <w:rPr>
          <w:lang w:eastAsia="zh-CN"/>
        </w:rPr>
        <w:t>15</w:t>
      </w:r>
      <w:r w:rsidRPr="00C24A47">
        <w:rPr>
          <w:lang w:eastAsia="zh-CN"/>
        </w:rPr>
        <w:t>千米高度时，相关</w:t>
      </w:r>
      <w:r w:rsidRPr="00C24A47">
        <w:rPr>
          <w:lang w:eastAsia="zh-CN"/>
        </w:rPr>
        <w:t>non-GSO FSS</w:t>
      </w:r>
      <w:r w:rsidRPr="00C24A47">
        <w:rPr>
          <w:lang w:eastAsia="zh-CN"/>
        </w:rPr>
        <w:t>系统典型地球站的最小仰角参考值将大于</w:t>
      </w:r>
      <w:r w:rsidRPr="00C24A47">
        <w:rPr>
          <w:lang w:eastAsia="zh-CN"/>
        </w:rPr>
        <w:t>0</w:t>
      </w:r>
      <w:r w:rsidRPr="00C24A47">
        <w:rPr>
          <w:lang w:eastAsia="zh-CN"/>
        </w:rPr>
        <w:t>千米高度的对应值，条件是</w:t>
      </w:r>
      <w:r w:rsidRPr="00C24A47">
        <w:rPr>
          <w:lang w:eastAsia="zh-CN"/>
        </w:rPr>
        <w:t>non-GSO</w:t>
      </w:r>
      <w:r w:rsidRPr="00C24A47">
        <w:rPr>
          <w:lang w:eastAsia="zh-CN"/>
        </w:rPr>
        <w:t>空间电台保持相同的视角。</w:t>
      </w:r>
    </w:p>
    <w:p w14:paraId="080A41E4" w14:textId="7D20711C" w:rsidR="005D72AC" w:rsidRDefault="005D72AC" w:rsidP="005D72AC">
      <w:pPr>
        <w:rPr>
          <w:lang w:eastAsia="zh-CN"/>
        </w:rPr>
      </w:pPr>
      <w:r>
        <w:rPr>
          <w:lang w:eastAsia="zh-CN"/>
        </w:rPr>
        <w:br w:type="page"/>
      </w:r>
    </w:p>
    <w:p w14:paraId="43E1D9E1" w14:textId="2A5B112D" w:rsidR="005D72AC" w:rsidRPr="00C24A47" w:rsidRDefault="00C24A47" w:rsidP="005D72AC">
      <w:pPr>
        <w:spacing w:before="400" w:line="280" w:lineRule="exact"/>
        <w:rPr>
          <w:rStyle w:val="href"/>
          <w:lang w:eastAsia="zh-CN"/>
        </w:rPr>
      </w:pPr>
      <w:r w:rsidRPr="00C24A47">
        <w:rPr>
          <w:iCs/>
          <w:lang w:eastAsia="zh-CN"/>
        </w:rPr>
        <w:lastRenderedPageBreak/>
        <w:t>2</w:t>
      </w:r>
      <w:r w:rsidRPr="00C24A47">
        <w:rPr>
          <w:iCs/>
          <w:lang w:eastAsia="zh-CN"/>
        </w:rPr>
        <w:tab/>
      </w:r>
      <w:r w:rsidRPr="00C24A47">
        <w:rPr>
          <w:lang w:eastAsia="zh-CN"/>
        </w:rPr>
        <w:t>无线电规则委员会注意到，第</w:t>
      </w:r>
      <w:r w:rsidRPr="00C24A47">
        <w:rPr>
          <w:b/>
          <w:bCs/>
          <w:lang w:eastAsia="zh-CN"/>
        </w:rPr>
        <w:t>123</w:t>
      </w:r>
      <w:r w:rsidRPr="00C24A47">
        <w:rPr>
          <w:lang w:eastAsia="zh-CN"/>
        </w:rPr>
        <w:t>号决议</w:t>
      </w:r>
      <w:r w:rsidRPr="00C24A47">
        <w:rPr>
          <w:b/>
          <w:bCs/>
          <w:lang w:eastAsia="zh-CN"/>
        </w:rPr>
        <w:t>（</w:t>
      </w:r>
      <w:r w:rsidRPr="00C24A47">
        <w:rPr>
          <w:b/>
          <w:bCs/>
          <w:lang w:eastAsia="zh-CN"/>
        </w:rPr>
        <w:t>WRC-23</w:t>
      </w:r>
      <w:r w:rsidRPr="00C24A47">
        <w:rPr>
          <w:b/>
          <w:bCs/>
          <w:lang w:eastAsia="zh-CN"/>
        </w:rPr>
        <w:t>）</w:t>
      </w:r>
      <w:r w:rsidRPr="00C24A47">
        <w:rPr>
          <w:rFonts w:eastAsia="STKaiti"/>
          <w:lang w:eastAsia="zh-CN"/>
        </w:rPr>
        <w:t>做出决议</w:t>
      </w:r>
      <w:r w:rsidRPr="00C24A47">
        <w:rPr>
          <w:lang w:eastAsia="zh-CN"/>
        </w:rPr>
        <w:t>3.5</w:t>
      </w:r>
      <w:r w:rsidRPr="00C24A47">
        <w:rPr>
          <w:lang w:eastAsia="zh-CN"/>
        </w:rPr>
        <w:t>要求，对于在</w:t>
      </w:r>
      <w:r w:rsidRPr="00C24A47">
        <w:rPr>
          <w:lang w:eastAsia="zh-CN"/>
        </w:rPr>
        <w:t>18.6-18.8 GHz</w:t>
      </w:r>
      <w:r w:rsidRPr="00C24A47">
        <w:rPr>
          <w:lang w:eastAsia="zh-CN"/>
        </w:rPr>
        <w:t>频段内操作的卫星地球探测（无源）业务的保护，任何在</w:t>
      </w:r>
      <w:r w:rsidRPr="00C24A47">
        <w:rPr>
          <w:lang w:eastAsia="zh-CN"/>
        </w:rPr>
        <w:t>18.3-18.6 GHz</w:t>
      </w:r>
      <w:r w:rsidRPr="00C24A47">
        <w:rPr>
          <w:lang w:eastAsia="zh-CN"/>
        </w:rPr>
        <w:t>和</w:t>
      </w:r>
      <w:r w:rsidRPr="00C24A47">
        <w:rPr>
          <w:lang w:eastAsia="zh-CN"/>
        </w:rPr>
        <w:t>18.8-19.1 GHz</w:t>
      </w:r>
      <w:r w:rsidRPr="00C24A47">
        <w:rPr>
          <w:lang w:eastAsia="zh-CN"/>
        </w:rPr>
        <w:t>频段操作、轨道远地点小于</w:t>
      </w:r>
      <w:r w:rsidRPr="00C24A47">
        <w:rPr>
          <w:lang w:eastAsia="zh-CN"/>
        </w:rPr>
        <w:t>20 000</w:t>
      </w:r>
      <w:r w:rsidRPr="00C24A47">
        <w:rPr>
          <w:lang w:eastAsia="zh-CN"/>
        </w:rPr>
        <w:t>公里、与航空和</w:t>
      </w:r>
      <w:r w:rsidRPr="00C24A47">
        <w:rPr>
          <w:lang w:eastAsia="zh-CN"/>
        </w:rPr>
        <w:t>/</w:t>
      </w:r>
      <w:r w:rsidRPr="00C24A47">
        <w:rPr>
          <w:lang w:eastAsia="zh-CN"/>
        </w:rPr>
        <w:t>或水上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通信、且无线电通信局已于</w:t>
      </w:r>
      <w:r w:rsidRPr="00C24A47">
        <w:rPr>
          <w:lang w:eastAsia="zh-CN"/>
        </w:rPr>
        <w:t>2025</w:t>
      </w:r>
      <w:r w:rsidRPr="00C24A47">
        <w:rPr>
          <w:lang w:eastAsia="zh-CN"/>
        </w:rPr>
        <w:t>年</w:t>
      </w:r>
      <w:r w:rsidRPr="00C24A47">
        <w:rPr>
          <w:lang w:eastAsia="zh-CN"/>
        </w:rPr>
        <w:t>1</w:t>
      </w:r>
      <w:r w:rsidRPr="00C24A47">
        <w:rPr>
          <w:lang w:eastAsia="zh-CN"/>
        </w:rPr>
        <w:t>月</w:t>
      </w:r>
      <w:r w:rsidRPr="00C24A47">
        <w:rPr>
          <w:lang w:eastAsia="zh-CN"/>
        </w:rPr>
        <w:t>1</w:t>
      </w:r>
      <w:r w:rsidRPr="00C24A47">
        <w:rPr>
          <w:lang w:eastAsia="zh-CN"/>
        </w:rPr>
        <w:t>日之后收到其完整通知资料的</w:t>
      </w:r>
      <w:r w:rsidRPr="00C24A47">
        <w:rPr>
          <w:lang w:eastAsia="zh-CN"/>
        </w:rPr>
        <w:t>non-GSO FSS</w:t>
      </w:r>
      <w:r w:rsidRPr="00C24A47">
        <w:rPr>
          <w:lang w:eastAsia="zh-CN"/>
        </w:rPr>
        <w:t>系统，须遵守本决议附件</w:t>
      </w:r>
      <w:r w:rsidRPr="00C24A47">
        <w:rPr>
          <w:lang w:eastAsia="zh-CN"/>
        </w:rPr>
        <w:t>3</w:t>
      </w:r>
      <w:r w:rsidRPr="00C24A47">
        <w:rPr>
          <w:lang w:eastAsia="zh-CN"/>
        </w:rPr>
        <w:t>中的规定。鉴于第</w:t>
      </w:r>
      <w:r w:rsidRPr="00C24A47">
        <w:rPr>
          <w:b/>
          <w:bCs/>
          <w:lang w:eastAsia="zh-CN"/>
        </w:rPr>
        <w:t>123</w:t>
      </w:r>
      <w:r w:rsidRPr="00C24A47">
        <w:rPr>
          <w:lang w:eastAsia="zh-CN"/>
        </w:rPr>
        <w:t>号决议</w:t>
      </w:r>
      <w:r w:rsidRPr="00C24A47">
        <w:rPr>
          <w:b/>
          <w:bCs/>
          <w:lang w:eastAsia="zh-CN"/>
        </w:rPr>
        <w:t>（</w:t>
      </w:r>
      <w:r w:rsidRPr="00C24A47">
        <w:rPr>
          <w:b/>
          <w:bCs/>
          <w:lang w:eastAsia="zh-CN"/>
        </w:rPr>
        <w:t>WRC-23</w:t>
      </w:r>
      <w:r w:rsidRPr="00C24A47">
        <w:rPr>
          <w:b/>
          <w:bCs/>
          <w:lang w:eastAsia="zh-CN"/>
        </w:rPr>
        <w:t>）</w:t>
      </w:r>
      <w:r w:rsidRPr="00C24A47">
        <w:rPr>
          <w:lang w:eastAsia="zh-CN"/>
        </w:rPr>
        <w:t>于</w:t>
      </w:r>
      <w:r w:rsidRPr="00C24A47">
        <w:rPr>
          <w:lang w:eastAsia="zh-CN"/>
        </w:rPr>
        <w:t>2025</w:t>
      </w:r>
      <w:r w:rsidRPr="00C24A47">
        <w:rPr>
          <w:lang w:eastAsia="zh-CN"/>
        </w:rPr>
        <w:t>年</w:t>
      </w:r>
      <w:r w:rsidRPr="00C24A47">
        <w:rPr>
          <w:lang w:eastAsia="zh-CN"/>
        </w:rPr>
        <w:t>1</w:t>
      </w:r>
      <w:r w:rsidRPr="00C24A47">
        <w:rPr>
          <w:lang w:eastAsia="zh-CN"/>
        </w:rPr>
        <w:t>月</w:t>
      </w:r>
      <w:r w:rsidRPr="00C24A47">
        <w:rPr>
          <w:lang w:eastAsia="zh-CN"/>
        </w:rPr>
        <w:t>1</w:t>
      </w:r>
      <w:r w:rsidRPr="00C24A47">
        <w:rPr>
          <w:lang w:eastAsia="zh-CN"/>
        </w:rPr>
        <w:t>日生效，无线电规则委员会得出结论，该条款适用于任何轨道远地点小于</w:t>
      </w:r>
      <w:r w:rsidRPr="00C24A47">
        <w:rPr>
          <w:lang w:eastAsia="zh-CN"/>
        </w:rPr>
        <w:t>20 000</w:t>
      </w:r>
      <w:r w:rsidRPr="00C24A47">
        <w:rPr>
          <w:lang w:eastAsia="zh-CN"/>
        </w:rPr>
        <w:t>公里、在</w:t>
      </w:r>
      <w:r w:rsidRPr="00C24A47">
        <w:rPr>
          <w:lang w:eastAsia="zh-CN"/>
        </w:rPr>
        <w:t>18.3-18.6 GHz</w:t>
      </w:r>
      <w:r w:rsidRPr="00C24A47">
        <w:rPr>
          <w:lang w:eastAsia="zh-CN"/>
        </w:rPr>
        <w:t>和</w:t>
      </w:r>
      <w:r w:rsidRPr="00C24A47">
        <w:rPr>
          <w:lang w:eastAsia="zh-CN"/>
        </w:rPr>
        <w:t>18.8-19.1 GHz</w:t>
      </w:r>
      <w:r w:rsidRPr="00C24A47">
        <w:rPr>
          <w:lang w:eastAsia="zh-CN"/>
        </w:rPr>
        <w:t>频段操作、与航空和</w:t>
      </w:r>
      <w:r w:rsidRPr="00C24A47">
        <w:rPr>
          <w:lang w:eastAsia="zh-CN"/>
        </w:rPr>
        <w:t>/</w:t>
      </w:r>
      <w:r w:rsidRPr="00C24A47">
        <w:rPr>
          <w:lang w:eastAsia="zh-CN"/>
        </w:rPr>
        <w:t>或水上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通信且无线电通信局从</w:t>
      </w:r>
      <w:r w:rsidRPr="00C24A47">
        <w:rPr>
          <w:lang w:eastAsia="zh-CN"/>
        </w:rPr>
        <w:t>2025</w:t>
      </w:r>
      <w:r w:rsidRPr="00C24A47">
        <w:rPr>
          <w:lang w:eastAsia="zh-CN"/>
        </w:rPr>
        <w:t>年</w:t>
      </w:r>
      <w:r w:rsidRPr="00C24A47">
        <w:rPr>
          <w:lang w:eastAsia="zh-CN"/>
        </w:rPr>
        <w:t>1</w:t>
      </w:r>
      <w:r w:rsidRPr="00C24A47">
        <w:rPr>
          <w:lang w:eastAsia="zh-CN"/>
        </w:rPr>
        <w:t>月</w:t>
      </w:r>
      <w:r w:rsidRPr="00C24A47">
        <w:rPr>
          <w:lang w:eastAsia="zh-CN"/>
        </w:rPr>
        <w:t>1</w:t>
      </w:r>
      <w:r w:rsidRPr="00C24A47">
        <w:rPr>
          <w:lang w:eastAsia="zh-CN"/>
        </w:rPr>
        <w:t>日开始而不是仅在</w:t>
      </w:r>
      <w:r w:rsidRPr="00C24A47">
        <w:rPr>
          <w:lang w:eastAsia="zh-CN"/>
        </w:rPr>
        <w:t>2025</w:t>
      </w:r>
      <w:r w:rsidRPr="00C24A47">
        <w:rPr>
          <w:lang w:eastAsia="zh-CN"/>
        </w:rPr>
        <w:t>年</w:t>
      </w:r>
      <w:r w:rsidRPr="00C24A47">
        <w:rPr>
          <w:lang w:eastAsia="zh-CN"/>
        </w:rPr>
        <w:t>1</w:t>
      </w:r>
      <w:r w:rsidRPr="00C24A47">
        <w:rPr>
          <w:lang w:eastAsia="zh-CN"/>
        </w:rPr>
        <w:t>月</w:t>
      </w:r>
      <w:r w:rsidRPr="00C24A47">
        <w:rPr>
          <w:lang w:eastAsia="zh-CN"/>
        </w:rPr>
        <w:t>1</w:t>
      </w:r>
      <w:r w:rsidRPr="00C24A47">
        <w:rPr>
          <w:lang w:eastAsia="zh-CN"/>
        </w:rPr>
        <w:t>日之后已收到其通知资料的</w:t>
      </w:r>
      <w:r w:rsidRPr="00C24A47">
        <w:rPr>
          <w:lang w:eastAsia="zh-CN"/>
        </w:rPr>
        <w:t>non-GSO FSS</w:t>
      </w:r>
      <w:r w:rsidRPr="00C24A47">
        <w:rPr>
          <w:lang w:eastAsia="zh-CN"/>
        </w:rPr>
        <w:t>系统。</w:t>
      </w:r>
    </w:p>
    <w:p w14:paraId="7FDFD15D" w14:textId="77777777" w:rsidR="00C24A47" w:rsidRPr="00C24A47" w:rsidRDefault="00C24A47" w:rsidP="00C24A47">
      <w:pPr>
        <w:rPr>
          <w:lang w:eastAsia="zh-CN"/>
        </w:rPr>
      </w:pPr>
      <w:r w:rsidRPr="00C24A47">
        <w:rPr>
          <w:lang w:eastAsia="zh-CN"/>
        </w:rPr>
        <w:t>3</w:t>
      </w:r>
      <w:r w:rsidRPr="00C24A47">
        <w:rPr>
          <w:lang w:eastAsia="zh-CN"/>
        </w:rPr>
        <w:tab/>
      </w:r>
      <w:r w:rsidRPr="00C24A47">
        <w:rPr>
          <w:lang w:eastAsia="zh-CN"/>
        </w:rPr>
        <w:t>此外，无线电规则委员会得出结论，无线电通信局须采用有关计算航空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所产生的功率通量密度值及验证其是否符合第</w:t>
      </w:r>
      <w:r w:rsidRPr="00C24A47">
        <w:rPr>
          <w:b/>
          <w:bCs/>
          <w:lang w:eastAsia="zh-CN"/>
        </w:rPr>
        <w:t>169</w:t>
      </w:r>
      <w:r w:rsidRPr="00C24A47">
        <w:rPr>
          <w:lang w:eastAsia="zh-CN"/>
        </w:rPr>
        <w:t>号决议</w:t>
      </w:r>
      <w:r w:rsidRPr="00C24A47">
        <w:rPr>
          <w:b/>
          <w:bCs/>
          <w:lang w:eastAsia="zh-CN"/>
        </w:rPr>
        <w:t>（</w:t>
      </w:r>
      <w:r w:rsidRPr="00C24A47">
        <w:rPr>
          <w:b/>
          <w:bCs/>
          <w:lang w:eastAsia="zh-CN"/>
        </w:rPr>
        <w:t>WRC-23</w:t>
      </w:r>
      <w:r w:rsidRPr="00C24A47">
        <w:rPr>
          <w:b/>
          <w:bCs/>
          <w:lang w:eastAsia="zh-CN"/>
        </w:rPr>
        <w:t>，修订版）</w:t>
      </w:r>
      <w:r w:rsidRPr="00C24A47">
        <w:rPr>
          <w:lang w:eastAsia="zh-CN"/>
        </w:rPr>
        <w:t>附件</w:t>
      </w:r>
      <w:r w:rsidRPr="00C24A47">
        <w:rPr>
          <w:lang w:eastAsia="zh-CN"/>
        </w:rPr>
        <w:t>3</w:t>
      </w:r>
      <w:r w:rsidRPr="00C24A47">
        <w:rPr>
          <w:lang w:eastAsia="zh-CN"/>
        </w:rPr>
        <w:t>、第</w:t>
      </w:r>
      <w:r w:rsidRPr="00C24A47">
        <w:rPr>
          <w:b/>
          <w:bCs/>
          <w:lang w:eastAsia="zh-CN"/>
        </w:rPr>
        <w:t>121</w:t>
      </w:r>
      <w:r w:rsidRPr="00C24A47">
        <w:rPr>
          <w:lang w:eastAsia="zh-CN"/>
        </w:rPr>
        <w:t>号决议</w:t>
      </w:r>
      <w:r w:rsidRPr="00C24A47">
        <w:rPr>
          <w:b/>
          <w:bCs/>
          <w:lang w:eastAsia="zh-CN"/>
        </w:rPr>
        <w:t>（</w:t>
      </w:r>
      <w:r w:rsidRPr="00C24A47">
        <w:rPr>
          <w:b/>
          <w:bCs/>
          <w:lang w:eastAsia="zh-CN"/>
        </w:rPr>
        <w:t>WRC-23</w:t>
      </w:r>
      <w:r w:rsidRPr="00C24A47">
        <w:rPr>
          <w:b/>
          <w:bCs/>
          <w:lang w:eastAsia="zh-CN"/>
        </w:rPr>
        <w:t>）</w:t>
      </w:r>
      <w:r w:rsidRPr="00C24A47">
        <w:rPr>
          <w:lang w:eastAsia="zh-CN"/>
        </w:rPr>
        <w:t>附件</w:t>
      </w:r>
      <w:r w:rsidRPr="00C24A47">
        <w:rPr>
          <w:lang w:eastAsia="zh-CN"/>
        </w:rPr>
        <w:t>2</w:t>
      </w:r>
      <w:r w:rsidRPr="00C24A47">
        <w:rPr>
          <w:lang w:eastAsia="zh-CN"/>
        </w:rPr>
        <w:t>和第</w:t>
      </w:r>
      <w:r w:rsidRPr="00C24A47">
        <w:rPr>
          <w:b/>
          <w:bCs/>
          <w:lang w:eastAsia="zh-CN"/>
        </w:rPr>
        <w:t>123</w:t>
      </w:r>
      <w:r w:rsidRPr="00C24A47">
        <w:rPr>
          <w:lang w:eastAsia="zh-CN"/>
        </w:rPr>
        <w:t>号决议</w:t>
      </w:r>
      <w:r w:rsidRPr="00C24A47">
        <w:rPr>
          <w:b/>
          <w:bCs/>
          <w:lang w:eastAsia="zh-CN"/>
        </w:rPr>
        <w:t>（</w:t>
      </w:r>
      <w:r w:rsidRPr="00C24A47">
        <w:rPr>
          <w:b/>
          <w:bCs/>
          <w:lang w:eastAsia="zh-CN"/>
        </w:rPr>
        <w:t>WRC-23</w:t>
      </w:r>
      <w:r w:rsidRPr="00C24A47">
        <w:rPr>
          <w:b/>
          <w:bCs/>
          <w:lang w:eastAsia="zh-CN"/>
        </w:rPr>
        <w:t>）</w:t>
      </w:r>
      <w:r w:rsidRPr="00C24A47">
        <w:rPr>
          <w:lang w:eastAsia="zh-CN"/>
        </w:rPr>
        <w:t>附件</w:t>
      </w:r>
      <w:r w:rsidRPr="00C24A47">
        <w:rPr>
          <w:lang w:eastAsia="zh-CN"/>
        </w:rPr>
        <w:t>2</w:t>
      </w:r>
      <w:r w:rsidRPr="00C24A47">
        <w:rPr>
          <w:lang w:eastAsia="zh-CN"/>
        </w:rPr>
        <w:t>中的限值的程序规则所含的方法，审查航空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的特性是否符合第</w:t>
      </w:r>
      <w:r w:rsidRPr="00C24A47">
        <w:rPr>
          <w:b/>
          <w:bCs/>
          <w:lang w:eastAsia="zh-CN"/>
        </w:rPr>
        <w:t>123</w:t>
      </w:r>
      <w:r w:rsidRPr="00C24A47">
        <w:rPr>
          <w:lang w:eastAsia="zh-CN"/>
        </w:rPr>
        <w:t>号决议</w:t>
      </w:r>
      <w:r w:rsidRPr="00C24A47">
        <w:rPr>
          <w:b/>
          <w:bCs/>
          <w:lang w:eastAsia="zh-CN"/>
        </w:rPr>
        <w:t>（</w:t>
      </w:r>
      <w:r w:rsidRPr="00C24A47">
        <w:rPr>
          <w:b/>
          <w:bCs/>
          <w:lang w:eastAsia="zh-CN"/>
        </w:rPr>
        <w:t>WRC-23</w:t>
      </w:r>
      <w:r w:rsidRPr="00C24A47">
        <w:rPr>
          <w:b/>
          <w:bCs/>
          <w:lang w:eastAsia="zh-CN"/>
        </w:rPr>
        <w:t>）</w:t>
      </w:r>
      <w:r w:rsidRPr="00C24A47">
        <w:rPr>
          <w:lang w:eastAsia="zh-CN"/>
        </w:rPr>
        <w:t>附件</w:t>
      </w:r>
      <w:r w:rsidRPr="00C24A47">
        <w:rPr>
          <w:lang w:eastAsia="zh-CN"/>
        </w:rPr>
        <w:t>1</w:t>
      </w:r>
      <w:r w:rsidRPr="00C24A47">
        <w:rPr>
          <w:lang w:eastAsia="zh-CN"/>
        </w:rPr>
        <w:t>第</w:t>
      </w:r>
      <w:r w:rsidRPr="00C24A47">
        <w:rPr>
          <w:lang w:eastAsia="zh-CN"/>
        </w:rPr>
        <w:t>II</w:t>
      </w:r>
      <w:r w:rsidRPr="00C24A47">
        <w:rPr>
          <w:lang w:eastAsia="zh-CN"/>
        </w:rPr>
        <w:t>部分规定的地球表面</w:t>
      </w:r>
      <w:proofErr w:type="spellStart"/>
      <w:r w:rsidRPr="00C24A47">
        <w:rPr>
          <w:lang w:eastAsia="zh-CN"/>
        </w:rPr>
        <w:t>pfd</w:t>
      </w:r>
      <w:proofErr w:type="spellEnd"/>
      <w:r w:rsidRPr="00C24A47">
        <w:rPr>
          <w:lang w:eastAsia="zh-CN"/>
        </w:rPr>
        <w:t>限值。审查结论应符合第</w:t>
      </w:r>
      <w:r w:rsidRPr="00C24A47">
        <w:rPr>
          <w:b/>
          <w:bCs/>
          <w:lang w:eastAsia="zh-CN"/>
        </w:rPr>
        <w:t>11.31</w:t>
      </w:r>
      <w:r w:rsidRPr="00C24A47">
        <w:rPr>
          <w:lang w:eastAsia="zh-CN"/>
        </w:rPr>
        <w:t>款。</w:t>
      </w:r>
    </w:p>
    <w:p w14:paraId="5CED37C0" w14:textId="486FEC93" w:rsidR="005D72AC" w:rsidRPr="005D72AC" w:rsidRDefault="00C24A47" w:rsidP="00C24A47">
      <w:pPr>
        <w:spacing w:before="400" w:line="280" w:lineRule="exact"/>
        <w:rPr>
          <w:rStyle w:val="href"/>
          <w:lang w:eastAsia="zh-CN"/>
        </w:rPr>
      </w:pPr>
      <w:r w:rsidRPr="00C24A47">
        <w:rPr>
          <w:lang w:eastAsia="zh-CN"/>
        </w:rPr>
        <w:t>4</w:t>
      </w:r>
      <w:r w:rsidRPr="00C24A47">
        <w:rPr>
          <w:lang w:eastAsia="zh-CN"/>
        </w:rPr>
        <w:tab/>
      </w:r>
      <w:r w:rsidRPr="00C24A47">
        <w:rPr>
          <w:lang w:eastAsia="zh-CN"/>
        </w:rPr>
        <w:t>关于第</w:t>
      </w:r>
      <w:r w:rsidRPr="00C24A47">
        <w:rPr>
          <w:b/>
          <w:bCs/>
          <w:lang w:eastAsia="zh-CN"/>
        </w:rPr>
        <w:t>123</w:t>
      </w:r>
      <w:r w:rsidRPr="00C24A47">
        <w:rPr>
          <w:lang w:eastAsia="zh-CN"/>
        </w:rPr>
        <w:t>号决议</w:t>
      </w:r>
      <w:r w:rsidRPr="00C24A47">
        <w:rPr>
          <w:b/>
          <w:bCs/>
          <w:lang w:eastAsia="zh-CN"/>
        </w:rPr>
        <w:t>（</w:t>
      </w:r>
      <w:r w:rsidRPr="00C24A47">
        <w:rPr>
          <w:b/>
          <w:bCs/>
          <w:lang w:eastAsia="zh-CN"/>
        </w:rPr>
        <w:t>WRC-23</w:t>
      </w:r>
      <w:r w:rsidRPr="00C24A47">
        <w:rPr>
          <w:b/>
          <w:bCs/>
          <w:lang w:eastAsia="zh-CN"/>
        </w:rPr>
        <w:t>）</w:t>
      </w:r>
      <w:r w:rsidRPr="00C24A47">
        <w:rPr>
          <w:lang w:eastAsia="zh-CN"/>
        </w:rPr>
        <w:t>附件</w:t>
      </w:r>
      <w:r w:rsidRPr="00C24A47">
        <w:rPr>
          <w:lang w:eastAsia="zh-CN"/>
        </w:rPr>
        <w:t>1</w:t>
      </w:r>
      <w:r w:rsidRPr="00C24A47">
        <w:rPr>
          <w:lang w:eastAsia="zh-CN"/>
        </w:rPr>
        <w:t>第</w:t>
      </w:r>
      <w:r w:rsidRPr="00C24A47">
        <w:rPr>
          <w:lang w:eastAsia="zh-CN"/>
        </w:rPr>
        <w:t>1</w:t>
      </w:r>
      <w:r w:rsidRPr="00C24A47">
        <w:rPr>
          <w:lang w:eastAsia="zh-CN"/>
        </w:rPr>
        <w:t>部分和附件</w:t>
      </w:r>
      <w:r w:rsidRPr="00C24A47">
        <w:rPr>
          <w:lang w:eastAsia="zh-CN"/>
        </w:rPr>
        <w:t>3</w:t>
      </w:r>
      <w:r w:rsidRPr="00C24A47">
        <w:rPr>
          <w:lang w:eastAsia="zh-CN"/>
        </w:rPr>
        <w:t>所载的条款，无线电规则委员会进一步得出结论，无线电通信局无须进行任何审查。与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通信的</w:t>
      </w:r>
      <w:r w:rsidRPr="00C24A47">
        <w:rPr>
          <w:lang w:eastAsia="zh-CN"/>
        </w:rPr>
        <w:t>non-GSO FSS</w:t>
      </w:r>
      <w:r w:rsidRPr="00C24A47">
        <w:rPr>
          <w:lang w:eastAsia="zh-CN"/>
        </w:rPr>
        <w:t>系统的通知主管部门在提供附录</w:t>
      </w:r>
      <w:r w:rsidRPr="00C24A47">
        <w:rPr>
          <w:b/>
          <w:bCs/>
          <w:lang w:eastAsia="zh-CN"/>
        </w:rPr>
        <w:t>4</w:t>
      </w:r>
      <w:r w:rsidRPr="00C24A47">
        <w:rPr>
          <w:lang w:eastAsia="zh-CN"/>
        </w:rPr>
        <w:t>附件</w:t>
      </w:r>
      <w:r w:rsidRPr="00C24A47">
        <w:rPr>
          <w:lang w:eastAsia="zh-CN"/>
        </w:rPr>
        <w:t>2</w:t>
      </w:r>
      <w:r w:rsidRPr="00C24A47">
        <w:rPr>
          <w:lang w:eastAsia="zh-CN"/>
        </w:rPr>
        <w:t>的</w:t>
      </w:r>
      <w:r w:rsidRPr="00C24A47">
        <w:rPr>
          <w:lang w:eastAsia="zh-CN"/>
        </w:rPr>
        <w:t>A.34.a</w:t>
      </w:r>
      <w:r w:rsidRPr="00C24A47">
        <w:rPr>
          <w:lang w:eastAsia="zh-CN"/>
        </w:rPr>
        <w:t>项要求的承诺以按照《无线电规则》和第</w:t>
      </w:r>
      <w:r w:rsidRPr="00C24A47">
        <w:rPr>
          <w:b/>
          <w:bCs/>
          <w:lang w:eastAsia="zh-CN"/>
        </w:rPr>
        <w:t>123</w:t>
      </w:r>
      <w:r w:rsidRPr="00C24A47">
        <w:rPr>
          <w:lang w:eastAsia="zh-CN"/>
        </w:rPr>
        <w:t>号决议</w:t>
      </w:r>
      <w:r w:rsidRPr="00C24A47">
        <w:rPr>
          <w:b/>
          <w:bCs/>
          <w:lang w:eastAsia="zh-CN"/>
        </w:rPr>
        <w:t>（</w:t>
      </w:r>
      <w:r w:rsidRPr="00C24A47">
        <w:rPr>
          <w:b/>
          <w:bCs/>
          <w:lang w:eastAsia="zh-CN"/>
        </w:rPr>
        <w:t>WRC-23</w:t>
      </w:r>
      <w:r w:rsidRPr="00C24A47">
        <w:rPr>
          <w:b/>
          <w:bCs/>
          <w:lang w:eastAsia="zh-CN"/>
        </w:rPr>
        <w:t>）</w:t>
      </w:r>
      <w:r w:rsidRPr="00C24A47">
        <w:rPr>
          <w:lang w:eastAsia="zh-CN"/>
        </w:rPr>
        <w:t>操作</w:t>
      </w:r>
      <w:r w:rsidRPr="00C24A47">
        <w:rPr>
          <w:lang w:eastAsia="zh-CN"/>
        </w:rPr>
        <w:t>ESIM</w:t>
      </w:r>
      <w:r w:rsidRPr="00C24A47">
        <w:rPr>
          <w:lang w:eastAsia="zh-CN"/>
        </w:rPr>
        <w:t>时，须确保遵守这些条款。</w:t>
      </w:r>
    </w:p>
    <w:p w14:paraId="3B749283" w14:textId="77777777" w:rsidR="00E052A7" w:rsidRDefault="00E052A7" w:rsidP="0089365D">
      <w:pPr>
        <w:rPr>
          <w:lang w:val="en-US" w:eastAsia="zh-CN"/>
        </w:rPr>
      </w:pPr>
    </w:p>
    <w:p w14:paraId="02257F70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7396A8FA" w14:textId="77777777" w:rsidR="00E052A7" w:rsidRDefault="00E052A7" w:rsidP="0089365D"/>
    <w:p w14:paraId="75DD6EFD" w14:textId="77777777" w:rsidR="00E052A7" w:rsidRDefault="00E052A7" w:rsidP="0089365D">
      <w:pPr>
        <w:rPr>
          <w:lang w:val="en-US"/>
        </w:rPr>
      </w:pPr>
    </w:p>
    <w:p w14:paraId="4AF7CD88" w14:textId="77777777" w:rsidR="00E052A7" w:rsidRDefault="00E052A7" w:rsidP="0089365D">
      <w:pPr>
        <w:rPr>
          <w:lang w:val="en-US"/>
        </w:rPr>
      </w:pPr>
    </w:p>
    <w:p w14:paraId="1F94AA5B" w14:textId="77777777" w:rsidR="00E052A7" w:rsidRDefault="00E052A7" w:rsidP="0089365D">
      <w:pPr>
        <w:rPr>
          <w:lang w:val="en-US"/>
        </w:rPr>
      </w:pPr>
    </w:p>
    <w:p w14:paraId="255837A2" w14:textId="77777777" w:rsidR="00E052A7" w:rsidRDefault="00E052A7" w:rsidP="0089365D">
      <w:pPr>
        <w:rPr>
          <w:lang w:val="en-US"/>
        </w:rPr>
        <w:sectPr w:rsidR="00E052A7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445AFBC5" w14:textId="77777777" w:rsidR="00E052A7" w:rsidRDefault="00E052A7" w:rsidP="0089365D">
      <w:pPr>
        <w:rPr>
          <w:lang w:val="en-US"/>
        </w:rPr>
      </w:pPr>
    </w:p>
    <w:sectPr w:rsidR="00E052A7" w:rsidSect="0089365D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5A3ACC" w14:textId="77777777" w:rsidR="00F846F1" w:rsidRDefault="00F846F1">
      <w:r>
        <w:separator/>
      </w:r>
    </w:p>
  </w:endnote>
  <w:endnote w:type="continuationSeparator" w:id="0">
    <w:p w14:paraId="42327F97" w14:textId="77777777" w:rsidR="00F846F1" w:rsidRDefault="00F84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9676F4" w14:textId="77777777" w:rsidR="00F846F1" w:rsidRDefault="00F846F1">
      <w:r>
        <w:rPr>
          <w:b/>
        </w:rPr>
        <w:t>_______________</w:t>
      </w:r>
    </w:p>
  </w:footnote>
  <w:footnote w:type="continuationSeparator" w:id="0">
    <w:p w14:paraId="16A795FE" w14:textId="77777777" w:rsidR="00F846F1" w:rsidRDefault="00F84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052A7" w14:paraId="50AE5360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5477A22" w14:textId="12D9EF07" w:rsidR="00E052A7" w:rsidRDefault="00E052A7">
          <w:pPr>
            <w:pStyle w:val="HeaderRegProc"/>
            <w:rPr>
              <w:lang w:eastAsia="zh-CN"/>
            </w:rPr>
          </w:pPr>
          <w:r>
            <w:t>A</w:t>
          </w:r>
          <w:r w:rsidR="005D72AC">
            <w:rPr>
              <w:rFonts w:hint="eastAsia"/>
              <w:lang w:eastAsia="zh-CN"/>
            </w:rPr>
            <w:t>1</w:t>
          </w:r>
          <w:r w:rsidR="00FA7E90">
            <w:rPr>
              <w:rFonts w:hint="eastAsia"/>
              <w:lang w:eastAsia="zh-CN"/>
            </w:rPr>
            <w:t xml:space="preserve"> </w:t>
          </w:r>
          <w:r w:rsidR="005D72AC"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2256324" w14:textId="5D7B6CCA" w:rsidR="00E052A7" w:rsidRDefault="00E052A7">
          <w:pPr>
            <w:pStyle w:val="HeaderRegProc"/>
            <w:rPr>
              <w:lang w:val="fr-FR"/>
            </w:rPr>
          </w:pPr>
          <w:r>
            <w:t>RES</w:t>
          </w:r>
          <w:r w:rsidR="00204C1C">
            <w:fldChar w:fldCharType="begin"/>
          </w:r>
          <w:r w:rsidR="00204C1C">
            <w:instrText>styleref href2</w:instrText>
          </w:r>
          <w:r w:rsidR="00204C1C">
            <w:fldChar w:fldCharType="separate"/>
          </w:r>
          <w:r w:rsidR="00FE359A">
            <w:rPr>
              <w:noProof/>
            </w:rPr>
            <w:t>123</w:t>
          </w:r>
          <w:r w:rsidR="00204C1C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F59080F" w14:textId="38403DEB" w:rsidR="00E052A7" w:rsidRDefault="005D72AC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 w:rsidR="00E052A7">
            <w:rPr>
              <w:lang w:val="fr-FR"/>
            </w:rPr>
            <w:t xml:space="preserve"> </w:t>
          </w:r>
          <w:r w:rsidR="00E052A7">
            <w:rPr>
              <w:rStyle w:val="PageNumber"/>
            </w:rPr>
            <w:fldChar w:fldCharType="begin"/>
          </w:r>
          <w:r w:rsidR="00E052A7">
            <w:rPr>
              <w:rStyle w:val="PageNumber"/>
            </w:rPr>
            <w:instrText xml:space="preserve"> PAGE </w:instrText>
          </w:r>
          <w:r w:rsidR="00E052A7">
            <w:rPr>
              <w:rStyle w:val="PageNumber"/>
            </w:rPr>
            <w:fldChar w:fldCharType="separate"/>
          </w:r>
          <w:r w:rsidR="00CC1BC0">
            <w:rPr>
              <w:rStyle w:val="PageNumber"/>
              <w:noProof/>
            </w:rPr>
            <w:t>2</w:t>
          </w:r>
          <w:r w:rsidR="00E052A7"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5971931" w14:textId="70CCC6B6" w:rsidR="00E052A7" w:rsidRDefault="005D72AC">
          <w:pPr>
            <w:pStyle w:val="HeaderRegProc"/>
            <w:rPr>
              <w:lang w:val="fr-CH"/>
            </w:rPr>
          </w:pPr>
          <w:r>
            <w:rPr>
              <w:rFonts w:hint="eastAsia"/>
              <w:lang w:val="fr-CH" w:eastAsia="zh-CN"/>
            </w:rPr>
            <w:t>修订</w:t>
          </w:r>
          <w:r w:rsidR="00F73346">
            <w:rPr>
              <w:lang w:val="fr-CH"/>
            </w:rPr>
            <w:t xml:space="preserve"> </w:t>
          </w:r>
          <w:r w:rsidR="0091274D">
            <w:t>5</w:t>
          </w:r>
        </w:p>
      </w:tc>
    </w:tr>
  </w:tbl>
  <w:p w14:paraId="4AC17D44" w14:textId="77777777" w:rsidR="00E052A7" w:rsidRDefault="00E052A7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052A7" w14:paraId="350A0A31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9DFF46" w14:textId="67651AFB" w:rsidR="00E052A7" w:rsidRDefault="00E052A7">
          <w:pPr>
            <w:pStyle w:val="HeaderRegProc"/>
            <w:rPr>
              <w:lang w:eastAsia="zh-CN"/>
            </w:rPr>
          </w:pPr>
          <w:r>
            <w:t>A</w:t>
          </w:r>
          <w:r w:rsidR="005D72AC">
            <w:rPr>
              <w:rFonts w:hint="eastAsia"/>
              <w:lang w:eastAsia="zh-CN"/>
            </w:rPr>
            <w:t>1</w:t>
          </w:r>
          <w:r w:rsidR="00FA7E90">
            <w:rPr>
              <w:rFonts w:hint="eastAsia"/>
              <w:lang w:eastAsia="zh-CN"/>
            </w:rPr>
            <w:t xml:space="preserve"> </w:t>
          </w:r>
          <w:r w:rsidR="005D72AC"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A56FB79" w14:textId="6D720EDC" w:rsidR="00E052A7" w:rsidRDefault="00E052A7">
          <w:pPr>
            <w:pStyle w:val="HeaderRegProc"/>
            <w:rPr>
              <w:lang w:val="fr-FR"/>
            </w:rPr>
          </w:pPr>
          <w:r>
            <w:t>RES</w:t>
          </w:r>
          <w:r w:rsidR="00204C1C">
            <w:fldChar w:fldCharType="begin"/>
          </w:r>
          <w:r w:rsidR="00204C1C">
            <w:instrText>styleref href2</w:instrText>
          </w:r>
          <w:r w:rsidR="00204C1C">
            <w:fldChar w:fldCharType="separate"/>
          </w:r>
          <w:r w:rsidR="00FE359A">
            <w:rPr>
              <w:noProof/>
            </w:rPr>
            <w:t>123</w:t>
          </w:r>
          <w:r w:rsidR="00204C1C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5F9F8AB" w14:textId="45A213AD" w:rsidR="00E052A7" w:rsidRDefault="005D72AC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 w:rsidR="00E052A7">
            <w:rPr>
              <w:lang w:val="fr-FR"/>
            </w:rPr>
            <w:t xml:space="preserve"> </w:t>
          </w:r>
          <w:r w:rsidR="00E052A7">
            <w:rPr>
              <w:rStyle w:val="PageNumber"/>
            </w:rPr>
            <w:fldChar w:fldCharType="begin"/>
          </w:r>
          <w:r w:rsidR="00E052A7">
            <w:rPr>
              <w:rStyle w:val="PageNumber"/>
            </w:rPr>
            <w:instrText xml:space="preserve"> PAGE </w:instrText>
          </w:r>
          <w:r w:rsidR="00E052A7">
            <w:rPr>
              <w:rStyle w:val="PageNumber"/>
            </w:rPr>
            <w:fldChar w:fldCharType="separate"/>
          </w:r>
          <w:r w:rsidR="00CC1BC0">
            <w:rPr>
              <w:rStyle w:val="PageNumber"/>
              <w:noProof/>
            </w:rPr>
            <w:t>1</w:t>
          </w:r>
          <w:r w:rsidR="00E052A7"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1C59C4D" w14:textId="10D8477D" w:rsidR="00E052A7" w:rsidRDefault="005D72AC">
          <w:pPr>
            <w:pStyle w:val="HeaderRegProc"/>
            <w:rPr>
              <w:lang w:val="fr-CH"/>
            </w:rPr>
          </w:pPr>
          <w:r>
            <w:rPr>
              <w:rFonts w:hint="eastAsia"/>
              <w:lang w:val="fr-CH" w:eastAsia="zh-CN"/>
            </w:rPr>
            <w:t>修订</w:t>
          </w:r>
          <w:r w:rsidR="00F73346">
            <w:rPr>
              <w:lang w:val="fr-CH"/>
            </w:rPr>
            <w:t xml:space="preserve"> </w:t>
          </w:r>
          <w:r w:rsidR="0091274D">
            <w:t>5</w:t>
          </w:r>
        </w:p>
      </w:tc>
    </w:tr>
  </w:tbl>
  <w:p w14:paraId="5D35D9EF" w14:textId="77777777" w:rsidR="00E052A7" w:rsidRDefault="00E052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4A68B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54891"/>
    <w:rsid w:val="0008559E"/>
    <w:rsid w:val="00107893"/>
    <w:rsid w:val="001F2CF3"/>
    <w:rsid w:val="00204C1C"/>
    <w:rsid w:val="002C0C90"/>
    <w:rsid w:val="002F5713"/>
    <w:rsid w:val="002F6FCF"/>
    <w:rsid w:val="00322F1D"/>
    <w:rsid w:val="003A718D"/>
    <w:rsid w:val="003C4187"/>
    <w:rsid w:val="0040238A"/>
    <w:rsid w:val="004763F7"/>
    <w:rsid w:val="00483705"/>
    <w:rsid w:val="00555E8E"/>
    <w:rsid w:val="005D72AC"/>
    <w:rsid w:val="005D7E79"/>
    <w:rsid w:val="00605B8C"/>
    <w:rsid w:val="0072419A"/>
    <w:rsid w:val="007A69D4"/>
    <w:rsid w:val="007D1381"/>
    <w:rsid w:val="007F06B5"/>
    <w:rsid w:val="00824378"/>
    <w:rsid w:val="00842E52"/>
    <w:rsid w:val="00854410"/>
    <w:rsid w:val="0089365D"/>
    <w:rsid w:val="0091274D"/>
    <w:rsid w:val="00916230"/>
    <w:rsid w:val="009660A1"/>
    <w:rsid w:val="009838AF"/>
    <w:rsid w:val="00A21DD6"/>
    <w:rsid w:val="00A70933"/>
    <w:rsid w:val="00AE4A05"/>
    <w:rsid w:val="00B52A6B"/>
    <w:rsid w:val="00B639F5"/>
    <w:rsid w:val="00B73C1B"/>
    <w:rsid w:val="00BE6FB5"/>
    <w:rsid w:val="00C108D8"/>
    <w:rsid w:val="00C24A47"/>
    <w:rsid w:val="00C279F5"/>
    <w:rsid w:val="00CB5F70"/>
    <w:rsid w:val="00CC1BC0"/>
    <w:rsid w:val="00DA3D9C"/>
    <w:rsid w:val="00E052A7"/>
    <w:rsid w:val="00E45E6B"/>
    <w:rsid w:val="00E70951"/>
    <w:rsid w:val="00E729C9"/>
    <w:rsid w:val="00ED66E9"/>
    <w:rsid w:val="00F46580"/>
    <w:rsid w:val="00F73346"/>
    <w:rsid w:val="00F846F1"/>
    <w:rsid w:val="00FA7E90"/>
    <w:rsid w:val="00FE359A"/>
    <w:rsid w:val="00FE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6DC919"/>
  <w15:docId w15:val="{8CDC531D-625F-434C-8810-B845F92B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,Appel note de bas de p +,Footnote Reference/... + (Latin) +H...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,DNV,Footnote Text Char1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character" w:customStyle="1" w:styleId="NormalaftertitleChar">
    <w:name w:val="Normal after title Char"/>
    <w:basedOn w:val="DefaultParagraphFont"/>
    <w:link w:val="Normalaftertitle"/>
    <w:locked/>
    <w:rsid w:val="005D72AC"/>
    <w:rPr>
      <w:sz w:val="24"/>
      <w:lang w:val="en-GB" w:eastAsia="en-US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,DNV Char"/>
    <w:link w:val="FootnoteText"/>
    <w:locked/>
    <w:rsid w:val="005D72A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42</TotalTime>
  <Pages>3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2021</dc:title>
  <dc:subject/>
  <dc:creator>Composition des Publications</dc:creator>
  <cp:keywords/>
  <dc:description/>
  <cp:lastModifiedBy>Liu, Sanping</cp:lastModifiedBy>
  <cp:revision>41</cp:revision>
  <cp:lastPrinted>2024-12-05T08:43:00Z</cp:lastPrinted>
  <dcterms:created xsi:type="dcterms:W3CDTF">2012-08-08T06:51:00Z</dcterms:created>
  <dcterms:modified xsi:type="dcterms:W3CDTF">2024-12-05T08:45:00Z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