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9BC579" w14:textId="77777777" w:rsidR="00B86FDA" w:rsidRPr="00975709" w:rsidRDefault="00B86FDA" w:rsidP="00975709">
      <w:pPr>
        <w:pStyle w:val="Heading1"/>
        <w:spacing w:before="480"/>
        <w:jc w:val="center"/>
        <w:rPr>
          <w:noProof/>
          <w:lang w:eastAsia="zh-CN"/>
        </w:rPr>
      </w:pPr>
      <w:r w:rsidRPr="00975709">
        <w:rPr>
          <w:rFonts w:hint="eastAsia"/>
          <w:noProof/>
          <w:lang w:eastAsia="zh-CN"/>
        </w:rPr>
        <w:t>关于《无线电规则》</w:t>
      </w:r>
    </w:p>
    <w:p w14:paraId="33F371F9" w14:textId="77777777" w:rsidR="00B86FDA" w:rsidRDefault="00B86FDA" w:rsidP="00975709">
      <w:pPr>
        <w:pStyle w:val="Heading1"/>
        <w:spacing w:before="480"/>
        <w:jc w:val="center"/>
        <w:rPr>
          <w:noProof/>
          <w:lang w:eastAsia="zh-CN"/>
        </w:rPr>
      </w:pPr>
      <w:r w:rsidRPr="00975709">
        <w:rPr>
          <w:rFonts w:hint="eastAsia"/>
          <w:noProof/>
          <w:lang w:eastAsia="zh-CN"/>
        </w:rPr>
        <w:t>第</w:t>
      </w:r>
      <w:r w:rsidRPr="00975709">
        <w:rPr>
          <w:rFonts w:hint="eastAsia"/>
          <w:noProof/>
          <w:lang w:eastAsia="zh-CN"/>
        </w:rPr>
        <w:t>22</w:t>
      </w:r>
      <w:r w:rsidRPr="00975709">
        <w:rPr>
          <w:rFonts w:hint="eastAsia"/>
          <w:noProof/>
          <w:lang w:eastAsia="zh-CN"/>
        </w:rPr>
        <w:t>条的程序规则</w:t>
      </w:r>
    </w:p>
    <w:p w14:paraId="148E307D" w14:textId="4D820B3C" w:rsidR="00757CF6" w:rsidRPr="00757CF6" w:rsidRDefault="00757CF6" w:rsidP="00757CF6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pacing w:before="400"/>
        <w:ind w:left="85" w:right="7938"/>
        <w:outlineLvl w:val="7"/>
        <w:rPr>
          <w:rFonts w:asciiTheme="majorBidi" w:hAnsiTheme="majorBidi" w:cstheme="majorBidi"/>
          <w:b/>
          <w:lang w:eastAsia="zh-CN"/>
        </w:rPr>
      </w:pPr>
      <w:r w:rsidRPr="00C0439A">
        <w:rPr>
          <w:rFonts w:asciiTheme="majorBidi" w:hAnsiTheme="majorBidi" w:cstheme="majorBidi"/>
          <w:b/>
          <w:lang w:eastAsia="zh-CN"/>
        </w:rPr>
        <w:t>22.5K</w:t>
      </w:r>
      <w:r>
        <w:rPr>
          <w:rFonts w:asciiTheme="majorBidi" w:hAnsiTheme="majorBidi" w:cstheme="majorBidi"/>
          <w:b/>
          <w:lang w:eastAsia="zh-CN"/>
        </w:rPr>
        <w:tab/>
      </w:r>
      <w:r>
        <w:rPr>
          <w:rFonts w:asciiTheme="majorBidi" w:hAnsiTheme="majorBidi" w:cstheme="majorBidi"/>
          <w:b/>
          <w:lang w:eastAsia="zh-CN"/>
        </w:rPr>
        <w:tab/>
      </w:r>
      <w:r w:rsidRPr="00A90E29">
        <w:rPr>
          <w:sz w:val="16"/>
          <w:szCs w:val="16"/>
          <w:lang w:eastAsia="zh-CN"/>
        </w:rPr>
        <w:t>(</w:t>
      </w:r>
      <w:r>
        <w:rPr>
          <w:sz w:val="16"/>
          <w:szCs w:val="16"/>
          <w:lang w:eastAsia="zh-CN"/>
        </w:rPr>
        <w:t>AD</w:t>
      </w:r>
      <w:r w:rsidRPr="00A90E29">
        <w:rPr>
          <w:sz w:val="16"/>
          <w:szCs w:val="16"/>
          <w:lang w:eastAsia="zh-CN"/>
        </w:rPr>
        <w:t>D RRB2</w:t>
      </w:r>
      <w:r>
        <w:rPr>
          <w:sz w:val="16"/>
          <w:szCs w:val="16"/>
          <w:lang w:eastAsia="zh-CN"/>
        </w:rPr>
        <w:t>4</w:t>
      </w:r>
      <w:r w:rsidRPr="00A90E29">
        <w:rPr>
          <w:sz w:val="16"/>
          <w:szCs w:val="16"/>
          <w:lang w:eastAsia="zh-CN"/>
        </w:rPr>
        <w:t>/</w:t>
      </w:r>
      <w:r>
        <w:rPr>
          <w:sz w:val="16"/>
          <w:szCs w:val="16"/>
          <w:lang w:eastAsia="zh-CN"/>
        </w:rPr>
        <w:t>510</w:t>
      </w:r>
      <w:r w:rsidRPr="00A90E29">
        <w:rPr>
          <w:sz w:val="16"/>
          <w:szCs w:val="16"/>
          <w:lang w:eastAsia="zh-CN"/>
        </w:rPr>
        <w:t>)</w:t>
      </w:r>
    </w:p>
    <w:p w14:paraId="2DB0FBFB" w14:textId="70B2D4FB" w:rsidR="00757CF6" w:rsidRPr="00757CF6" w:rsidRDefault="00757CF6" w:rsidP="00757CF6">
      <w:pPr>
        <w:ind w:firstLineChars="200" w:firstLine="480"/>
        <w:rPr>
          <w:lang w:eastAsia="zh-CN"/>
        </w:rPr>
      </w:pPr>
      <w:r w:rsidRPr="00757CF6">
        <w:rPr>
          <w:lang w:eastAsia="zh-CN"/>
        </w:rPr>
        <w:t>委员会注意到世界无线电通信大会（</w:t>
      </w:r>
      <w:r w:rsidRPr="00757CF6">
        <w:rPr>
          <w:lang w:eastAsia="zh-CN"/>
        </w:rPr>
        <w:t>2023</w:t>
      </w:r>
      <w:r w:rsidRPr="00757CF6">
        <w:rPr>
          <w:lang w:eastAsia="zh-CN"/>
        </w:rPr>
        <w:t>年，迪拜）（</w:t>
      </w:r>
      <w:r w:rsidRPr="00757CF6">
        <w:rPr>
          <w:lang w:eastAsia="zh-CN"/>
        </w:rPr>
        <w:t>WRC-23</w:t>
      </w:r>
      <w:r w:rsidRPr="00757CF6">
        <w:rPr>
          <w:lang w:eastAsia="zh-CN"/>
        </w:rPr>
        <w:t>）未更新第</w:t>
      </w:r>
      <w:r w:rsidRPr="00757CF6">
        <w:rPr>
          <w:b/>
          <w:bCs/>
          <w:lang w:eastAsia="zh-CN"/>
        </w:rPr>
        <w:t>22.5K</w:t>
      </w:r>
      <w:r w:rsidRPr="00757CF6">
        <w:rPr>
          <w:lang w:eastAsia="zh-CN"/>
        </w:rPr>
        <w:t>款中对第</w:t>
      </w:r>
      <w:r w:rsidRPr="00757CF6">
        <w:rPr>
          <w:b/>
          <w:bCs/>
          <w:lang w:eastAsia="zh-CN"/>
        </w:rPr>
        <w:t>76</w:t>
      </w:r>
      <w:r w:rsidRPr="00757CF6">
        <w:rPr>
          <w:lang w:eastAsia="zh-CN"/>
        </w:rPr>
        <w:t>号决议</w:t>
      </w:r>
      <w:r w:rsidRPr="00757CF6">
        <w:rPr>
          <w:b/>
          <w:bCs/>
          <w:lang w:eastAsia="zh-CN"/>
        </w:rPr>
        <w:t>（</w:t>
      </w:r>
      <w:r w:rsidRPr="00757CF6">
        <w:rPr>
          <w:b/>
          <w:bCs/>
          <w:lang w:eastAsia="zh-CN"/>
        </w:rPr>
        <w:t>WRC-23</w:t>
      </w:r>
      <w:r w:rsidRPr="00757CF6">
        <w:rPr>
          <w:b/>
          <w:bCs/>
          <w:lang w:eastAsia="zh-CN"/>
        </w:rPr>
        <w:t>，修订版）</w:t>
      </w:r>
      <w:r w:rsidRPr="00757CF6">
        <w:rPr>
          <w:lang w:eastAsia="zh-CN"/>
        </w:rPr>
        <w:t>的参引，决定该条款适用于在第</w:t>
      </w:r>
      <w:r w:rsidRPr="00757CF6">
        <w:rPr>
          <w:b/>
          <w:bCs/>
          <w:lang w:eastAsia="zh-CN"/>
        </w:rPr>
        <w:t>76</w:t>
      </w:r>
      <w:r w:rsidRPr="00757CF6">
        <w:rPr>
          <w:lang w:eastAsia="zh-CN"/>
        </w:rPr>
        <w:t>号决议</w:t>
      </w:r>
      <w:r w:rsidRPr="00757CF6">
        <w:rPr>
          <w:b/>
          <w:bCs/>
          <w:lang w:eastAsia="zh-CN"/>
        </w:rPr>
        <w:t>（</w:t>
      </w:r>
      <w:r w:rsidRPr="00757CF6">
        <w:rPr>
          <w:b/>
          <w:bCs/>
          <w:lang w:eastAsia="zh-CN"/>
        </w:rPr>
        <w:t>WRC-23</w:t>
      </w:r>
      <w:r w:rsidRPr="00757CF6">
        <w:rPr>
          <w:b/>
          <w:bCs/>
          <w:lang w:eastAsia="zh-CN"/>
        </w:rPr>
        <w:t>，修订版）</w:t>
      </w:r>
      <w:r w:rsidRPr="00757CF6">
        <w:rPr>
          <w:lang w:eastAsia="zh-CN"/>
        </w:rPr>
        <w:t>表</w:t>
      </w:r>
      <w:r w:rsidRPr="00757CF6">
        <w:rPr>
          <w:lang w:eastAsia="zh-CN"/>
        </w:rPr>
        <w:t>1A</w:t>
      </w:r>
      <w:r w:rsidRPr="00757CF6">
        <w:rPr>
          <w:lang w:eastAsia="zh-CN"/>
        </w:rPr>
        <w:t>、</w:t>
      </w:r>
      <w:r w:rsidRPr="00757CF6">
        <w:rPr>
          <w:lang w:eastAsia="zh-CN"/>
        </w:rPr>
        <w:t>1B</w:t>
      </w:r>
      <w:r w:rsidRPr="00757CF6">
        <w:rPr>
          <w:lang w:eastAsia="zh-CN"/>
        </w:rPr>
        <w:t>、</w:t>
      </w:r>
      <w:r w:rsidRPr="00757CF6">
        <w:rPr>
          <w:lang w:eastAsia="zh-CN"/>
        </w:rPr>
        <w:t>1C</w:t>
      </w:r>
      <w:r w:rsidRPr="00757CF6">
        <w:rPr>
          <w:lang w:eastAsia="zh-CN"/>
        </w:rPr>
        <w:t>和</w:t>
      </w:r>
      <w:r w:rsidRPr="00757CF6">
        <w:rPr>
          <w:lang w:eastAsia="zh-CN"/>
        </w:rPr>
        <w:t>1D</w:t>
      </w:r>
      <w:r w:rsidRPr="00757CF6">
        <w:rPr>
          <w:lang w:eastAsia="zh-CN"/>
        </w:rPr>
        <w:t>所列频段和区域内卫星固定业务中运行的非对地静止卫星（</w:t>
      </w:r>
      <w:r w:rsidRPr="00757CF6">
        <w:rPr>
          <w:lang w:eastAsia="zh-CN"/>
        </w:rPr>
        <w:t>non-GSO</w:t>
      </w:r>
      <w:r w:rsidRPr="00757CF6">
        <w:rPr>
          <w:lang w:eastAsia="zh-CN"/>
        </w:rPr>
        <w:t>）系统。此外，无线电规则委员会做出结论，该条款不适用于</w:t>
      </w:r>
      <w:r w:rsidRPr="00757CF6">
        <w:rPr>
          <w:lang w:eastAsia="zh-CN"/>
        </w:rPr>
        <w:t>2</w:t>
      </w:r>
      <w:r w:rsidRPr="00757CF6">
        <w:rPr>
          <w:lang w:eastAsia="zh-CN"/>
        </w:rPr>
        <w:t>区</w:t>
      </w:r>
      <w:r w:rsidRPr="00757CF6">
        <w:rPr>
          <w:lang w:eastAsia="zh-CN"/>
        </w:rPr>
        <w:t>17.3-17.7 GHz</w:t>
      </w:r>
      <w:r w:rsidRPr="00757CF6">
        <w:rPr>
          <w:lang w:eastAsia="zh-CN"/>
        </w:rPr>
        <w:t>频段卫星固定业务中运行的</w:t>
      </w:r>
      <w:r w:rsidRPr="00757CF6">
        <w:rPr>
          <w:lang w:eastAsia="zh-CN"/>
        </w:rPr>
        <w:t>non-GSO</w:t>
      </w:r>
      <w:r w:rsidRPr="00757CF6">
        <w:rPr>
          <w:lang w:eastAsia="zh-CN"/>
        </w:rPr>
        <w:t>系统。</w:t>
      </w:r>
    </w:p>
    <w:p w14:paraId="1D682E15" w14:textId="77777777" w:rsidR="00B86FDA" w:rsidRDefault="00B86FDA" w:rsidP="00B86FDA">
      <w:pPr>
        <w:pStyle w:val="Heading8"/>
        <w:rPr>
          <w:noProof/>
          <w:lang w:eastAsia="zh-CN"/>
        </w:rPr>
      </w:pPr>
      <w:r>
        <w:rPr>
          <w:rFonts w:hint="eastAsia"/>
          <w:noProof/>
          <w:lang w:eastAsia="zh-CN"/>
        </w:rPr>
        <w:t>22.10</w:t>
      </w:r>
    </w:p>
    <w:p w14:paraId="40BCA030" w14:textId="77777777" w:rsidR="00B86FDA" w:rsidRDefault="00B86FDA" w:rsidP="00975709">
      <w:pPr>
        <w:ind w:firstLine="510"/>
        <w:rPr>
          <w:noProof/>
          <w:lang w:eastAsia="zh-CN"/>
        </w:rPr>
      </w:pPr>
      <w:r>
        <w:rPr>
          <w:rFonts w:hint="eastAsia"/>
          <w:noProof/>
          <w:lang w:eastAsia="zh-CN"/>
        </w:rPr>
        <w:t>无线电规则委员会认为</w:t>
      </w:r>
      <w:r w:rsidR="00464AD9">
        <w:rPr>
          <w:rFonts w:hint="eastAsia"/>
          <w:noProof/>
          <w:lang w:eastAsia="zh-CN"/>
        </w:rPr>
        <w:t>此款</w:t>
      </w:r>
      <w:r>
        <w:rPr>
          <w:rFonts w:hint="eastAsia"/>
          <w:noProof/>
          <w:lang w:eastAsia="zh-CN"/>
        </w:rPr>
        <w:t>意味着由有关的主管部门来判定其能否遵守第</w:t>
      </w:r>
      <w:r>
        <w:rPr>
          <w:rFonts w:hint="eastAsia"/>
          <w:b/>
          <w:bCs/>
          <w:noProof/>
          <w:lang w:eastAsia="zh-CN"/>
        </w:rPr>
        <w:t>22.8</w:t>
      </w:r>
      <w:r>
        <w:rPr>
          <w:rFonts w:hint="eastAsia"/>
          <w:noProof/>
          <w:lang w:eastAsia="zh-CN"/>
        </w:rPr>
        <w:t>款规定的限值。凡是无线电通信局涉及第</w:t>
      </w:r>
      <w:r>
        <w:rPr>
          <w:rFonts w:hint="eastAsia"/>
          <w:b/>
          <w:bCs/>
          <w:noProof/>
          <w:lang w:eastAsia="zh-CN"/>
        </w:rPr>
        <w:t>22.10</w:t>
      </w:r>
      <w:r>
        <w:rPr>
          <w:rFonts w:hint="eastAsia"/>
          <w:noProof/>
          <w:lang w:eastAsia="zh-CN"/>
        </w:rPr>
        <w:t>款的一致性检查，在检查经度容限的有效性时，无线电通信局只在下述情况下才能形成第</w:t>
      </w:r>
      <w:r>
        <w:rPr>
          <w:rFonts w:hint="eastAsia"/>
          <w:b/>
          <w:bCs/>
          <w:noProof/>
          <w:lang w:eastAsia="zh-CN"/>
        </w:rPr>
        <w:t>11.31</w:t>
      </w:r>
      <w:r>
        <w:rPr>
          <w:rFonts w:hint="eastAsia"/>
          <w:noProof/>
          <w:lang w:eastAsia="zh-CN"/>
        </w:rPr>
        <w:t>款的合格审查结论：</w:t>
      </w:r>
    </w:p>
    <w:p w14:paraId="1F5A32FF" w14:textId="77777777" w:rsidR="00B86FDA" w:rsidRPr="00975709" w:rsidRDefault="00B86FDA" w:rsidP="0067120D">
      <w:pPr>
        <w:pStyle w:val="enumlev1"/>
        <w:rPr>
          <w:noProof/>
          <w:lang w:eastAsia="zh-CN"/>
        </w:rPr>
      </w:pPr>
      <w:r w:rsidRPr="0067120D">
        <w:rPr>
          <w:rFonts w:hint="eastAsia"/>
          <w:i/>
          <w:iCs/>
          <w:noProof/>
          <w:lang w:eastAsia="zh-CN"/>
        </w:rPr>
        <w:t>a</w:t>
      </w:r>
      <w:r w:rsidR="0067120D" w:rsidRPr="0067120D">
        <w:rPr>
          <w:rFonts w:hint="eastAsia"/>
          <w:i/>
          <w:iCs/>
          <w:noProof/>
          <w:lang w:val="en-US" w:eastAsia="zh-CN"/>
        </w:rPr>
        <w:t>)</w:t>
      </w:r>
      <w:r w:rsidRPr="00975709">
        <w:rPr>
          <w:rFonts w:hint="eastAsia"/>
          <w:noProof/>
          <w:lang w:eastAsia="zh-CN"/>
        </w:rPr>
        <w:tab/>
      </w:r>
      <w:r w:rsidRPr="00975709">
        <w:rPr>
          <w:rFonts w:hint="eastAsia"/>
          <w:noProof/>
          <w:lang w:eastAsia="zh-CN"/>
        </w:rPr>
        <w:t>如果容限在±</w:t>
      </w:r>
      <w:r w:rsidRPr="00975709">
        <w:rPr>
          <w:rFonts w:hint="eastAsia"/>
          <w:noProof/>
          <w:lang w:eastAsia="zh-CN"/>
        </w:rPr>
        <w:t>0.1</w:t>
      </w:r>
      <w:r w:rsidRPr="00975709">
        <w:rPr>
          <w:rFonts w:hint="eastAsia"/>
          <w:noProof/>
          <w:lang w:eastAsia="zh-CN"/>
        </w:rPr>
        <w:t>°以内，或</w:t>
      </w:r>
    </w:p>
    <w:p w14:paraId="62632724" w14:textId="77777777" w:rsidR="00B86FDA" w:rsidRPr="00975709" w:rsidRDefault="00B86FDA" w:rsidP="0067120D">
      <w:pPr>
        <w:pStyle w:val="enumlev1"/>
        <w:rPr>
          <w:noProof/>
          <w:lang w:eastAsia="zh-CN"/>
        </w:rPr>
      </w:pPr>
      <w:r w:rsidRPr="0067120D">
        <w:rPr>
          <w:rFonts w:hint="eastAsia"/>
          <w:i/>
          <w:iCs/>
          <w:noProof/>
          <w:lang w:eastAsia="zh-CN"/>
        </w:rPr>
        <w:t>b</w:t>
      </w:r>
      <w:r w:rsidR="0067120D" w:rsidRPr="0067120D">
        <w:rPr>
          <w:rFonts w:hint="eastAsia"/>
          <w:i/>
          <w:iCs/>
          <w:noProof/>
          <w:lang w:eastAsia="zh-CN"/>
        </w:rPr>
        <w:t>)</w:t>
      </w:r>
      <w:r w:rsidRPr="00975709">
        <w:rPr>
          <w:rFonts w:hint="eastAsia"/>
          <w:noProof/>
          <w:lang w:eastAsia="zh-CN"/>
        </w:rPr>
        <w:tab/>
      </w:r>
      <w:r w:rsidRPr="00975709">
        <w:rPr>
          <w:rFonts w:hint="eastAsia"/>
          <w:noProof/>
          <w:lang w:eastAsia="zh-CN"/>
        </w:rPr>
        <w:t>如果主管部门指出其空间站有能力在必要时维持在±</w:t>
      </w:r>
      <w:r w:rsidRPr="00975709">
        <w:rPr>
          <w:rFonts w:hint="eastAsia"/>
          <w:noProof/>
          <w:lang w:eastAsia="zh-CN"/>
        </w:rPr>
        <w:t>0.1</w:t>
      </w:r>
      <w:r w:rsidRPr="00975709">
        <w:rPr>
          <w:rFonts w:hint="eastAsia"/>
          <w:noProof/>
          <w:lang w:eastAsia="zh-CN"/>
        </w:rPr>
        <w:t>º以内。</w:t>
      </w:r>
    </w:p>
    <w:p w14:paraId="10E18D5D" w14:textId="77777777" w:rsidR="00B86FDA" w:rsidRDefault="00B86FDA" w:rsidP="00B86FDA">
      <w:pPr>
        <w:pStyle w:val="Heading8"/>
        <w:rPr>
          <w:noProof/>
          <w:lang w:eastAsia="zh-CN"/>
        </w:rPr>
      </w:pPr>
      <w:r>
        <w:rPr>
          <w:rFonts w:hint="eastAsia"/>
          <w:noProof/>
          <w:lang w:eastAsia="zh-CN"/>
        </w:rPr>
        <w:t>22.14</w:t>
      </w:r>
    </w:p>
    <w:p w14:paraId="37F8D0DF" w14:textId="77777777" w:rsidR="00B86FDA" w:rsidRDefault="00B86FDA" w:rsidP="00975709">
      <w:pPr>
        <w:ind w:firstLine="510"/>
        <w:rPr>
          <w:noProof/>
          <w:lang w:eastAsia="zh-CN"/>
        </w:rPr>
      </w:pPr>
      <w:r>
        <w:rPr>
          <w:rFonts w:hint="eastAsia"/>
          <w:noProof/>
          <w:lang w:eastAsia="zh-CN"/>
        </w:rPr>
        <w:t>关于第</w:t>
      </w:r>
      <w:r>
        <w:rPr>
          <w:rFonts w:hint="eastAsia"/>
          <w:b/>
          <w:bCs/>
          <w:noProof/>
          <w:lang w:eastAsia="zh-CN"/>
        </w:rPr>
        <w:t>22.10</w:t>
      </w:r>
      <w:r>
        <w:rPr>
          <w:rFonts w:hint="eastAsia"/>
          <w:noProof/>
          <w:lang w:eastAsia="zh-CN"/>
        </w:rPr>
        <w:t>款的程序规则的说明适用，将±</w:t>
      </w:r>
      <w:r>
        <w:rPr>
          <w:rFonts w:hint="eastAsia"/>
          <w:noProof/>
          <w:lang w:eastAsia="zh-CN"/>
        </w:rPr>
        <w:t>0.1</w:t>
      </w:r>
      <w:r>
        <w:rPr>
          <w:rFonts w:hint="eastAsia"/>
          <w:noProof/>
          <w:lang w:eastAsia="zh-CN"/>
        </w:rPr>
        <w:t>º替换为±</w:t>
      </w:r>
      <w:r>
        <w:rPr>
          <w:rFonts w:hint="eastAsia"/>
          <w:noProof/>
          <w:lang w:eastAsia="zh-CN"/>
        </w:rPr>
        <w:t>0.5</w:t>
      </w:r>
      <w:r>
        <w:rPr>
          <w:rFonts w:hint="eastAsia"/>
          <w:noProof/>
          <w:lang w:eastAsia="zh-CN"/>
        </w:rPr>
        <w:t>º。</w:t>
      </w:r>
    </w:p>
    <w:p w14:paraId="5F71DBAB" w14:textId="77777777" w:rsidR="00B86FDA" w:rsidRDefault="00B86FDA" w:rsidP="00B86FDA">
      <w:pPr>
        <w:pStyle w:val="Heading8"/>
        <w:rPr>
          <w:noProof/>
          <w:lang w:eastAsia="zh-CN"/>
        </w:rPr>
      </w:pPr>
      <w:r>
        <w:rPr>
          <w:rFonts w:hint="eastAsia"/>
          <w:noProof/>
          <w:lang w:eastAsia="zh-CN"/>
        </w:rPr>
        <w:t>22.19</w:t>
      </w:r>
    </w:p>
    <w:p w14:paraId="2E05151A" w14:textId="4DC5240E" w:rsidR="00B86FDA" w:rsidRDefault="00B86FDA" w:rsidP="00975709">
      <w:pPr>
        <w:ind w:firstLine="510"/>
        <w:rPr>
          <w:noProof/>
          <w:lang w:eastAsia="zh-CN"/>
        </w:rPr>
      </w:pPr>
      <w:r>
        <w:rPr>
          <w:rFonts w:hint="eastAsia"/>
          <w:noProof/>
          <w:lang w:eastAsia="zh-CN"/>
        </w:rPr>
        <w:t>指向精度不需要考虑强制值。主管部门必须指出它的空间站有能力被维持在</w:t>
      </w:r>
      <w:r w:rsidR="00464AD9">
        <w:rPr>
          <w:rFonts w:hint="eastAsia"/>
          <w:noProof/>
          <w:lang w:eastAsia="zh-CN"/>
        </w:rPr>
        <w:t>此款</w:t>
      </w:r>
      <w:r>
        <w:rPr>
          <w:rFonts w:hint="eastAsia"/>
          <w:noProof/>
          <w:lang w:eastAsia="zh-CN"/>
        </w:rPr>
        <w:t>中指出的限值以内。如果缺乏对这种影响的陈述，无线电通信局应根据第</w:t>
      </w:r>
      <w:r>
        <w:rPr>
          <w:rFonts w:hint="eastAsia"/>
          <w:b/>
          <w:bCs/>
          <w:noProof/>
          <w:lang w:eastAsia="zh-CN"/>
        </w:rPr>
        <w:t>11.31</w:t>
      </w:r>
      <w:r>
        <w:rPr>
          <w:rFonts w:hint="eastAsia"/>
          <w:noProof/>
          <w:lang w:eastAsia="zh-CN"/>
        </w:rPr>
        <w:t>款得出不合格的审查结论</w:t>
      </w:r>
      <w:r w:rsidR="00DB7480">
        <w:rPr>
          <w:rFonts w:hint="eastAsia"/>
          <w:noProof/>
          <w:lang w:eastAsia="zh-CN"/>
        </w:rPr>
        <w:t>。</w:t>
      </w:r>
    </w:p>
    <w:p w14:paraId="14074217" w14:textId="77777777" w:rsidR="00B86FDA" w:rsidRDefault="00B86FDA" w:rsidP="00B86FDA">
      <w:pPr>
        <w:rPr>
          <w:noProof/>
          <w:lang w:eastAsia="zh-CN"/>
        </w:rPr>
      </w:pPr>
    </w:p>
    <w:p w14:paraId="757F364F" w14:textId="77777777" w:rsidR="00975709" w:rsidRDefault="00975709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t>______________</w:t>
      </w:r>
    </w:p>
    <w:p w14:paraId="2C535941" w14:textId="77777777" w:rsidR="00B86FDA" w:rsidRDefault="00B86FDA" w:rsidP="00B86FDA">
      <w:pPr>
        <w:rPr>
          <w:noProof/>
          <w:lang w:eastAsia="zh-CN"/>
        </w:rPr>
      </w:pPr>
    </w:p>
    <w:p w14:paraId="2D582771" w14:textId="77777777" w:rsidR="00757CF6" w:rsidRDefault="00757CF6">
      <w:pPr>
        <w:pStyle w:val="MEP"/>
        <w:rPr>
          <w:noProof/>
          <w:lang w:val="en-US" w:eastAsia="zh-CN"/>
        </w:rPr>
      </w:pPr>
    </w:p>
    <w:p w14:paraId="23BBBCAA" w14:textId="77777777" w:rsidR="00757CF6" w:rsidRDefault="00757CF6">
      <w:pPr>
        <w:pStyle w:val="MEP"/>
        <w:rPr>
          <w:noProof/>
          <w:lang w:val="en-US" w:eastAsia="zh-CN"/>
        </w:rPr>
      </w:pPr>
    </w:p>
    <w:p w14:paraId="1C436814" w14:textId="77777777" w:rsidR="00757CF6" w:rsidRDefault="00757CF6">
      <w:pPr>
        <w:pStyle w:val="MEP"/>
        <w:rPr>
          <w:noProof/>
          <w:lang w:val="en-US" w:eastAsia="zh-CN"/>
        </w:rPr>
      </w:pPr>
    </w:p>
    <w:p w14:paraId="196C3ACF" w14:textId="77777777" w:rsidR="00757CF6" w:rsidRDefault="00757CF6">
      <w:pPr>
        <w:pStyle w:val="MEP"/>
        <w:rPr>
          <w:noProof/>
          <w:lang w:val="en-US" w:eastAsia="zh-CN"/>
        </w:rPr>
      </w:pPr>
    </w:p>
    <w:p w14:paraId="54EE8F4D" w14:textId="77777777" w:rsidR="00757CF6" w:rsidRDefault="00757CF6">
      <w:pPr>
        <w:pStyle w:val="MEP"/>
        <w:rPr>
          <w:noProof/>
          <w:lang w:val="en-US" w:eastAsia="zh-CN"/>
        </w:rPr>
      </w:pPr>
    </w:p>
    <w:p w14:paraId="133C087C" w14:textId="77777777" w:rsidR="00757CF6" w:rsidRDefault="00757CF6">
      <w:pPr>
        <w:pStyle w:val="MEP"/>
        <w:rPr>
          <w:noProof/>
          <w:lang w:val="en-US" w:eastAsia="zh-CN"/>
        </w:rPr>
      </w:pPr>
    </w:p>
    <w:p w14:paraId="16306A2E" w14:textId="77777777" w:rsidR="00757CF6" w:rsidRDefault="00757CF6">
      <w:pPr>
        <w:pStyle w:val="MEP"/>
        <w:rPr>
          <w:noProof/>
          <w:lang w:val="en-US" w:eastAsia="zh-CN"/>
        </w:rPr>
        <w:sectPr w:rsidR="00757CF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1186A56F" w14:textId="77777777" w:rsidR="00757CF6" w:rsidRDefault="00757CF6">
      <w:pPr>
        <w:pStyle w:val="MEP"/>
        <w:rPr>
          <w:noProof/>
          <w:lang w:val="en-US" w:eastAsia="zh-CN"/>
        </w:rPr>
      </w:pPr>
    </w:p>
    <w:sectPr w:rsidR="00757CF6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E2C33" w14:textId="77777777" w:rsidR="000D6DEF" w:rsidRDefault="000D6DEF">
      <w:r>
        <w:separator/>
      </w:r>
    </w:p>
  </w:endnote>
  <w:endnote w:type="continuationSeparator" w:id="0">
    <w:p w14:paraId="765D3FF8" w14:textId="77777777" w:rsidR="000D6DEF" w:rsidRDefault="000D6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099000" w14:textId="77777777" w:rsidR="00757CF6" w:rsidRDefault="00757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9C336" w14:textId="77777777" w:rsidR="00757CF6" w:rsidRDefault="00757C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84C4" w14:textId="77777777" w:rsidR="00757CF6" w:rsidRDefault="00757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BAF9F" w14:textId="77777777" w:rsidR="000D6DEF" w:rsidRDefault="000D6DEF">
      <w:r>
        <w:rPr>
          <w:b/>
        </w:rPr>
        <w:t>_______________</w:t>
      </w:r>
    </w:p>
    <w:p w14:paraId="74ED4D30" w14:textId="77777777" w:rsidR="000D6DEF" w:rsidRDefault="000D6DEF"/>
  </w:footnote>
  <w:footnote w:type="continuationSeparator" w:id="0">
    <w:p w14:paraId="5FE97591" w14:textId="77777777" w:rsidR="000D6DEF" w:rsidRDefault="000D6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6BFC0F" w14:textId="77777777" w:rsidR="00757CF6" w:rsidRDefault="00757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551BE" w14:textId="77777777" w:rsidR="00757CF6" w:rsidRDefault="00757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757CF6" w:rsidRPr="00975709" w14:paraId="6E81A894" w14:textId="77777777" w:rsidTr="007371B6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2D0BED" w14:textId="77777777" w:rsidR="00757CF6" w:rsidRPr="00975709" w:rsidRDefault="00757CF6" w:rsidP="00757CF6">
          <w:pPr>
            <w:pStyle w:val="HeaderRegProc"/>
            <w:rPr>
              <w:lang w:val="en-US" w:eastAsia="zh-CN"/>
            </w:rPr>
          </w:pPr>
          <w:r w:rsidRPr="00975709">
            <w:rPr>
              <w:lang w:val="en-US"/>
            </w:rPr>
            <w:t>A1</w:t>
          </w:r>
          <w:r w:rsidRPr="00975709">
            <w:rPr>
              <w:rFonts w:hint="eastAsia"/>
              <w:lang w:val="en-US" w:eastAsia="zh-CN"/>
            </w:rPr>
            <w:t xml:space="preserve"> </w:t>
          </w:r>
          <w:r w:rsidRPr="00975709">
            <w:rPr>
              <w:rFonts w:hint="eastAsia"/>
              <w:lang w:val="en-US"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2F49D4" w14:textId="594B0F3B" w:rsidR="00757CF6" w:rsidRPr="00975709" w:rsidRDefault="00757CF6" w:rsidP="00757CF6">
          <w:pPr>
            <w:pStyle w:val="HeaderRegProc"/>
            <w:rPr>
              <w:lang w:val="en-US" w:eastAsia="zh-CN"/>
            </w:rPr>
          </w:pPr>
          <w:r w:rsidRPr="00975709">
            <w:fldChar w:fldCharType="begin"/>
          </w:r>
          <w:r w:rsidRPr="00975709">
            <w:rPr>
              <w:lang w:val="en-US"/>
            </w:rPr>
            <w:instrText xml:space="preserve"> DOCPROPERTY "Header" \* MERGEFORMAT </w:instrText>
          </w:r>
          <w:r w:rsidRPr="00975709">
            <w:fldChar w:fldCharType="separate"/>
          </w:r>
          <w:r w:rsidR="00400297">
            <w:rPr>
              <w:lang w:val="en-US"/>
            </w:rPr>
            <w:t>AR</w:t>
          </w:r>
          <w:r w:rsidRPr="00975709">
            <w:fldChar w:fldCharType="end"/>
          </w:r>
          <w:r w:rsidRPr="00975709">
            <w:rPr>
              <w:rFonts w:hint="eastAsia"/>
              <w:lang w:eastAsia="zh-CN"/>
            </w:rPr>
            <w:t>22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3035D7" w14:textId="77777777" w:rsidR="00757CF6" w:rsidRPr="00975709" w:rsidRDefault="00757CF6" w:rsidP="00757CF6">
          <w:pPr>
            <w:pStyle w:val="HeaderRegProc"/>
            <w:rPr>
              <w:lang w:val="fr-CH" w:eastAsia="zh-CN"/>
            </w:rPr>
          </w:pPr>
          <w:r w:rsidRPr="00975709">
            <w:rPr>
              <w:rFonts w:hint="eastAsia"/>
              <w:lang w:val="fr-FR" w:eastAsia="zh-CN"/>
            </w:rPr>
            <w:t>第</w:t>
          </w:r>
          <w:r w:rsidRPr="00975709">
            <w:rPr>
              <w:lang w:val="fr-FR"/>
            </w:rPr>
            <w:t xml:space="preserve"> </w:t>
          </w:r>
          <w:r w:rsidRPr="00975709">
            <w:rPr>
              <w:rStyle w:val="PageNumber"/>
            </w:rPr>
            <w:fldChar w:fldCharType="begin"/>
          </w:r>
          <w:r w:rsidRPr="00975709">
            <w:rPr>
              <w:rStyle w:val="PageNumber"/>
            </w:rPr>
            <w:instrText xml:space="preserve"> PAGE </w:instrText>
          </w:r>
          <w:r w:rsidRPr="00975709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975709">
            <w:rPr>
              <w:rStyle w:val="PageNumber"/>
            </w:rPr>
            <w:fldChar w:fldCharType="end"/>
          </w:r>
          <w:r w:rsidRPr="00975709">
            <w:rPr>
              <w:rStyle w:val="PageNumber"/>
              <w:rFonts w:hint="eastAsia"/>
              <w:lang w:eastAsia="zh-CN"/>
            </w:rPr>
            <w:t xml:space="preserve"> </w:t>
          </w:r>
          <w:r w:rsidRPr="00975709"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8E3B31" w14:textId="77777777" w:rsidR="00757CF6" w:rsidRPr="00975709" w:rsidRDefault="00757CF6" w:rsidP="00757CF6">
          <w:pPr>
            <w:pStyle w:val="HeaderRegProc"/>
            <w:rPr>
              <w:rFonts w:hint="eastAsia"/>
              <w:lang w:val="fr-CH" w:eastAsia="zh-CN"/>
            </w:rPr>
          </w:pPr>
          <w:r w:rsidRPr="00975709">
            <w:rPr>
              <w:rFonts w:hint="eastAsia"/>
              <w:lang w:val="fr-CH" w:eastAsia="zh-CN"/>
            </w:rPr>
            <w:t>修订</w:t>
          </w:r>
          <w:r>
            <w:rPr>
              <w:lang w:val="fr-CH" w:eastAsia="zh-CN"/>
            </w:rPr>
            <w:t xml:space="preserve"> </w:t>
          </w:r>
          <w:r>
            <w:rPr>
              <w:rFonts w:hint="eastAsia"/>
              <w:lang w:val="fr-CH" w:eastAsia="zh-CN"/>
            </w:rPr>
            <w:t>5</w:t>
          </w:r>
        </w:p>
      </w:tc>
    </w:tr>
  </w:tbl>
  <w:p w14:paraId="3FF73E95" w14:textId="77777777" w:rsidR="003E6A49" w:rsidRDefault="003E6A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705691" w14:textId="77777777" w:rsidR="00757CF6" w:rsidRDefault="00757CF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A49"/>
    <w:rsid w:val="000D6DEF"/>
    <w:rsid w:val="00336A9F"/>
    <w:rsid w:val="003A4472"/>
    <w:rsid w:val="003E6A49"/>
    <w:rsid w:val="00400297"/>
    <w:rsid w:val="00464AD9"/>
    <w:rsid w:val="0067120D"/>
    <w:rsid w:val="00757CF6"/>
    <w:rsid w:val="008A0321"/>
    <w:rsid w:val="009729AE"/>
    <w:rsid w:val="00975709"/>
    <w:rsid w:val="00A21C38"/>
    <w:rsid w:val="00A97747"/>
    <w:rsid w:val="00B86FDA"/>
    <w:rsid w:val="00CD745A"/>
    <w:rsid w:val="00DB7480"/>
    <w:rsid w:val="00DB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F69BBE"/>
  <w15:docId w15:val="{2D2C7432-D885-4E6A-A80E-B236E173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paragraph" w:customStyle="1" w:styleId="a">
    <w:name w:val="一字线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left="420" w:hangingChars="200" w:hanging="420"/>
    </w:pPr>
    <w:rPr>
      <w:kern w:val="21"/>
      <w:sz w:val="21"/>
      <w:lang w:eastAsia="zh-CN"/>
    </w:rPr>
  </w:style>
  <w:style w:type="paragraph" w:customStyle="1" w:styleId="2">
    <w:name w:val="正文2"/>
    <w:basedOn w:val="Normal"/>
    <w:rsid w:val="00B86FDA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  <w:ind w:firstLine="425"/>
    </w:pPr>
    <w:rPr>
      <w:kern w:val="21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14</TotalTime>
  <Pages>3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关于《无线电规则》第22条的程序规则</vt:lpstr>
    </vt:vector>
  </TitlesOfParts>
  <Manager>CP--3344/DD</Manager>
  <Company>ITU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Article 22</dc:title>
  <dc:subject>Edition 2005</dc:subject>
  <dc:creator>Composition des Publications</dc:creator>
  <cp:keywords>Folios: 1 - 2 (blanc)</cp:keywords>
  <dc:description>Saisie + MEP:   13.05.05/DD_x000d_
Corr.: 19.05.2005/DD (sans)</dc:description>
  <cp:lastModifiedBy>Liu, Sanping</cp:lastModifiedBy>
  <cp:revision>10</cp:revision>
  <cp:lastPrinted>2024-12-04T12:55:00Z</cp:lastPrinted>
  <dcterms:created xsi:type="dcterms:W3CDTF">2012-09-06T13:23:00Z</dcterms:created>
  <dcterms:modified xsi:type="dcterms:W3CDTF">2024-12-04T12:59:00Z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