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9C0BC" w14:textId="00BBCF68" w:rsidR="004458F2" w:rsidRPr="005F5509" w:rsidRDefault="00335C4B" w:rsidP="00A74D77">
      <w:pPr>
        <w:pStyle w:val="Heading1"/>
        <w:spacing w:before="300"/>
        <w:jc w:val="center"/>
        <w:rPr>
          <w:rFonts w:eastAsia="SimSun"/>
          <w:lang w:eastAsia="zh-CN"/>
        </w:rPr>
      </w:pPr>
      <w:r w:rsidRPr="005F5509">
        <w:rPr>
          <w:rFonts w:eastAsia="SimSun"/>
          <w:lang w:eastAsia="zh-CN"/>
        </w:rPr>
        <w:t>关于《无线电规则》</w:t>
      </w:r>
    </w:p>
    <w:p w14:paraId="54F39C53" w14:textId="1C2388AF" w:rsidR="004458F2" w:rsidRPr="005F5509" w:rsidRDefault="00335C4B" w:rsidP="00335C4B">
      <w:pPr>
        <w:pStyle w:val="Heading1"/>
        <w:spacing w:before="300"/>
        <w:jc w:val="center"/>
        <w:rPr>
          <w:rFonts w:eastAsia="SimSun"/>
          <w:lang w:eastAsia="zh-CN"/>
        </w:rPr>
      </w:pPr>
      <w:r w:rsidRPr="005F5509">
        <w:rPr>
          <w:rFonts w:eastAsia="SimSun"/>
          <w:lang w:eastAsia="zh-CN"/>
        </w:rPr>
        <w:t>第</w:t>
      </w:r>
      <w:r w:rsidRPr="005F5509">
        <w:rPr>
          <w:rFonts w:eastAsia="SimSun"/>
          <w:lang w:eastAsia="zh-CN"/>
        </w:rPr>
        <w:t>21</w:t>
      </w:r>
      <w:r w:rsidRPr="005F5509">
        <w:rPr>
          <w:rFonts w:eastAsia="SimSun"/>
          <w:lang w:eastAsia="zh-CN"/>
        </w:rPr>
        <w:t>条的程序规则</w:t>
      </w:r>
    </w:p>
    <w:p w14:paraId="57C059A9" w14:textId="34A2F13A" w:rsidR="00335C4B" w:rsidRPr="00386FCF" w:rsidRDefault="00335C4B" w:rsidP="00386FCF">
      <w:pPr>
        <w:pStyle w:val="Heading8"/>
        <w:tabs>
          <w:tab w:val="clear" w:pos="1134"/>
        </w:tabs>
        <w:spacing w:before="240"/>
        <w:ind w:right="7795"/>
        <w:rPr>
          <w:rFonts w:eastAsia="SimSun"/>
          <w:lang w:eastAsia="zh-CN"/>
        </w:rPr>
      </w:pPr>
      <w:r w:rsidRPr="005F5509">
        <w:rPr>
          <w:rFonts w:eastAsia="SimSun"/>
          <w:szCs w:val="24"/>
          <w:lang w:eastAsia="zh-CN"/>
        </w:rPr>
        <w:t>表</w:t>
      </w:r>
      <w:r w:rsidR="005A21EE" w:rsidRPr="005F5509">
        <w:rPr>
          <w:rFonts w:eastAsia="SimSun"/>
          <w:szCs w:val="24"/>
          <w:lang w:eastAsia="zh-CN"/>
        </w:rPr>
        <w:t xml:space="preserve"> 21-2</w:t>
      </w:r>
    </w:p>
    <w:p w14:paraId="5374AF6C" w14:textId="017A08B3" w:rsidR="005A21EE" w:rsidRPr="00386FCF" w:rsidRDefault="00386FCF" w:rsidP="00386FCF">
      <w:pPr>
        <w:spacing w:before="120"/>
        <w:ind w:firstLineChars="200" w:firstLine="440"/>
        <w:rPr>
          <w:rFonts w:eastAsia="SimSun"/>
          <w:szCs w:val="24"/>
          <w:lang w:eastAsia="zh-CN"/>
        </w:rPr>
      </w:pPr>
      <w:r w:rsidRPr="00386FCF">
        <w:rPr>
          <w:kern w:val="2"/>
          <w:sz w:val="22"/>
          <w:szCs w:val="22"/>
          <w:lang w:eastAsia="zh-CN"/>
        </w:rPr>
        <w:t>表</w:t>
      </w:r>
      <w:r w:rsidRPr="00386FCF">
        <w:rPr>
          <w:rFonts w:eastAsia="Aptos"/>
          <w:b/>
          <w:bCs/>
          <w:kern w:val="2"/>
          <w:sz w:val="22"/>
          <w:szCs w:val="22"/>
          <w:lang w:eastAsia="zh-CN"/>
        </w:rPr>
        <w:t>21-2</w:t>
      </w:r>
      <w:r w:rsidRPr="00386FCF">
        <w:rPr>
          <w:kern w:val="2"/>
          <w:sz w:val="22"/>
          <w:szCs w:val="22"/>
          <w:lang w:eastAsia="zh-CN"/>
        </w:rPr>
        <w:t>规定了空间业务按同等权利与固定和移动业务共用的频段。在这些频段，对卫星接收机的保护是通过第</w:t>
      </w:r>
      <w:r w:rsidRPr="00386FCF">
        <w:rPr>
          <w:rFonts w:eastAsia="Aptos"/>
          <w:b/>
          <w:bCs/>
          <w:kern w:val="2"/>
          <w:sz w:val="22"/>
          <w:szCs w:val="22"/>
          <w:lang w:eastAsia="zh-CN"/>
        </w:rPr>
        <w:t>21.2</w:t>
      </w:r>
      <w:r w:rsidRPr="00386FCF">
        <w:rPr>
          <w:kern w:val="2"/>
          <w:sz w:val="22"/>
          <w:szCs w:val="22"/>
          <w:lang w:eastAsia="zh-CN"/>
        </w:rPr>
        <w:t>至</w:t>
      </w:r>
      <w:r w:rsidRPr="00386FCF">
        <w:rPr>
          <w:rFonts w:eastAsia="Aptos"/>
          <w:b/>
          <w:bCs/>
          <w:kern w:val="2"/>
          <w:sz w:val="22"/>
          <w:szCs w:val="22"/>
          <w:lang w:eastAsia="zh-CN"/>
        </w:rPr>
        <w:t>21.5A</w:t>
      </w:r>
      <w:r w:rsidRPr="00386FCF">
        <w:rPr>
          <w:kern w:val="2"/>
          <w:sz w:val="22"/>
          <w:szCs w:val="22"/>
          <w:lang w:eastAsia="zh-CN"/>
        </w:rPr>
        <w:t>款规定的、适用于地面台站的功率限值来保证的。鉴于任何无线电通信业务台站的通知是以频率指配的形式登记在频率登记总表内（见第</w:t>
      </w:r>
      <w:r w:rsidRPr="00386FCF">
        <w:rPr>
          <w:b/>
          <w:bCs/>
          <w:kern w:val="2"/>
          <w:sz w:val="22"/>
          <w:szCs w:val="22"/>
          <w:lang w:eastAsia="zh-CN"/>
        </w:rPr>
        <w:t>8</w:t>
      </w:r>
      <w:r w:rsidRPr="00386FCF">
        <w:rPr>
          <w:kern w:val="2"/>
          <w:sz w:val="22"/>
          <w:szCs w:val="22"/>
          <w:lang w:eastAsia="zh-CN"/>
        </w:rPr>
        <w:t>和</w:t>
      </w:r>
      <w:r w:rsidRPr="00386FCF">
        <w:rPr>
          <w:b/>
          <w:bCs/>
          <w:kern w:val="2"/>
          <w:sz w:val="22"/>
          <w:szCs w:val="22"/>
          <w:lang w:eastAsia="zh-CN"/>
        </w:rPr>
        <w:t>11</w:t>
      </w:r>
      <w:r w:rsidRPr="00386FCF">
        <w:rPr>
          <w:kern w:val="2"/>
          <w:sz w:val="22"/>
          <w:szCs w:val="22"/>
          <w:lang w:eastAsia="zh-CN"/>
        </w:rPr>
        <w:t>条），委员会得出结论认为，这些功率限值适用于固定和移动业务台站的频率指配，无线电通信局在根据第</w:t>
      </w:r>
      <w:r w:rsidRPr="00386FCF">
        <w:rPr>
          <w:rFonts w:eastAsia="Aptos"/>
          <w:b/>
          <w:bCs/>
          <w:kern w:val="2"/>
          <w:sz w:val="22"/>
          <w:szCs w:val="22"/>
          <w:lang w:eastAsia="zh-CN"/>
        </w:rPr>
        <w:t>11.31</w:t>
      </w:r>
      <w:r w:rsidRPr="00386FCF">
        <w:rPr>
          <w:kern w:val="2"/>
          <w:sz w:val="22"/>
          <w:szCs w:val="22"/>
          <w:lang w:eastAsia="zh-CN"/>
        </w:rPr>
        <w:t>款所述</w:t>
      </w:r>
      <w:r w:rsidRPr="00386FCF">
        <w:rPr>
          <w:kern w:val="2"/>
          <w:sz w:val="22"/>
          <w:szCs w:val="22"/>
          <w:lang w:eastAsia="zh-CN"/>
        </w:rPr>
        <w:t>“</w:t>
      </w:r>
      <w:r w:rsidRPr="00386FCF">
        <w:rPr>
          <w:kern w:val="2"/>
          <w:sz w:val="22"/>
          <w:szCs w:val="22"/>
          <w:lang w:eastAsia="zh-CN"/>
        </w:rPr>
        <w:t>其他条款</w:t>
      </w:r>
      <w:r w:rsidRPr="00386FCF">
        <w:rPr>
          <w:kern w:val="2"/>
          <w:sz w:val="22"/>
          <w:szCs w:val="22"/>
          <w:lang w:eastAsia="zh-CN"/>
        </w:rPr>
        <w:t>”</w:t>
      </w:r>
      <w:r w:rsidRPr="00386FCF">
        <w:rPr>
          <w:kern w:val="2"/>
          <w:sz w:val="22"/>
          <w:szCs w:val="22"/>
          <w:lang w:eastAsia="zh-CN"/>
        </w:rPr>
        <w:t>处理频率指配的过程中核实了这些功率限值，在规则审查过程中必须进行此核实（另见有关第</w:t>
      </w:r>
      <w:r w:rsidRPr="00386FCF">
        <w:rPr>
          <w:b/>
          <w:bCs/>
          <w:kern w:val="2"/>
          <w:sz w:val="22"/>
          <w:szCs w:val="22"/>
          <w:lang w:eastAsia="zh-CN"/>
        </w:rPr>
        <w:t>11.31</w:t>
      </w:r>
      <w:r w:rsidRPr="00386FCF">
        <w:rPr>
          <w:kern w:val="2"/>
          <w:sz w:val="22"/>
          <w:szCs w:val="22"/>
          <w:lang w:eastAsia="zh-CN"/>
        </w:rPr>
        <w:t>款的《程序规则》第</w:t>
      </w:r>
      <w:r w:rsidRPr="00386FCF">
        <w:rPr>
          <w:kern w:val="2"/>
          <w:sz w:val="22"/>
          <w:szCs w:val="22"/>
          <w:lang w:eastAsia="zh-CN"/>
        </w:rPr>
        <w:t>1</w:t>
      </w:r>
      <w:r w:rsidRPr="00386FCF">
        <w:rPr>
          <w:kern w:val="2"/>
          <w:sz w:val="22"/>
          <w:szCs w:val="22"/>
          <w:lang w:eastAsia="zh-CN"/>
        </w:rPr>
        <w:t>节）。</w:t>
      </w:r>
      <w:r>
        <w:rPr>
          <w:sz w:val="16"/>
          <w:szCs w:val="16"/>
          <w:lang w:eastAsia="zh-CN"/>
        </w:rPr>
        <w:t>     </w:t>
      </w:r>
      <w:r w:rsidRPr="00A90E29">
        <w:rPr>
          <w:sz w:val="16"/>
          <w:szCs w:val="16"/>
          <w:lang w:eastAsia="zh-CN"/>
        </w:rPr>
        <w:t>(</w:t>
      </w:r>
      <w:r>
        <w:rPr>
          <w:sz w:val="16"/>
          <w:szCs w:val="16"/>
          <w:lang w:eastAsia="zh-CN"/>
        </w:rPr>
        <w:t>MO</w:t>
      </w:r>
      <w:r w:rsidRPr="00A90E29">
        <w:rPr>
          <w:sz w:val="16"/>
          <w:szCs w:val="16"/>
          <w:lang w:eastAsia="zh-CN"/>
        </w:rPr>
        <w:t>D RRB2</w:t>
      </w:r>
      <w:r>
        <w:rPr>
          <w:sz w:val="16"/>
          <w:szCs w:val="16"/>
          <w:lang w:eastAsia="zh-CN"/>
        </w:rPr>
        <w:t>4</w:t>
      </w:r>
      <w:r w:rsidRPr="00A90E29">
        <w:rPr>
          <w:sz w:val="16"/>
          <w:szCs w:val="16"/>
          <w:lang w:eastAsia="zh-CN"/>
        </w:rPr>
        <w:t>/</w:t>
      </w:r>
      <w:r>
        <w:rPr>
          <w:sz w:val="16"/>
          <w:szCs w:val="16"/>
          <w:lang w:eastAsia="zh-CN"/>
        </w:rPr>
        <w:t>510</w:t>
      </w:r>
      <w:r w:rsidRPr="00A90E29">
        <w:rPr>
          <w:sz w:val="16"/>
          <w:szCs w:val="16"/>
          <w:lang w:eastAsia="zh-CN"/>
        </w:rPr>
        <w:t>)</w:t>
      </w:r>
    </w:p>
    <w:p w14:paraId="3E7A988D" w14:textId="77777777" w:rsidR="004458F2" w:rsidRPr="005F5509" w:rsidRDefault="004458F2">
      <w:pPr>
        <w:pStyle w:val="Heading8"/>
        <w:rPr>
          <w:rFonts w:eastAsia="SimSun"/>
          <w:lang w:eastAsia="zh-CN"/>
        </w:rPr>
      </w:pPr>
      <w:r w:rsidRPr="005F5509">
        <w:rPr>
          <w:rFonts w:eastAsia="SimSun"/>
          <w:lang w:eastAsia="zh-CN"/>
        </w:rPr>
        <w:t>21.11</w:t>
      </w:r>
    </w:p>
    <w:p w14:paraId="76256440" w14:textId="77777777" w:rsidR="00335C4B" w:rsidRPr="005F5509" w:rsidRDefault="00335C4B" w:rsidP="00335C4B">
      <w:pPr>
        <w:rPr>
          <w:rFonts w:eastAsia="SimSun"/>
          <w:lang w:eastAsia="zh-CN"/>
        </w:rPr>
      </w:pPr>
      <w:r w:rsidRPr="005F5509">
        <w:rPr>
          <w:rFonts w:eastAsia="SimSun"/>
          <w:lang w:eastAsia="zh-CN"/>
        </w:rPr>
        <w:t>1</w:t>
      </w:r>
      <w:r w:rsidRPr="005F5509">
        <w:rPr>
          <w:rFonts w:eastAsia="SimSun"/>
          <w:lang w:eastAsia="zh-CN"/>
        </w:rPr>
        <w:tab/>
      </w:r>
      <w:r w:rsidRPr="005F5509">
        <w:rPr>
          <w:rFonts w:eastAsia="SimSun"/>
          <w:lang w:eastAsia="zh-CN"/>
        </w:rPr>
        <w:t>当未得到某一相关主管部门同意时，指配还不符合《无线电规则》的要求。为了确认相关主管部门，无线电通信局应根据第</w:t>
      </w:r>
      <w:r w:rsidRPr="005F5509">
        <w:rPr>
          <w:rFonts w:eastAsia="SimSun"/>
          <w:b/>
          <w:bCs/>
          <w:lang w:eastAsia="zh-CN"/>
        </w:rPr>
        <w:t>21.8</w:t>
      </w:r>
      <w:r w:rsidRPr="005F5509">
        <w:rPr>
          <w:rFonts w:eastAsia="SimSun"/>
          <w:lang w:eastAsia="zh-CN"/>
        </w:rPr>
        <w:t>款指定的门限值在所有方位角计算标称等值线，并将其与通知中</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和天线图共同计算的等值线进行比较。在任何方位角当第二条等值线超过第一条等值线时，本条款规定任何领土落入等值线的主管部门都要求达成协议。这些主管部门将协议传达到无线电通信局是判定第</w:t>
      </w:r>
      <w:r w:rsidRPr="005F5509">
        <w:rPr>
          <w:rFonts w:eastAsia="SimSun"/>
          <w:b/>
          <w:bCs/>
          <w:lang w:eastAsia="zh-CN"/>
        </w:rPr>
        <w:t>11.31</w:t>
      </w:r>
      <w:r w:rsidRPr="005F5509">
        <w:rPr>
          <w:rFonts w:eastAsia="SimSun"/>
          <w:lang w:eastAsia="zh-CN"/>
        </w:rPr>
        <w:t>款审查合格的必要条件。</w:t>
      </w:r>
    </w:p>
    <w:p w14:paraId="7B92ADED" w14:textId="6A50D8DD"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根据此款，</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超过限值</w:t>
      </w:r>
      <w:r w:rsidRPr="005F5509">
        <w:rPr>
          <w:rFonts w:eastAsia="SimSun"/>
          <w:lang w:eastAsia="zh-CN"/>
        </w:rPr>
        <w:t>10 dB</w:t>
      </w:r>
      <w:r w:rsidRPr="005F5509">
        <w:rPr>
          <w:rFonts w:eastAsia="SimSun"/>
          <w:lang w:eastAsia="zh-CN"/>
        </w:rPr>
        <w:t>的频率指配将被认为第</w:t>
      </w:r>
      <w:r w:rsidRPr="005F5509">
        <w:rPr>
          <w:rFonts w:eastAsia="SimSun"/>
          <w:b/>
          <w:bCs/>
          <w:lang w:eastAsia="zh-CN"/>
        </w:rPr>
        <w:t>11.31</w:t>
      </w:r>
      <w:r w:rsidRPr="005F5509">
        <w:rPr>
          <w:rFonts w:eastAsia="SimSun"/>
          <w:lang w:eastAsia="zh-CN"/>
        </w:rPr>
        <w:t>款审查不合格。</w:t>
      </w:r>
    </w:p>
    <w:p w14:paraId="62B3559A" w14:textId="14E7D621" w:rsidR="00335C4B" w:rsidRPr="005F5509" w:rsidRDefault="00335C4B" w:rsidP="00335C4B">
      <w:pPr>
        <w:rPr>
          <w:rFonts w:eastAsia="SimSun"/>
          <w:lang w:eastAsia="zh-CN"/>
        </w:rPr>
      </w:pPr>
    </w:p>
    <w:p w14:paraId="34CC9E0B" w14:textId="77777777" w:rsidR="00386FCF" w:rsidRDefault="00386FCF" w:rsidP="00335C4B">
      <w:pPr>
        <w:rPr>
          <w:rFonts w:eastAsia="SimSun"/>
          <w:lang w:eastAsia="zh-CN"/>
        </w:rPr>
        <w:sectPr w:rsidR="00386FCF">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391E355" w14:textId="77777777" w:rsidR="004458F2" w:rsidRPr="005F5509" w:rsidRDefault="004458F2" w:rsidP="004E7127">
      <w:pPr>
        <w:pStyle w:val="Heading8"/>
        <w:spacing w:before="120"/>
        <w:rPr>
          <w:rFonts w:eastAsia="SimSun"/>
          <w:lang w:eastAsia="zh-CN"/>
        </w:rPr>
      </w:pPr>
      <w:r w:rsidRPr="005F5509">
        <w:rPr>
          <w:rFonts w:eastAsia="SimSun"/>
          <w:lang w:eastAsia="zh-CN"/>
        </w:rPr>
        <w:lastRenderedPageBreak/>
        <w:t>21.14</w:t>
      </w:r>
    </w:p>
    <w:p w14:paraId="66CE521D" w14:textId="77777777" w:rsidR="00335C4B" w:rsidRPr="005F5509" w:rsidRDefault="00335C4B" w:rsidP="00335C4B">
      <w:pPr>
        <w:ind w:firstLine="510"/>
        <w:rPr>
          <w:rFonts w:eastAsia="SimSun"/>
          <w:lang w:eastAsia="zh-CN"/>
        </w:rPr>
      </w:pPr>
      <w:r w:rsidRPr="005F5509">
        <w:rPr>
          <w:rFonts w:eastAsia="SimSun"/>
          <w:lang w:eastAsia="zh-CN"/>
        </w:rPr>
        <w:t>仰角低于</w:t>
      </w:r>
      <w:r w:rsidRPr="005F5509">
        <w:rPr>
          <w:rFonts w:eastAsia="SimSun"/>
          <w:lang w:eastAsia="zh-CN"/>
        </w:rPr>
        <w:t>3°</w:t>
      </w:r>
      <w:r w:rsidRPr="005F5509">
        <w:rPr>
          <w:rFonts w:eastAsia="SimSun"/>
          <w:lang w:eastAsia="zh-CN"/>
        </w:rPr>
        <w:t>将使得水平方向</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较高，理事会决定本规定应和第</w:t>
      </w:r>
      <w:r w:rsidRPr="005F5509">
        <w:rPr>
          <w:rFonts w:eastAsia="SimSun"/>
          <w:b/>
          <w:bCs/>
          <w:lang w:eastAsia="zh-CN"/>
        </w:rPr>
        <w:t>21</w:t>
      </w:r>
      <w:r w:rsidRPr="005F5509">
        <w:rPr>
          <w:rFonts w:eastAsia="SimSun"/>
          <w:lang w:eastAsia="zh-CN"/>
        </w:rPr>
        <w:t>条第</w:t>
      </w:r>
      <w:r w:rsidRPr="005F5509">
        <w:rPr>
          <w:rFonts w:eastAsia="SimSun"/>
          <w:noProof/>
          <w:lang w:eastAsia="zh-CN"/>
        </w:rPr>
        <w:t>三</w:t>
      </w:r>
      <w:r w:rsidRPr="005F5509">
        <w:rPr>
          <w:rFonts w:eastAsia="SimSun"/>
          <w:lang w:eastAsia="zh-CN"/>
        </w:rPr>
        <w:t>节一起应用。这意味着：</w:t>
      </w:r>
    </w:p>
    <w:p w14:paraId="14310DFC" w14:textId="77777777" w:rsidR="00335C4B" w:rsidRPr="005F5509" w:rsidRDefault="00335C4B" w:rsidP="00335C4B">
      <w:pPr>
        <w:ind w:firstLine="510"/>
        <w:rPr>
          <w:rFonts w:eastAsia="SimSun"/>
          <w:lang w:eastAsia="zh-CN"/>
        </w:rPr>
      </w:pPr>
      <w:r w:rsidRPr="005F5509">
        <w:rPr>
          <w:rFonts w:eastAsia="SimSun"/>
          <w:lang w:eastAsia="zh-CN"/>
        </w:rPr>
        <w:t>不考虑地球站的</w:t>
      </w:r>
      <w:proofErr w:type="spellStart"/>
      <w:r w:rsidRPr="005F5509">
        <w:rPr>
          <w:rFonts w:eastAsia="SimSun"/>
          <w:lang w:eastAsia="zh-CN"/>
        </w:rPr>
        <w:t>e.i.r.p</w:t>
      </w:r>
      <w:proofErr w:type="spellEnd"/>
      <w:r w:rsidRPr="005F5509">
        <w:rPr>
          <w:rFonts w:eastAsia="SimSun"/>
          <w:lang w:eastAsia="zh-CN"/>
        </w:rPr>
        <w:t>.</w:t>
      </w:r>
      <w:r w:rsidRPr="005F5509">
        <w:rPr>
          <w:rFonts w:eastAsia="SimSun"/>
          <w:lang w:eastAsia="zh-CN"/>
        </w:rPr>
        <w:t>的数值，仰角低于</w:t>
      </w:r>
      <w:r w:rsidRPr="005F5509">
        <w:rPr>
          <w:rFonts w:eastAsia="SimSun"/>
          <w:lang w:eastAsia="zh-CN"/>
        </w:rPr>
        <w:t>3°</w:t>
      </w:r>
      <w:r w:rsidRPr="005F5509">
        <w:rPr>
          <w:rFonts w:eastAsia="SimSun"/>
          <w:lang w:eastAsia="zh-CN"/>
        </w:rPr>
        <w:t>的情况必须得到相关主管部门的同意。对于接收地球站，为确认相关需要协调的主管部门，以仰角</w:t>
      </w:r>
      <w:r w:rsidRPr="005F5509">
        <w:rPr>
          <w:rFonts w:eastAsia="SimSun"/>
          <w:lang w:eastAsia="zh-CN"/>
        </w:rPr>
        <w:t>3°</w:t>
      </w:r>
      <w:r w:rsidRPr="005F5509">
        <w:rPr>
          <w:rFonts w:eastAsia="SimSun"/>
          <w:lang w:eastAsia="zh-CN"/>
        </w:rPr>
        <w:t>计算标称等值线并与通知仰角等值线进行比较。在任何水平方向当第二条等值线超过第一条等值线时，根据本规定任何领土落入协调区的主管部门都要求达成协议。只有得到通知主管部门间达成正式协议，无线电通信局才做出第</w:t>
      </w:r>
      <w:r w:rsidRPr="005F5509">
        <w:rPr>
          <w:rFonts w:eastAsia="SimSun"/>
          <w:b/>
          <w:bCs/>
          <w:lang w:eastAsia="zh-CN"/>
        </w:rPr>
        <w:t>11.31</w:t>
      </w:r>
      <w:r w:rsidRPr="005F5509">
        <w:rPr>
          <w:rFonts w:eastAsia="SimSun"/>
          <w:lang w:eastAsia="zh-CN"/>
        </w:rPr>
        <w:t>款审查合格的结论。</w:t>
      </w:r>
    </w:p>
    <w:p w14:paraId="38F24228" w14:textId="77777777" w:rsidR="00335C4B" w:rsidRPr="005F5509" w:rsidRDefault="00335C4B" w:rsidP="00335C4B">
      <w:pPr>
        <w:pStyle w:val="Note"/>
        <w:rPr>
          <w:rFonts w:eastAsia="SimSun"/>
          <w:b/>
          <w:bCs/>
          <w:sz w:val="22"/>
          <w:szCs w:val="22"/>
          <w:lang w:eastAsia="zh-CN"/>
        </w:rPr>
      </w:pPr>
      <w:r w:rsidRPr="005F5509">
        <w:rPr>
          <w:rFonts w:eastAsia="SimSun"/>
          <w:b/>
          <w:bCs/>
          <w:sz w:val="22"/>
          <w:szCs w:val="22"/>
          <w:lang w:eastAsia="zh-CN"/>
        </w:rPr>
        <w:t>注：</w:t>
      </w:r>
      <w:r w:rsidRPr="005F5509">
        <w:rPr>
          <w:rFonts w:eastAsia="SimSun"/>
          <w:sz w:val="22"/>
          <w:szCs w:val="22"/>
          <w:lang w:eastAsia="zh-CN"/>
        </w:rPr>
        <w:t>WRC-15</w:t>
      </w:r>
      <w:r w:rsidRPr="005F5509">
        <w:rPr>
          <w:rFonts w:eastAsia="SimSun"/>
          <w:sz w:val="22"/>
          <w:szCs w:val="22"/>
          <w:lang w:eastAsia="zh-CN"/>
        </w:rPr>
        <w:t>第</w:t>
      </w:r>
      <w:r w:rsidRPr="005F5509">
        <w:rPr>
          <w:rFonts w:eastAsia="SimSun"/>
          <w:sz w:val="22"/>
          <w:szCs w:val="22"/>
          <w:lang w:eastAsia="zh-CN"/>
        </w:rPr>
        <w:t>8</w:t>
      </w:r>
      <w:r w:rsidRPr="005F5509">
        <w:rPr>
          <w:rFonts w:eastAsia="SimSun"/>
          <w:sz w:val="22"/>
          <w:szCs w:val="22"/>
          <w:lang w:eastAsia="zh-CN"/>
        </w:rPr>
        <w:t>次全体会议期间就有关第</w:t>
      </w:r>
      <w:r w:rsidRPr="005F5509">
        <w:rPr>
          <w:rFonts w:eastAsia="SimSun"/>
          <w:b/>
          <w:bCs/>
          <w:sz w:val="22"/>
          <w:szCs w:val="22"/>
          <w:lang w:eastAsia="zh-CN"/>
        </w:rPr>
        <w:t>21.14</w:t>
      </w:r>
      <w:r w:rsidRPr="005F5509">
        <w:rPr>
          <w:rFonts w:eastAsia="SimSun"/>
          <w:sz w:val="22"/>
          <w:szCs w:val="22"/>
          <w:lang w:eastAsia="zh-CN"/>
        </w:rPr>
        <w:t>款的《程序规则》做出了决定（</w:t>
      </w:r>
      <w:r w:rsidRPr="005F5509">
        <w:rPr>
          <w:rFonts w:eastAsia="SimSun"/>
          <w:sz w:val="22"/>
          <w:szCs w:val="22"/>
          <w:lang w:eastAsia="zh-CN"/>
        </w:rPr>
        <w:t>CMR15/505</w:t>
      </w:r>
      <w:r w:rsidRPr="005F5509">
        <w:rPr>
          <w:rFonts w:eastAsia="SimSun"/>
          <w:sz w:val="22"/>
          <w:szCs w:val="22"/>
          <w:lang w:eastAsia="zh-CN"/>
        </w:rPr>
        <w:t>号文件第</w:t>
      </w:r>
      <w:r w:rsidRPr="005F5509">
        <w:rPr>
          <w:rFonts w:eastAsia="SimSun"/>
          <w:sz w:val="22"/>
          <w:szCs w:val="22"/>
          <w:lang w:eastAsia="zh-CN"/>
        </w:rPr>
        <w:t>1.39</w:t>
      </w:r>
      <w:r w:rsidRPr="005F5509">
        <w:rPr>
          <w:rFonts w:eastAsia="SimSun"/>
          <w:sz w:val="22"/>
          <w:szCs w:val="22"/>
          <w:lang w:eastAsia="zh-CN"/>
        </w:rPr>
        <w:t>至</w:t>
      </w:r>
      <w:r w:rsidRPr="005F5509">
        <w:rPr>
          <w:rFonts w:eastAsia="SimSun"/>
          <w:sz w:val="22"/>
          <w:szCs w:val="22"/>
          <w:lang w:eastAsia="zh-CN"/>
        </w:rPr>
        <w:t>1.42</w:t>
      </w:r>
      <w:r w:rsidRPr="005F5509">
        <w:rPr>
          <w:rFonts w:eastAsia="SimSun"/>
          <w:sz w:val="22"/>
          <w:szCs w:val="22"/>
          <w:lang w:eastAsia="zh-CN"/>
        </w:rPr>
        <w:t>段），并批准了有关</w:t>
      </w:r>
      <w:r w:rsidRPr="005F5509">
        <w:rPr>
          <w:rFonts w:eastAsia="SimSun"/>
          <w:sz w:val="22"/>
          <w:szCs w:val="22"/>
          <w:lang w:eastAsia="zh-CN"/>
        </w:rPr>
        <w:t>4(Add2)(Rev1)</w:t>
      </w:r>
      <w:r w:rsidRPr="005F5509">
        <w:rPr>
          <w:rFonts w:eastAsia="SimSun"/>
          <w:sz w:val="22"/>
          <w:szCs w:val="22"/>
          <w:lang w:eastAsia="zh-CN"/>
        </w:rPr>
        <w:t>号文件第</w:t>
      </w:r>
      <w:r w:rsidRPr="005F5509">
        <w:rPr>
          <w:rFonts w:eastAsia="SimSun"/>
          <w:sz w:val="22"/>
          <w:szCs w:val="22"/>
          <w:lang w:eastAsia="zh-CN"/>
        </w:rPr>
        <w:t>3.2.5.2.6</w:t>
      </w:r>
      <w:r w:rsidRPr="005F5509">
        <w:rPr>
          <w:rFonts w:eastAsia="SimSun"/>
          <w:sz w:val="22"/>
          <w:szCs w:val="22"/>
          <w:lang w:eastAsia="zh-CN"/>
        </w:rPr>
        <w:t>节的</w:t>
      </w:r>
      <w:r w:rsidRPr="005F5509">
        <w:rPr>
          <w:rFonts w:eastAsia="SimSun"/>
          <w:sz w:val="22"/>
          <w:szCs w:val="22"/>
          <w:lang w:eastAsia="zh-CN"/>
        </w:rPr>
        <w:t>CMR15/416</w:t>
      </w:r>
      <w:r w:rsidRPr="005F5509">
        <w:rPr>
          <w:rFonts w:eastAsia="SimSun"/>
          <w:sz w:val="22"/>
          <w:szCs w:val="22"/>
          <w:lang w:eastAsia="zh-CN"/>
        </w:rPr>
        <w:t>号文件，具体如下：</w:t>
      </w:r>
    </w:p>
    <w:p w14:paraId="40E0C88E" w14:textId="77777777" w:rsidR="00335C4B" w:rsidRPr="005F5509" w:rsidRDefault="00335C4B" w:rsidP="00335C4B">
      <w:pPr>
        <w:pStyle w:val="Note"/>
        <w:rPr>
          <w:rFonts w:eastAsia="STKaiti"/>
          <w:sz w:val="22"/>
          <w:szCs w:val="22"/>
          <w:lang w:eastAsia="zh-CN"/>
        </w:rPr>
      </w:pPr>
      <w:r w:rsidRPr="005F5509">
        <w:rPr>
          <w:rFonts w:ascii="SimSun" w:eastAsia="SimSun" w:hAnsi="SimSun"/>
          <w:sz w:val="22"/>
          <w:szCs w:val="22"/>
          <w:lang w:eastAsia="zh-CN"/>
        </w:rPr>
        <w:t>“</w:t>
      </w:r>
      <w:r w:rsidRPr="005F5509">
        <w:rPr>
          <w:rFonts w:eastAsia="STKaiti"/>
          <w:sz w:val="22"/>
          <w:szCs w:val="22"/>
          <w:lang w:eastAsia="zh-CN"/>
        </w:rPr>
        <w:t>WRC-15</w:t>
      </w:r>
      <w:r w:rsidRPr="005F5509">
        <w:rPr>
          <w:rFonts w:eastAsia="STKaiti"/>
          <w:sz w:val="22"/>
          <w:szCs w:val="22"/>
          <w:lang w:eastAsia="zh-CN"/>
        </w:rPr>
        <w:t>审议了是否在按照第</w:t>
      </w:r>
      <w:r w:rsidRPr="005F5509">
        <w:rPr>
          <w:rFonts w:eastAsia="STKaiti"/>
          <w:b/>
          <w:bCs/>
          <w:sz w:val="22"/>
          <w:szCs w:val="22"/>
          <w:lang w:eastAsia="zh-CN"/>
        </w:rPr>
        <w:t>9.36</w:t>
      </w:r>
      <w:r w:rsidRPr="005F5509">
        <w:rPr>
          <w:rFonts w:eastAsia="STKaiti"/>
          <w:sz w:val="22"/>
          <w:szCs w:val="22"/>
          <w:lang w:eastAsia="zh-CN"/>
        </w:rPr>
        <w:t>和</w:t>
      </w:r>
      <w:r w:rsidRPr="005F5509">
        <w:rPr>
          <w:rFonts w:eastAsia="STKaiti"/>
          <w:b/>
          <w:bCs/>
          <w:sz w:val="22"/>
          <w:szCs w:val="22"/>
          <w:lang w:eastAsia="zh-CN"/>
        </w:rPr>
        <w:t>9.36.2</w:t>
      </w:r>
      <w:r w:rsidRPr="005F5509">
        <w:rPr>
          <w:rFonts w:eastAsia="STKaiti"/>
          <w:sz w:val="22"/>
          <w:szCs w:val="22"/>
          <w:lang w:eastAsia="zh-CN"/>
        </w:rPr>
        <w:t>款确定受影响的主管部门和网络时保持将网格点限制在</w:t>
      </w:r>
      <w:r w:rsidRPr="005F5509">
        <w:rPr>
          <w:rFonts w:eastAsia="STKaiti"/>
          <w:sz w:val="22"/>
          <w:szCs w:val="22"/>
          <w:lang w:eastAsia="zh-CN"/>
        </w:rPr>
        <w:t>3°</w:t>
      </w:r>
      <w:r w:rsidRPr="005F5509">
        <w:rPr>
          <w:rFonts w:eastAsia="STKaiti"/>
          <w:sz w:val="22"/>
          <w:szCs w:val="22"/>
          <w:lang w:eastAsia="zh-CN"/>
        </w:rPr>
        <w:t>仰角的做法或将此扩展至主管部门按照第</w:t>
      </w:r>
      <w:r w:rsidRPr="005F5509">
        <w:rPr>
          <w:rFonts w:eastAsia="STKaiti"/>
          <w:b/>
          <w:bCs/>
          <w:sz w:val="22"/>
          <w:szCs w:val="22"/>
          <w:lang w:eastAsia="zh-CN"/>
        </w:rPr>
        <w:t>9.41</w:t>
      </w:r>
      <w:r w:rsidRPr="005F5509">
        <w:rPr>
          <w:rFonts w:eastAsia="STKaiti"/>
          <w:sz w:val="22"/>
          <w:szCs w:val="22"/>
          <w:lang w:eastAsia="zh-CN"/>
        </w:rPr>
        <w:t>款提出的请求，或将此限制从</w:t>
      </w:r>
      <w:r w:rsidRPr="005F5509">
        <w:rPr>
          <w:rFonts w:eastAsia="STKaiti"/>
          <w:sz w:val="22"/>
          <w:szCs w:val="22"/>
          <w:lang w:eastAsia="zh-CN"/>
        </w:rPr>
        <w:t>GIBC/AP8/PXT</w:t>
      </w:r>
      <w:r w:rsidRPr="005F5509">
        <w:rPr>
          <w:rFonts w:eastAsia="STKaiti"/>
          <w:sz w:val="22"/>
          <w:szCs w:val="22"/>
          <w:lang w:eastAsia="zh-CN"/>
        </w:rPr>
        <w:t>软件中取消。</w:t>
      </w:r>
    </w:p>
    <w:p w14:paraId="7A76B88C" w14:textId="77230165" w:rsidR="005E79E1" w:rsidRPr="005F5509" w:rsidRDefault="00335C4B" w:rsidP="00335C4B">
      <w:pPr>
        <w:rPr>
          <w:rFonts w:eastAsia="SimSun"/>
          <w:i/>
          <w:iCs/>
          <w:lang w:eastAsia="zh-CN"/>
        </w:rPr>
      </w:pPr>
      <w:r w:rsidRPr="005F5509">
        <w:rPr>
          <w:rFonts w:eastAsia="STKaiti"/>
          <w:sz w:val="22"/>
          <w:szCs w:val="22"/>
          <w:lang w:eastAsia="zh-CN"/>
        </w:rPr>
        <w:t>大会决定请无线电通信局取消</w:t>
      </w:r>
      <w:r w:rsidRPr="005F5509">
        <w:rPr>
          <w:rFonts w:eastAsia="STKaiti"/>
          <w:sz w:val="22"/>
          <w:szCs w:val="22"/>
          <w:lang w:eastAsia="zh-CN"/>
        </w:rPr>
        <w:t>3</w:t>
      </w:r>
      <w:r w:rsidRPr="005F5509">
        <w:rPr>
          <w:rFonts w:eastAsia="STKaiti"/>
          <w:sz w:val="22"/>
          <w:szCs w:val="22"/>
          <w:lang w:eastAsia="zh-CN"/>
        </w:rPr>
        <w:t>度限制。</w:t>
      </w:r>
      <w:r w:rsidRPr="005F5509">
        <w:rPr>
          <w:rFonts w:ascii="SimSun" w:eastAsia="SimSun" w:hAnsi="SimSun"/>
          <w:sz w:val="22"/>
          <w:szCs w:val="22"/>
          <w:lang w:eastAsia="zh-CN"/>
        </w:rPr>
        <w:t>”</w:t>
      </w:r>
    </w:p>
    <w:p w14:paraId="3792DE27" w14:textId="77777777" w:rsidR="004458F2" w:rsidRPr="005F5509" w:rsidRDefault="004458F2">
      <w:pPr>
        <w:pStyle w:val="Heading8"/>
        <w:rPr>
          <w:rFonts w:eastAsia="SimSun"/>
          <w:lang w:eastAsia="zh-CN"/>
        </w:rPr>
      </w:pPr>
      <w:r w:rsidRPr="005F5509">
        <w:rPr>
          <w:rFonts w:eastAsia="SimSun"/>
          <w:lang w:eastAsia="zh-CN"/>
        </w:rPr>
        <w:t>21.16</w:t>
      </w:r>
    </w:p>
    <w:p w14:paraId="18614B6C" w14:textId="40C33310" w:rsidR="004458F2" w:rsidRPr="005F5509" w:rsidRDefault="00335C4B">
      <w:pPr>
        <w:pStyle w:val="Headingb"/>
        <w:spacing w:before="240"/>
        <w:rPr>
          <w:rFonts w:eastAsia="SimSun"/>
          <w:lang w:eastAsia="zh-CN"/>
        </w:rPr>
      </w:pPr>
      <w:r w:rsidRPr="005F5509">
        <w:rPr>
          <w:rFonts w:eastAsia="SimSun"/>
          <w:lang w:eastAsia="zh-CN"/>
        </w:rPr>
        <w:t>将功率通量密度限值应用于可调波束</w:t>
      </w:r>
    </w:p>
    <w:p w14:paraId="4C802033" w14:textId="77777777" w:rsidR="00335C4B" w:rsidRPr="005F5509" w:rsidRDefault="00335C4B" w:rsidP="00335C4B">
      <w:pPr>
        <w:rPr>
          <w:rFonts w:eastAsia="SimSun"/>
          <w:lang w:val="en-US" w:eastAsia="zh-CN"/>
        </w:rPr>
      </w:pPr>
      <w:r w:rsidRPr="005F5509">
        <w:rPr>
          <w:rFonts w:eastAsia="SimSun"/>
          <w:lang w:eastAsia="zh-CN"/>
        </w:rPr>
        <w:t>1</w:t>
      </w:r>
      <w:r w:rsidRPr="005F5509">
        <w:rPr>
          <w:rFonts w:eastAsia="SimSun"/>
          <w:lang w:eastAsia="zh-CN"/>
        </w:rPr>
        <w:tab/>
      </w:r>
      <w:r w:rsidRPr="005F5509">
        <w:rPr>
          <w:rFonts w:eastAsia="SimSun"/>
          <w:lang w:eastAsia="zh-CN"/>
        </w:rPr>
        <w:t>可调波束使用已经非常广泛，指配的可调波束产生的</w:t>
      </w:r>
      <w:r w:rsidRPr="005F5509">
        <w:rPr>
          <w:rFonts w:eastAsia="SimSun"/>
          <w:lang w:eastAsia="zh-CN"/>
        </w:rPr>
        <w:t>pdf</w:t>
      </w:r>
      <w:r w:rsidRPr="005F5509">
        <w:rPr>
          <w:rFonts w:eastAsia="SimSun"/>
          <w:lang w:eastAsia="zh-CN"/>
        </w:rPr>
        <w:t>值通常在某些点或所有点超过应用的硬性</w:t>
      </w:r>
      <w:r w:rsidRPr="005F5509">
        <w:rPr>
          <w:rFonts w:eastAsia="SimSun"/>
          <w:lang w:eastAsia="zh-CN"/>
        </w:rPr>
        <w:t>pdf</w:t>
      </w:r>
      <w:r w:rsidRPr="005F5509">
        <w:rPr>
          <w:rFonts w:eastAsia="SimSun"/>
          <w:lang w:eastAsia="zh-CN"/>
        </w:rPr>
        <w:t>限值。在这种情况下，主管部门倾向于规定</w:t>
      </w:r>
      <w:r w:rsidRPr="005F5509">
        <w:rPr>
          <w:rFonts w:eastAsia="SimSun"/>
          <w:lang w:eastAsia="zh-CN"/>
        </w:rPr>
        <w:t>pdf</w:t>
      </w:r>
      <w:r w:rsidRPr="005F5509">
        <w:rPr>
          <w:rFonts w:eastAsia="SimSun"/>
          <w:lang w:eastAsia="zh-CN"/>
        </w:rPr>
        <w:t>值并在某些时候对如何使用提供合适的技术描述。</w:t>
      </w:r>
    </w:p>
    <w:p w14:paraId="2D84A2D0" w14:textId="6C0B2D6F" w:rsidR="004458F2" w:rsidRPr="005F5509" w:rsidRDefault="00335C4B" w:rsidP="00335C4B">
      <w:pPr>
        <w:rPr>
          <w:rFonts w:eastAsia="SimSun"/>
          <w:lang w:eastAsia="zh-CN"/>
        </w:rPr>
      </w:pPr>
      <w:r w:rsidRPr="005F5509">
        <w:rPr>
          <w:rFonts w:eastAsia="SimSun"/>
          <w:lang w:eastAsia="zh-CN"/>
        </w:rPr>
        <w:t>2</w:t>
      </w:r>
      <w:r w:rsidRPr="005F5509">
        <w:rPr>
          <w:rFonts w:eastAsia="SimSun"/>
          <w:lang w:eastAsia="zh-CN"/>
        </w:rPr>
        <w:tab/>
      </w:r>
      <w:r w:rsidRPr="005F5509">
        <w:rPr>
          <w:rFonts w:eastAsia="SimSun"/>
          <w:lang w:eastAsia="zh-CN"/>
        </w:rPr>
        <w:t>为增加透明度，可以通过设置</w:t>
      </w:r>
      <w:r w:rsidRPr="005F5509">
        <w:rPr>
          <w:rFonts w:eastAsia="SimSun"/>
          <w:lang w:eastAsia="zh-CN"/>
        </w:rPr>
        <w:t>pdf</w:t>
      </w:r>
      <w:r w:rsidRPr="005F5509">
        <w:rPr>
          <w:rFonts w:eastAsia="SimSun"/>
          <w:lang w:eastAsia="zh-CN"/>
        </w:rPr>
        <w:t>上限的方法以便提供可被各方接受的</w:t>
      </w:r>
      <w:r w:rsidRPr="005F5509">
        <w:rPr>
          <w:rFonts w:eastAsia="SimSun"/>
          <w:lang w:eastAsia="zh-CN"/>
        </w:rPr>
        <w:t>pdf</w:t>
      </w:r>
      <w:r w:rsidRPr="005F5509">
        <w:rPr>
          <w:rFonts w:eastAsia="SimSun"/>
          <w:lang w:eastAsia="zh-CN"/>
        </w:rPr>
        <w:t>控制扩展方案从而避免</w:t>
      </w:r>
      <w:r w:rsidRPr="005F5509">
        <w:rPr>
          <w:rFonts w:eastAsia="SimSun"/>
          <w:lang w:eastAsia="zh-CN"/>
        </w:rPr>
        <w:t>pdf</w:t>
      </w:r>
      <w:r w:rsidRPr="005F5509">
        <w:rPr>
          <w:rFonts w:eastAsia="SimSun"/>
          <w:lang w:eastAsia="zh-CN"/>
        </w:rPr>
        <w:t>控制方法受制于仰角的限制。理事会决定在相关</w:t>
      </w:r>
      <w:r w:rsidRPr="005F5509">
        <w:rPr>
          <w:rFonts w:eastAsia="SimSun"/>
          <w:lang w:eastAsia="zh-CN"/>
        </w:rPr>
        <w:t>ITU-R</w:t>
      </w:r>
      <w:r w:rsidRPr="005F5509">
        <w:rPr>
          <w:rFonts w:eastAsia="SimSun"/>
          <w:lang w:eastAsia="zh-CN"/>
        </w:rPr>
        <w:t>建议书正式使用之前，下列规则应作为规定的基础加以应用：</w:t>
      </w:r>
    </w:p>
    <w:p w14:paraId="03DAE115" w14:textId="7EF98983" w:rsidR="00335C4B" w:rsidRPr="005F5509" w:rsidRDefault="00335C4B" w:rsidP="00335C4B">
      <w:pPr>
        <w:rPr>
          <w:rFonts w:eastAsia="SimSun"/>
          <w:lang w:eastAsia="zh-CN"/>
        </w:rPr>
      </w:pPr>
    </w:p>
    <w:p w14:paraId="461D7135" w14:textId="77777777" w:rsidR="00335C4B" w:rsidRPr="005F5509" w:rsidRDefault="00335C4B" w:rsidP="00335C4B">
      <w:pPr>
        <w:rPr>
          <w:rFonts w:eastAsia="SimSun"/>
          <w:lang w:eastAsia="zh-CN"/>
        </w:rPr>
      </w:pPr>
    </w:p>
    <w:p w14:paraId="5466E193" w14:textId="77777777" w:rsidR="009135DB" w:rsidRPr="005F5509" w:rsidRDefault="009135DB" w:rsidP="009135DB">
      <w:pPr>
        <w:tabs>
          <w:tab w:val="clear" w:pos="1134"/>
          <w:tab w:val="clear" w:pos="1871"/>
          <w:tab w:val="clear" w:pos="2268"/>
        </w:tabs>
        <w:overflowPunct/>
        <w:autoSpaceDE/>
        <w:autoSpaceDN/>
        <w:adjustRightInd/>
        <w:spacing w:before="0"/>
        <w:jc w:val="left"/>
        <w:textAlignment w:val="auto"/>
        <w:rPr>
          <w:rFonts w:eastAsia="SimSun"/>
          <w:lang w:eastAsia="zh-CN"/>
        </w:rPr>
      </w:pPr>
      <w:r w:rsidRPr="005F5509">
        <w:rPr>
          <w:rFonts w:eastAsia="SimSun"/>
          <w:lang w:eastAsia="zh-CN"/>
        </w:rPr>
        <w:br w:type="page"/>
      </w:r>
    </w:p>
    <w:p w14:paraId="656E7D3A" w14:textId="77777777" w:rsidR="00335C4B" w:rsidRPr="005F5509" w:rsidRDefault="00335C4B" w:rsidP="00335C4B">
      <w:pPr>
        <w:rPr>
          <w:rFonts w:eastAsia="SimSun"/>
          <w:lang w:val="en-US" w:eastAsia="zh-CN"/>
        </w:rPr>
      </w:pPr>
      <w:r w:rsidRPr="005F5509">
        <w:rPr>
          <w:rFonts w:eastAsia="SimSun"/>
          <w:lang w:eastAsia="zh-CN"/>
        </w:rPr>
        <w:lastRenderedPageBreak/>
        <w:t>3</w:t>
      </w:r>
      <w:r w:rsidRPr="005F5509">
        <w:rPr>
          <w:rFonts w:eastAsia="SimSun"/>
          <w:lang w:eastAsia="zh-CN"/>
        </w:rPr>
        <w:tab/>
      </w:r>
      <w:r w:rsidRPr="005F5509">
        <w:rPr>
          <w:rFonts w:eastAsia="SimSun"/>
          <w:lang w:eastAsia="zh-CN"/>
        </w:rPr>
        <w:t>当某卫星网络指配的可调波束超过了应用的硬性</w:t>
      </w:r>
      <w:r w:rsidRPr="005F5509">
        <w:rPr>
          <w:rFonts w:eastAsia="SimSun"/>
          <w:lang w:eastAsia="zh-CN"/>
        </w:rPr>
        <w:t>pdf</w:t>
      </w:r>
      <w:r w:rsidRPr="005F5509">
        <w:rPr>
          <w:rFonts w:eastAsia="SimSun"/>
          <w:lang w:eastAsia="zh-CN"/>
        </w:rPr>
        <w:t>限值时，除附录</w:t>
      </w:r>
      <w:r w:rsidRPr="005F5509">
        <w:rPr>
          <w:rFonts w:eastAsia="SimSun"/>
          <w:b/>
          <w:bCs/>
          <w:lang w:eastAsia="zh-CN"/>
        </w:rPr>
        <w:t>30B</w:t>
      </w:r>
      <w:r w:rsidRPr="005F5509">
        <w:rPr>
          <w:rFonts w:eastAsia="SimSun"/>
          <w:lang w:eastAsia="zh-CN"/>
        </w:rPr>
        <w:t>的频率指配以外，只有在以下情况无线电通信局将判定审查合格：</w:t>
      </w:r>
    </w:p>
    <w:p w14:paraId="5AC71540" w14:textId="77777777" w:rsidR="00335C4B" w:rsidRPr="005F5509" w:rsidRDefault="00335C4B" w:rsidP="00335C4B">
      <w:pPr>
        <w:pStyle w:val="enumlev1"/>
        <w:rPr>
          <w:rFonts w:eastAsia="SimSun"/>
          <w:lang w:eastAsia="zh-CN"/>
        </w:rPr>
      </w:pPr>
      <w:r w:rsidRPr="005F5509">
        <w:rPr>
          <w:rFonts w:eastAsia="SimSun"/>
          <w:i/>
          <w:iCs/>
          <w:lang w:eastAsia="zh-CN"/>
        </w:rPr>
        <w:t>a)</w:t>
      </w:r>
      <w:r w:rsidRPr="005F5509">
        <w:rPr>
          <w:rFonts w:eastAsia="SimSun"/>
          <w:lang w:eastAsia="zh-CN"/>
        </w:rPr>
        <w:tab/>
      </w:r>
      <w:r w:rsidRPr="005F5509">
        <w:rPr>
          <w:rFonts w:eastAsia="SimSun"/>
          <w:lang w:eastAsia="zh-CN"/>
        </w:rPr>
        <w:t>可调波束中至少有一个地点在通知功率密度不做任何减少的情况下满足应用的</w:t>
      </w:r>
      <w:r w:rsidRPr="005F5509">
        <w:rPr>
          <w:rFonts w:eastAsia="SimSun"/>
          <w:lang w:eastAsia="zh-CN"/>
        </w:rPr>
        <w:t>pdf</w:t>
      </w:r>
      <w:r w:rsidRPr="005F5509">
        <w:rPr>
          <w:rFonts w:eastAsia="SimSun"/>
          <w:lang w:eastAsia="zh-CN"/>
        </w:rPr>
        <w:t>限值；并且</w:t>
      </w:r>
    </w:p>
    <w:p w14:paraId="3042267E" w14:textId="228729C5" w:rsidR="004458F2" w:rsidRPr="005F5509" w:rsidRDefault="00335C4B" w:rsidP="00335C4B">
      <w:pPr>
        <w:pStyle w:val="enumlev1"/>
        <w:rPr>
          <w:rFonts w:eastAsia="SimSun"/>
          <w:lang w:eastAsia="zh-CN"/>
        </w:rPr>
      </w:pPr>
      <w:r w:rsidRPr="005F5509">
        <w:rPr>
          <w:rFonts w:eastAsia="SimSun"/>
          <w:i/>
          <w:iCs/>
          <w:lang w:eastAsia="zh-CN"/>
        </w:rPr>
        <w:t>b)</w:t>
      </w:r>
      <w:r w:rsidRPr="005F5509">
        <w:rPr>
          <w:rFonts w:eastAsia="SimSun"/>
          <w:lang w:eastAsia="zh-CN"/>
        </w:rPr>
        <w:tab/>
      </w:r>
      <w:r w:rsidRPr="005F5509">
        <w:rPr>
          <w:rFonts w:eastAsia="SimSun"/>
          <w:lang w:eastAsia="zh-CN"/>
        </w:rPr>
        <w:t>主管部门声明可采用一种方法满足</w:t>
      </w:r>
      <w:r w:rsidRPr="005F5509">
        <w:rPr>
          <w:rFonts w:eastAsia="SimSun"/>
          <w:lang w:eastAsia="zh-CN"/>
        </w:rPr>
        <w:t>pdf</w:t>
      </w:r>
      <w:r w:rsidRPr="005F5509">
        <w:rPr>
          <w:rFonts w:eastAsia="SimSun"/>
          <w:lang w:eastAsia="zh-CN"/>
        </w:rPr>
        <w:t>限值应用的要求，对该方法的描述应提交给无线电通信局。本规则的附件中举例描述了一种可行的方法。</w:t>
      </w:r>
    </w:p>
    <w:p w14:paraId="74CB887C" w14:textId="77777777" w:rsidR="00A74D77" w:rsidRPr="005F5509" w:rsidRDefault="00A74D77" w:rsidP="00A74D77">
      <w:pPr>
        <w:rPr>
          <w:rFonts w:eastAsia="SimSun"/>
          <w:lang w:eastAsia="zh-CN"/>
        </w:rPr>
      </w:pPr>
    </w:p>
    <w:p w14:paraId="3F3FFFA6" w14:textId="2E3E8E48" w:rsidR="004458F2" w:rsidRPr="005F5509" w:rsidRDefault="00335C4B">
      <w:pPr>
        <w:pStyle w:val="Annex"/>
        <w:rPr>
          <w:rFonts w:eastAsia="SimSun"/>
          <w:lang w:eastAsia="zh-CN"/>
        </w:rPr>
      </w:pPr>
      <w:r w:rsidRPr="005F5509">
        <w:rPr>
          <w:rFonts w:eastAsia="SimSun"/>
          <w:lang w:eastAsia="zh-CN"/>
        </w:rPr>
        <w:t>附件</w:t>
      </w:r>
      <w:r w:rsidRPr="005F5509">
        <w:rPr>
          <w:rFonts w:eastAsia="SimSun"/>
          <w:lang w:eastAsia="zh-CN"/>
        </w:rPr>
        <w:t>1</w:t>
      </w:r>
    </w:p>
    <w:p w14:paraId="153F4DDC" w14:textId="45CC1B58" w:rsidR="004458F2" w:rsidRPr="005F5509" w:rsidRDefault="00335C4B" w:rsidP="00A74D77">
      <w:pPr>
        <w:pStyle w:val="AnnexTitle"/>
        <w:rPr>
          <w:rFonts w:eastAsia="SimSun"/>
          <w:lang w:val="en-GB" w:eastAsia="zh-CN"/>
        </w:rPr>
      </w:pPr>
      <w:r w:rsidRPr="005F5509">
        <w:rPr>
          <w:rFonts w:eastAsia="SimSun"/>
          <w:lang w:val="en-GB" w:eastAsia="zh-CN"/>
        </w:rPr>
        <w:t>使用可调波束时满足规定</w:t>
      </w:r>
      <w:r w:rsidRPr="005F5509">
        <w:rPr>
          <w:rFonts w:eastAsia="SimSun"/>
          <w:lang w:val="en-GB" w:eastAsia="zh-CN"/>
        </w:rPr>
        <w:t>pdf</w:t>
      </w:r>
      <w:r w:rsidRPr="005F5509">
        <w:rPr>
          <w:rFonts w:eastAsia="SimSun"/>
          <w:lang w:val="en-GB" w:eastAsia="zh-CN"/>
        </w:rPr>
        <w:t>限值的方法</w:t>
      </w:r>
    </w:p>
    <w:p w14:paraId="60AF3D35" w14:textId="77777777" w:rsidR="00335C4B" w:rsidRPr="005F5509" w:rsidRDefault="00335C4B" w:rsidP="00335C4B">
      <w:pPr>
        <w:pStyle w:val="Normalaftertitle"/>
        <w:ind w:firstLine="510"/>
        <w:rPr>
          <w:rFonts w:eastAsia="SimSun"/>
          <w:lang w:eastAsia="zh-CN"/>
        </w:rPr>
      </w:pPr>
      <w:r w:rsidRPr="005F5509">
        <w:rPr>
          <w:rFonts w:eastAsia="SimSun"/>
          <w:lang w:eastAsia="zh-CN"/>
        </w:rPr>
        <w:t>当卫星网络中使用可调波束时，可能需要对空间站发射功率密度进行调整以在特定波束位置满足规定</w:t>
      </w:r>
      <w:r w:rsidRPr="005F5509">
        <w:rPr>
          <w:rFonts w:eastAsia="SimSun"/>
          <w:lang w:eastAsia="zh-CN"/>
        </w:rPr>
        <w:t>pdf</w:t>
      </w:r>
      <w:r w:rsidRPr="005F5509">
        <w:rPr>
          <w:rFonts w:eastAsia="SimSun"/>
          <w:lang w:eastAsia="zh-CN"/>
        </w:rPr>
        <w:t>限值的应用。在这种情况下，主管部门可以针对每波束中每个指</w:t>
      </w:r>
      <w:proofErr w:type="gramStart"/>
      <w:r w:rsidRPr="005F5509">
        <w:rPr>
          <w:rFonts w:eastAsia="SimSun"/>
          <w:lang w:eastAsia="zh-CN"/>
        </w:rPr>
        <w:t>配以及</w:t>
      </w:r>
      <w:proofErr w:type="gramEnd"/>
      <w:r w:rsidRPr="005F5509">
        <w:rPr>
          <w:rFonts w:eastAsia="SimSun"/>
          <w:lang w:eastAsia="zh-CN"/>
        </w:rPr>
        <w:t>每个特定可调波束点应用以下方法：</w:t>
      </w:r>
    </w:p>
    <w:p w14:paraId="3DCC0CE5" w14:textId="77777777" w:rsidR="00335C4B" w:rsidRPr="005F5509" w:rsidRDefault="00335C4B" w:rsidP="00335C4B">
      <w:pPr>
        <w:rPr>
          <w:rFonts w:eastAsia="SimSun"/>
          <w:lang w:eastAsia="zh-CN"/>
        </w:rPr>
      </w:pPr>
      <w:r w:rsidRPr="00940CCE">
        <w:rPr>
          <w:rFonts w:ascii="STKaiti" w:eastAsia="STKaiti" w:hAnsi="STKaiti"/>
          <w:lang w:eastAsia="zh-CN"/>
        </w:rPr>
        <w:t>第1步</w:t>
      </w:r>
      <w:r w:rsidRPr="005F5509">
        <w:rPr>
          <w:rFonts w:eastAsia="SimSun"/>
          <w:lang w:eastAsia="zh-CN"/>
        </w:rPr>
        <w:t>：对于一个特定波束点，在一幅可显示等仰角线的地球图上绘出波束增益曲线。</w:t>
      </w:r>
    </w:p>
    <w:p w14:paraId="58178395" w14:textId="77777777" w:rsidR="00335C4B" w:rsidRPr="005F5509" w:rsidRDefault="00335C4B" w:rsidP="00335C4B">
      <w:pPr>
        <w:rPr>
          <w:rFonts w:eastAsia="SimSun"/>
          <w:lang w:eastAsia="zh-CN"/>
        </w:rPr>
      </w:pPr>
      <w:r w:rsidRPr="00940CCE">
        <w:rPr>
          <w:rFonts w:ascii="STKaiti" w:eastAsia="STKaiti" w:hAnsi="STKaiti"/>
          <w:lang w:eastAsia="zh-CN"/>
        </w:rPr>
        <w:t>第2步</w:t>
      </w:r>
      <w:r w:rsidRPr="005F5509">
        <w:rPr>
          <w:rFonts w:eastAsia="SimSun"/>
          <w:lang w:eastAsia="zh-CN"/>
        </w:rPr>
        <w:t>：使用通知中特定指配的功率密度决定在地球表面波束峰值点或其他点产生的</w:t>
      </w:r>
      <w:r w:rsidRPr="005F5509">
        <w:rPr>
          <w:rFonts w:eastAsia="SimSun"/>
          <w:lang w:eastAsia="zh-CN"/>
        </w:rPr>
        <w:t>pdf</w:t>
      </w:r>
      <w:r w:rsidRPr="005F5509">
        <w:rPr>
          <w:rFonts w:eastAsia="SimSun"/>
          <w:lang w:eastAsia="zh-CN"/>
        </w:rPr>
        <w:t>值是否超过可应用的</w:t>
      </w:r>
      <w:r w:rsidRPr="005F5509">
        <w:rPr>
          <w:rFonts w:eastAsia="SimSun"/>
          <w:lang w:eastAsia="zh-CN"/>
        </w:rPr>
        <w:t>pdf</w:t>
      </w:r>
      <w:r w:rsidRPr="005F5509">
        <w:rPr>
          <w:rFonts w:eastAsia="SimSun"/>
          <w:lang w:eastAsia="zh-CN"/>
        </w:rPr>
        <w:t>限值。如果超过，则判定超过限制的最大值（例如，找到超过限值的最大点）。</w:t>
      </w:r>
    </w:p>
    <w:p w14:paraId="191FD588" w14:textId="77777777" w:rsidR="00335C4B" w:rsidRPr="005F5509" w:rsidRDefault="00335C4B" w:rsidP="00335C4B">
      <w:pPr>
        <w:rPr>
          <w:rFonts w:eastAsia="SimSun"/>
          <w:lang w:eastAsia="zh-CN"/>
        </w:rPr>
      </w:pPr>
      <w:r w:rsidRPr="00940CCE">
        <w:rPr>
          <w:rFonts w:ascii="STKaiti" w:eastAsia="STKaiti" w:hAnsi="STKaiti"/>
          <w:lang w:eastAsia="zh-CN"/>
        </w:rPr>
        <w:t>第3步</w:t>
      </w:r>
      <w:r w:rsidRPr="005F5509">
        <w:rPr>
          <w:rFonts w:eastAsia="SimSun"/>
          <w:lang w:eastAsia="zh-CN"/>
        </w:rPr>
        <w:t>：指</w:t>
      </w:r>
      <w:proofErr w:type="gramStart"/>
      <w:r w:rsidRPr="005F5509">
        <w:rPr>
          <w:rFonts w:eastAsia="SimSun"/>
          <w:lang w:eastAsia="zh-CN"/>
        </w:rPr>
        <w:t>配操作</w:t>
      </w:r>
      <w:proofErr w:type="gramEnd"/>
      <w:r w:rsidRPr="005F5509">
        <w:rPr>
          <w:rFonts w:eastAsia="SimSun"/>
          <w:lang w:eastAsia="zh-CN"/>
        </w:rPr>
        <w:t>功率密度的调节（例如降低）至少应是第</w:t>
      </w:r>
      <w:r w:rsidRPr="005F5509">
        <w:rPr>
          <w:rFonts w:eastAsia="SimSun"/>
          <w:lang w:eastAsia="zh-CN"/>
        </w:rPr>
        <w:t>2</w:t>
      </w:r>
      <w:r w:rsidRPr="005F5509">
        <w:rPr>
          <w:rFonts w:eastAsia="SimSun"/>
          <w:lang w:eastAsia="zh-CN"/>
        </w:rPr>
        <w:t>步中判定的超过限制的最大值，这样就使得地面上任意点都满足</w:t>
      </w:r>
      <w:r w:rsidRPr="005F5509">
        <w:rPr>
          <w:rFonts w:eastAsia="SimSun"/>
          <w:lang w:eastAsia="zh-CN"/>
        </w:rPr>
        <w:t>pdf</w:t>
      </w:r>
      <w:r w:rsidRPr="005F5509">
        <w:rPr>
          <w:rFonts w:eastAsia="SimSun"/>
          <w:lang w:eastAsia="zh-CN"/>
        </w:rPr>
        <w:t>限值的应用。</w:t>
      </w:r>
    </w:p>
    <w:p w14:paraId="754F732F" w14:textId="32911F08" w:rsidR="00335C4B" w:rsidRPr="005F5509" w:rsidRDefault="0038754C" w:rsidP="00335C4B">
      <w:pPr>
        <w:ind w:firstLine="510"/>
        <w:rPr>
          <w:rFonts w:eastAsia="SimSun"/>
          <w:lang w:eastAsia="zh-CN"/>
        </w:rPr>
      </w:pPr>
      <w:r>
        <w:rPr>
          <w:rFonts w:eastAsia="SimSun" w:hint="eastAsia"/>
          <w:lang w:eastAsia="zh-CN"/>
        </w:rPr>
        <w:t>non-</w:t>
      </w:r>
      <w:r w:rsidR="00335C4B" w:rsidRPr="005F5509">
        <w:rPr>
          <w:rFonts w:eastAsia="SimSun"/>
          <w:lang w:eastAsia="zh-CN"/>
        </w:rPr>
        <w:t>GSO</w:t>
      </w:r>
      <w:r w:rsidR="00335C4B" w:rsidRPr="005F5509">
        <w:rPr>
          <w:rFonts w:eastAsia="SimSun"/>
          <w:lang w:eastAsia="zh-CN"/>
        </w:rPr>
        <w:t>卫星在椭圆轨道上运行时，卫星与地球表面点的距离一直在改变。为了找到超过的最大值，必须对多个卫星轨道位置重复第</w:t>
      </w:r>
      <w:r w:rsidR="00335C4B" w:rsidRPr="005F5509">
        <w:rPr>
          <w:rFonts w:eastAsia="SimSun"/>
          <w:lang w:eastAsia="zh-CN"/>
        </w:rPr>
        <w:t>1</w:t>
      </w:r>
      <w:r w:rsidR="00335C4B" w:rsidRPr="005F5509">
        <w:rPr>
          <w:rFonts w:eastAsia="SimSun"/>
          <w:lang w:eastAsia="zh-CN"/>
        </w:rPr>
        <w:t>步和第</w:t>
      </w:r>
      <w:r w:rsidR="00335C4B" w:rsidRPr="005F5509">
        <w:rPr>
          <w:rFonts w:eastAsia="SimSun"/>
          <w:lang w:eastAsia="zh-CN"/>
        </w:rPr>
        <w:t>2</w:t>
      </w:r>
      <w:r w:rsidR="00335C4B" w:rsidRPr="005F5509">
        <w:rPr>
          <w:rFonts w:eastAsia="SimSun"/>
          <w:lang w:eastAsia="zh-CN"/>
        </w:rPr>
        <w:t>步。</w:t>
      </w:r>
    </w:p>
    <w:p w14:paraId="0661115A" w14:textId="0402B56F" w:rsidR="004458F2" w:rsidRPr="005F5509" w:rsidRDefault="00335C4B" w:rsidP="00335C4B">
      <w:pPr>
        <w:ind w:firstLineChars="200" w:firstLine="480"/>
        <w:rPr>
          <w:rFonts w:eastAsia="SimSun"/>
          <w:lang w:eastAsia="zh-CN"/>
        </w:rPr>
      </w:pPr>
      <w:r w:rsidRPr="005F5509">
        <w:rPr>
          <w:rFonts w:eastAsia="SimSun"/>
          <w:lang w:eastAsia="zh-CN"/>
        </w:rPr>
        <w:t>假设可调波束定点位置如下图所示，方法的应用在其后举例说明。</w:t>
      </w:r>
    </w:p>
    <w:p w14:paraId="54E37021" w14:textId="77777777" w:rsidR="009135DB" w:rsidRPr="005F5509" w:rsidRDefault="009135DB">
      <w:pPr>
        <w:tabs>
          <w:tab w:val="clear" w:pos="1134"/>
          <w:tab w:val="clear" w:pos="1871"/>
          <w:tab w:val="clear" w:pos="2268"/>
        </w:tabs>
        <w:overflowPunct/>
        <w:autoSpaceDE/>
        <w:autoSpaceDN/>
        <w:adjustRightInd/>
        <w:spacing w:before="0"/>
        <w:jc w:val="left"/>
        <w:textAlignment w:val="auto"/>
        <w:rPr>
          <w:rFonts w:eastAsia="SimSun"/>
          <w:lang w:eastAsia="zh-CN"/>
        </w:rPr>
      </w:pPr>
      <w:r w:rsidRPr="005F5509">
        <w:rPr>
          <w:rFonts w:eastAsia="SimSun"/>
          <w:lang w:eastAsia="zh-CN"/>
        </w:rPr>
        <w:br w:type="page"/>
      </w:r>
    </w:p>
    <w:p w14:paraId="345171F0" w14:textId="5D197134" w:rsidR="004458F2" w:rsidRPr="005F5509" w:rsidRDefault="00335C4B" w:rsidP="00565564">
      <w:pPr>
        <w:jc w:val="center"/>
        <w:rPr>
          <w:rFonts w:eastAsia="SimSun"/>
        </w:rPr>
      </w:pPr>
      <w:r w:rsidRPr="005F5509">
        <w:rPr>
          <w:rFonts w:eastAsia="SimSun"/>
          <w:noProof/>
          <w:lang w:val="en-US" w:eastAsia="zh-CN"/>
        </w:rPr>
        <w:lastRenderedPageBreak/>
        <w:drawing>
          <wp:inline distT="0" distB="0" distL="0" distR="0" wp14:anchorId="3418BD45" wp14:editId="3421D0B1">
            <wp:extent cx="3438525" cy="2924175"/>
            <wp:effectExtent l="0" t="0" r="9525" b="9525"/>
            <wp:docPr id="1" name="Picture 1"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8525" cy="2924175"/>
                    </a:xfrm>
                    <a:prstGeom prst="rect">
                      <a:avLst/>
                    </a:prstGeom>
                    <a:noFill/>
                    <a:ln>
                      <a:noFill/>
                    </a:ln>
                  </pic:spPr>
                </pic:pic>
              </a:graphicData>
            </a:graphic>
          </wp:inline>
        </w:drawing>
      </w:r>
    </w:p>
    <w:p w14:paraId="2B02ECA6" w14:textId="77777777" w:rsidR="00335C4B" w:rsidRPr="005F5509" w:rsidRDefault="00335C4B" w:rsidP="00335C4B">
      <w:pPr>
        <w:ind w:firstLine="510"/>
        <w:rPr>
          <w:rFonts w:eastAsia="SimSun"/>
          <w:lang w:eastAsia="zh-CN"/>
        </w:rPr>
      </w:pPr>
      <w:r w:rsidRPr="005F5509">
        <w:rPr>
          <w:rFonts w:eastAsia="SimSun"/>
          <w:lang w:eastAsia="zh-CN"/>
        </w:rPr>
        <w:t>波束峰值点</w:t>
      </w:r>
      <w:r w:rsidRPr="005F5509">
        <w:rPr>
          <w:rFonts w:eastAsia="SimSun"/>
          <w:lang w:eastAsia="zh-CN"/>
        </w:rPr>
        <w:t>A</w:t>
      </w:r>
      <w:r w:rsidRPr="005F5509">
        <w:rPr>
          <w:rFonts w:eastAsia="SimSun"/>
          <w:lang w:eastAsia="zh-CN"/>
        </w:rPr>
        <w:t>的仰角可以通过地理方法计算，</w:t>
      </w:r>
      <w:r w:rsidRPr="005F5509">
        <w:rPr>
          <w:rFonts w:eastAsia="SimSun"/>
          <w:lang w:val="en-US" w:eastAsia="zh-CN"/>
        </w:rPr>
        <w:t>−</w:t>
      </w:r>
      <w:r w:rsidRPr="005F5509">
        <w:rPr>
          <w:rFonts w:eastAsia="SimSun"/>
          <w:lang w:eastAsia="zh-CN"/>
        </w:rPr>
        <w:t>3 dB</w:t>
      </w:r>
      <w:r w:rsidRPr="005F5509">
        <w:rPr>
          <w:rFonts w:eastAsia="SimSun"/>
          <w:lang w:eastAsia="zh-CN"/>
        </w:rPr>
        <w:t>等值线将与</w:t>
      </w:r>
      <w:r w:rsidRPr="005F5509">
        <w:rPr>
          <w:rFonts w:eastAsia="SimSun"/>
          <w:lang w:eastAsia="zh-CN"/>
        </w:rPr>
        <w:t>10°</w:t>
      </w:r>
      <w:r w:rsidRPr="005F5509">
        <w:rPr>
          <w:rFonts w:eastAsia="SimSun"/>
          <w:lang w:eastAsia="zh-CN"/>
        </w:rPr>
        <w:t>仰角线在点</w:t>
      </w:r>
      <w:r w:rsidRPr="005F5509">
        <w:rPr>
          <w:rFonts w:eastAsia="SimSun"/>
          <w:lang w:eastAsia="zh-CN"/>
        </w:rPr>
        <w:t>B</w:t>
      </w:r>
      <w:r w:rsidRPr="005F5509">
        <w:rPr>
          <w:rFonts w:eastAsia="SimSun"/>
          <w:lang w:eastAsia="zh-CN"/>
        </w:rPr>
        <w:t>相切，</w:t>
      </w:r>
      <w:r w:rsidRPr="005F5509">
        <w:rPr>
          <w:rFonts w:eastAsia="SimSun"/>
          <w:lang w:val="en-US" w:eastAsia="zh-CN"/>
        </w:rPr>
        <w:t>−</w:t>
      </w:r>
      <w:r w:rsidRPr="005F5509">
        <w:rPr>
          <w:rFonts w:eastAsia="SimSun"/>
          <w:lang w:eastAsia="zh-CN"/>
        </w:rPr>
        <w:t>4 dB</w:t>
      </w:r>
      <w:r w:rsidRPr="005F5509">
        <w:rPr>
          <w:rFonts w:eastAsia="SimSun"/>
          <w:lang w:eastAsia="zh-CN"/>
        </w:rPr>
        <w:t>等值线将与</w:t>
      </w:r>
      <w:r w:rsidRPr="005F5509">
        <w:rPr>
          <w:rFonts w:eastAsia="SimSun"/>
          <w:lang w:eastAsia="zh-CN"/>
        </w:rPr>
        <w:t>5°</w:t>
      </w:r>
      <w:r w:rsidRPr="005F5509">
        <w:rPr>
          <w:rFonts w:eastAsia="SimSun"/>
          <w:lang w:eastAsia="zh-CN"/>
        </w:rPr>
        <w:t>仰角线在点</w:t>
      </w:r>
      <w:r w:rsidRPr="005F5509">
        <w:rPr>
          <w:rFonts w:eastAsia="SimSun"/>
          <w:lang w:eastAsia="zh-CN"/>
        </w:rPr>
        <w:t>C</w:t>
      </w:r>
      <w:r w:rsidRPr="005F5509">
        <w:rPr>
          <w:rFonts w:eastAsia="SimSun"/>
          <w:lang w:eastAsia="zh-CN"/>
        </w:rPr>
        <w:t>相切。在这些点上的</w:t>
      </w:r>
      <w:r w:rsidRPr="005F5509">
        <w:rPr>
          <w:rFonts w:eastAsia="SimSun"/>
          <w:lang w:eastAsia="zh-CN"/>
        </w:rPr>
        <w:t>pdf</w:t>
      </w:r>
      <w:r w:rsidRPr="005F5509">
        <w:rPr>
          <w:rFonts w:eastAsia="SimSun"/>
          <w:lang w:eastAsia="zh-CN"/>
        </w:rPr>
        <w:t>值、应用的</w:t>
      </w:r>
      <w:r w:rsidRPr="005F5509">
        <w:rPr>
          <w:rFonts w:eastAsia="SimSun"/>
          <w:lang w:eastAsia="zh-CN"/>
        </w:rPr>
        <w:t>pdf</w:t>
      </w:r>
      <w:r w:rsidRPr="005F5509">
        <w:rPr>
          <w:rFonts w:eastAsia="SimSun"/>
          <w:lang w:eastAsia="zh-CN"/>
        </w:rPr>
        <w:t>限值和超过限制的值（如果存在）在下表中给出。这些值对应于</w:t>
      </w:r>
      <w:r w:rsidRPr="005F5509">
        <w:rPr>
          <w:rFonts w:eastAsia="SimSun"/>
          <w:lang w:eastAsia="zh-CN"/>
        </w:rPr>
        <w:t>15 GHz</w:t>
      </w:r>
      <w:r w:rsidRPr="005F5509">
        <w:rPr>
          <w:rFonts w:eastAsia="SimSun"/>
          <w:lang w:eastAsia="zh-CN"/>
        </w:rPr>
        <w:t>以上频率，参考带宽</w:t>
      </w:r>
      <w:r w:rsidRPr="005F5509">
        <w:rPr>
          <w:rFonts w:eastAsia="SimSun"/>
          <w:lang w:eastAsia="zh-CN"/>
        </w:rPr>
        <w:br/>
        <w:t>1 MHz</w:t>
      </w:r>
      <w:r w:rsidRPr="005F5509">
        <w:rPr>
          <w:rFonts w:eastAsia="SimSun"/>
          <w:lang w:eastAsia="zh-CN"/>
        </w:rPr>
        <w:t>。表中数据显示在特定的可调波束位置有必要减少通知功率密度</w:t>
      </w:r>
      <w:r w:rsidRPr="005F5509">
        <w:rPr>
          <w:rFonts w:eastAsia="SimSun"/>
          <w:lang w:eastAsia="zh-CN"/>
        </w:rPr>
        <w:t>2 dB</w:t>
      </w:r>
      <w:r w:rsidRPr="005F5509">
        <w:rPr>
          <w:rFonts w:eastAsia="SimSun"/>
          <w:lang w:eastAsia="zh-CN"/>
        </w:rPr>
        <w:t>以满足规定的</w:t>
      </w:r>
      <w:r w:rsidRPr="005F5509">
        <w:rPr>
          <w:rFonts w:eastAsia="SimSun"/>
          <w:lang w:eastAsia="zh-CN"/>
        </w:rPr>
        <w:t>pdf</w:t>
      </w:r>
      <w:r w:rsidRPr="005F5509">
        <w:rPr>
          <w:rFonts w:eastAsia="SimSun"/>
          <w:lang w:eastAsia="zh-CN"/>
        </w:rPr>
        <w:t>限制。</w:t>
      </w:r>
    </w:p>
    <w:p w14:paraId="2A3D6C2E" w14:textId="77777777" w:rsidR="00335C4B" w:rsidRPr="005F5509" w:rsidRDefault="00335C4B" w:rsidP="00335C4B">
      <w:pPr>
        <w:ind w:firstLine="510"/>
        <w:rPr>
          <w:rFonts w:eastAsia="SimSun"/>
          <w:lang w:eastAsia="zh-CN"/>
        </w:rPr>
      </w:pPr>
    </w:p>
    <w:p w14:paraId="116BEC51" w14:textId="77777777" w:rsidR="00335C4B" w:rsidRPr="005F5509" w:rsidRDefault="00335C4B" w:rsidP="00335C4B">
      <w:pPr>
        <w:tabs>
          <w:tab w:val="clear" w:pos="2268"/>
          <w:tab w:val="left" w:pos="2835"/>
          <w:tab w:val="left" w:pos="5387"/>
        </w:tabs>
        <w:rPr>
          <w:rFonts w:eastAsia="SimSun"/>
          <w:b/>
          <w:bCs/>
          <w:sz w:val="22"/>
          <w:szCs w:val="22"/>
          <w:lang w:eastAsia="zh-CN"/>
        </w:rPr>
      </w:pPr>
      <w:r w:rsidRPr="005F5509">
        <w:rPr>
          <w:rFonts w:eastAsia="SimSun"/>
          <w:sz w:val="22"/>
          <w:szCs w:val="22"/>
          <w:lang w:eastAsia="zh-CN"/>
        </w:rPr>
        <w:t>波束名称：</w:t>
      </w:r>
      <w:r w:rsidRPr="005F5509">
        <w:rPr>
          <w:rFonts w:eastAsia="SimSun"/>
          <w:b/>
          <w:bCs/>
          <w:sz w:val="22"/>
          <w:szCs w:val="22"/>
          <w:lang w:eastAsia="zh-CN"/>
        </w:rPr>
        <w:t>AAR</w:t>
      </w:r>
      <w:r w:rsidRPr="005F5509">
        <w:rPr>
          <w:rFonts w:eastAsia="SimSun"/>
          <w:sz w:val="22"/>
          <w:szCs w:val="22"/>
          <w:lang w:eastAsia="zh-CN"/>
        </w:rPr>
        <w:tab/>
      </w:r>
      <w:r w:rsidRPr="005F5509">
        <w:rPr>
          <w:rFonts w:eastAsia="SimSun"/>
          <w:sz w:val="22"/>
          <w:szCs w:val="22"/>
          <w:lang w:eastAsia="zh-CN"/>
        </w:rPr>
        <w:tab/>
      </w:r>
      <w:r w:rsidRPr="005F5509">
        <w:rPr>
          <w:rFonts w:eastAsia="SimSun"/>
          <w:sz w:val="22"/>
          <w:szCs w:val="22"/>
          <w:lang w:eastAsia="zh-CN"/>
        </w:rPr>
        <w:t>发射：</w:t>
      </w:r>
      <w:r w:rsidRPr="005F5509">
        <w:rPr>
          <w:rFonts w:eastAsia="SimSun"/>
          <w:b/>
          <w:bCs/>
          <w:sz w:val="22"/>
          <w:szCs w:val="22"/>
          <w:lang w:eastAsia="zh-CN"/>
        </w:rPr>
        <w:t>11M7G7W--</w:t>
      </w:r>
      <w:r w:rsidRPr="005F5509">
        <w:rPr>
          <w:rFonts w:eastAsia="SimSun"/>
          <w:sz w:val="22"/>
          <w:szCs w:val="22"/>
          <w:lang w:eastAsia="zh-CN"/>
        </w:rPr>
        <w:tab/>
      </w:r>
      <w:r w:rsidRPr="005F5509">
        <w:rPr>
          <w:rFonts w:eastAsia="SimSun"/>
          <w:sz w:val="22"/>
          <w:szCs w:val="22"/>
          <w:lang w:eastAsia="zh-CN"/>
        </w:rPr>
        <w:t>通知的功率密度：</w:t>
      </w:r>
      <w:r w:rsidRPr="005F5509">
        <w:rPr>
          <w:rFonts w:eastAsia="SimSun"/>
          <w:b/>
          <w:bCs/>
          <w:sz w:val="22"/>
          <w:szCs w:val="22"/>
          <w:lang w:val="en-US" w:eastAsia="zh-CN"/>
        </w:rPr>
        <w:t>−</w:t>
      </w:r>
      <w:r w:rsidRPr="005F5509">
        <w:rPr>
          <w:rFonts w:eastAsia="SimSun"/>
          <w:b/>
          <w:bCs/>
          <w:sz w:val="22"/>
          <w:szCs w:val="22"/>
          <w:lang w:eastAsia="zh-CN"/>
        </w:rPr>
        <w:t>55.7 dB (W/Hz)</w:t>
      </w:r>
    </w:p>
    <w:p w14:paraId="74559D77" w14:textId="77777777" w:rsidR="00335C4B" w:rsidRPr="005F5509" w:rsidRDefault="00335C4B" w:rsidP="00335C4B">
      <w:pPr>
        <w:tabs>
          <w:tab w:val="clear" w:pos="2268"/>
          <w:tab w:val="left" w:pos="2552"/>
          <w:tab w:val="left" w:pos="5103"/>
        </w:tabs>
        <w:spacing w:before="0"/>
        <w:rPr>
          <w:rFonts w:eastAsia="SimSun"/>
          <w:lang w:eastAsia="zh-CN"/>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1461"/>
        <w:gridCol w:w="1461"/>
        <w:gridCol w:w="1462"/>
      </w:tblGrid>
      <w:tr w:rsidR="00335C4B" w:rsidRPr="005F5509" w14:paraId="4C17C2DF" w14:textId="77777777" w:rsidTr="004B23D7">
        <w:tc>
          <w:tcPr>
            <w:tcW w:w="4680" w:type="dxa"/>
          </w:tcPr>
          <w:p w14:paraId="1386C75C" w14:textId="77777777" w:rsidR="00335C4B" w:rsidRPr="005F5509" w:rsidRDefault="00335C4B" w:rsidP="004B23D7">
            <w:pPr>
              <w:pStyle w:val="TableHead"/>
              <w:framePr w:hSpace="180" w:wrap="around" w:vAnchor="text" w:hAnchor="text" w:x="108" w:y="1"/>
              <w:rPr>
                <w:rFonts w:eastAsia="SimSun"/>
                <w:lang w:eastAsia="zh-CN"/>
              </w:rPr>
            </w:pPr>
          </w:p>
        </w:tc>
        <w:tc>
          <w:tcPr>
            <w:tcW w:w="1461" w:type="dxa"/>
          </w:tcPr>
          <w:p w14:paraId="349AC1E8"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A</w:t>
            </w:r>
          </w:p>
        </w:tc>
        <w:tc>
          <w:tcPr>
            <w:tcW w:w="1461" w:type="dxa"/>
          </w:tcPr>
          <w:p w14:paraId="300D9E93"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B</w:t>
            </w:r>
          </w:p>
        </w:tc>
        <w:tc>
          <w:tcPr>
            <w:tcW w:w="1462" w:type="dxa"/>
          </w:tcPr>
          <w:p w14:paraId="15893736" w14:textId="77777777" w:rsidR="00335C4B" w:rsidRPr="005F5509" w:rsidRDefault="00335C4B" w:rsidP="004B23D7">
            <w:pPr>
              <w:pStyle w:val="TableHead"/>
              <w:framePr w:hSpace="180" w:wrap="around" w:vAnchor="text" w:hAnchor="text" w:x="108" w:y="1"/>
              <w:rPr>
                <w:rFonts w:eastAsia="SimSun"/>
                <w:lang w:eastAsia="zh-CN"/>
              </w:rPr>
            </w:pPr>
            <w:r w:rsidRPr="005F5509">
              <w:rPr>
                <w:rFonts w:eastAsia="SimSun"/>
                <w:lang w:eastAsia="zh-CN"/>
              </w:rPr>
              <w:t>点</w:t>
            </w:r>
            <w:r w:rsidRPr="005F5509">
              <w:rPr>
                <w:rFonts w:eastAsia="SimSun"/>
                <w:lang w:eastAsia="zh-CN"/>
              </w:rPr>
              <w:t>C</w:t>
            </w:r>
          </w:p>
        </w:tc>
      </w:tr>
      <w:tr w:rsidR="00335C4B" w:rsidRPr="005F5509" w14:paraId="3D5D615A" w14:textId="77777777" w:rsidTr="004B23D7">
        <w:trPr>
          <w:trHeight w:val="312"/>
        </w:trPr>
        <w:tc>
          <w:tcPr>
            <w:tcW w:w="4680" w:type="dxa"/>
            <w:vAlign w:val="center"/>
          </w:tcPr>
          <w:p w14:paraId="469BBDF4"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1Hz (dB(W/Hz))</w:t>
            </w:r>
          </w:p>
        </w:tc>
        <w:tc>
          <w:tcPr>
            <w:tcW w:w="4384" w:type="dxa"/>
            <w:gridSpan w:val="3"/>
            <w:vAlign w:val="center"/>
          </w:tcPr>
          <w:p w14:paraId="5FD3046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55.7</w:t>
            </w:r>
          </w:p>
        </w:tc>
      </w:tr>
      <w:tr w:rsidR="00335C4B" w:rsidRPr="005F5509" w14:paraId="491499F3" w14:textId="77777777" w:rsidTr="004B23D7">
        <w:trPr>
          <w:trHeight w:val="312"/>
        </w:trPr>
        <w:tc>
          <w:tcPr>
            <w:tcW w:w="4680" w:type="dxa"/>
            <w:vAlign w:val="center"/>
          </w:tcPr>
          <w:p w14:paraId="426C836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通知的功率密度每</w:t>
            </w:r>
            <w:r w:rsidRPr="005F5509">
              <w:rPr>
                <w:rFonts w:eastAsia="SimSun"/>
                <w:lang w:eastAsia="zh-CN"/>
              </w:rPr>
              <w:t>1 MHz (dB(W/ MHz))</w:t>
            </w:r>
          </w:p>
        </w:tc>
        <w:tc>
          <w:tcPr>
            <w:tcW w:w="4384" w:type="dxa"/>
            <w:gridSpan w:val="3"/>
            <w:vAlign w:val="center"/>
          </w:tcPr>
          <w:p w14:paraId="57FABC3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4.3</w:t>
            </w:r>
          </w:p>
        </w:tc>
      </w:tr>
      <w:tr w:rsidR="00335C4B" w:rsidRPr="005F5509" w14:paraId="79B5542C" w14:textId="77777777" w:rsidTr="004B23D7">
        <w:trPr>
          <w:trHeight w:val="312"/>
        </w:trPr>
        <w:tc>
          <w:tcPr>
            <w:tcW w:w="4680" w:type="dxa"/>
            <w:vAlign w:val="center"/>
          </w:tcPr>
          <w:p w14:paraId="3662C9AF"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对应点天线增益</w:t>
            </w:r>
            <w:r w:rsidRPr="005F5509">
              <w:rPr>
                <w:rFonts w:eastAsia="SimSun"/>
                <w:lang w:eastAsia="zh-CN"/>
              </w:rPr>
              <w:t xml:space="preserve"> (</w:t>
            </w:r>
            <w:proofErr w:type="spellStart"/>
            <w:r w:rsidRPr="005F5509">
              <w:rPr>
                <w:rFonts w:eastAsia="SimSun"/>
                <w:lang w:eastAsia="zh-CN"/>
              </w:rPr>
              <w:t>dBi</w:t>
            </w:r>
            <w:proofErr w:type="spellEnd"/>
            <w:r w:rsidRPr="005F5509">
              <w:rPr>
                <w:rFonts w:eastAsia="SimSun"/>
                <w:lang w:eastAsia="zh-CN"/>
              </w:rPr>
              <w:t>)</w:t>
            </w:r>
          </w:p>
        </w:tc>
        <w:tc>
          <w:tcPr>
            <w:tcW w:w="1461" w:type="dxa"/>
            <w:vAlign w:val="center"/>
          </w:tcPr>
          <w:p w14:paraId="06E0003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50.0</w:t>
            </w:r>
          </w:p>
        </w:tc>
        <w:tc>
          <w:tcPr>
            <w:tcW w:w="1461" w:type="dxa"/>
            <w:vAlign w:val="center"/>
          </w:tcPr>
          <w:p w14:paraId="5A74F5F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47.0</w:t>
            </w:r>
          </w:p>
        </w:tc>
        <w:tc>
          <w:tcPr>
            <w:tcW w:w="1462" w:type="dxa"/>
            <w:vAlign w:val="center"/>
          </w:tcPr>
          <w:p w14:paraId="540C5F6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46.0</w:t>
            </w:r>
          </w:p>
        </w:tc>
      </w:tr>
      <w:tr w:rsidR="00335C4B" w:rsidRPr="005F5509" w14:paraId="6B3D5E21" w14:textId="77777777" w:rsidTr="004B23D7">
        <w:trPr>
          <w:trHeight w:val="312"/>
        </w:trPr>
        <w:tc>
          <w:tcPr>
            <w:tcW w:w="4680" w:type="dxa"/>
            <w:vAlign w:val="center"/>
          </w:tcPr>
          <w:p w14:paraId="3C6B270D"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对应点</w:t>
            </w:r>
            <w:proofErr w:type="spellStart"/>
            <w:r w:rsidRPr="005F5509">
              <w:rPr>
                <w:rFonts w:eastAsia="SimSun"/>
                <w:lang w:eastAsia="zh-CN"/>
              </w:rPr>
              <w:t>e.i.r.p</w:t>
            </w:r>
            <w:proofErr w:type="spellEnd"/>
            <w:r w:rsidRPr="005F5509">
              <w:rPr>
                <w:rFonts w:eastAsia="SimSun"/>
                <w:lang w:eastAsia="zh-CN"/>
              </w:rPr>
              <w:t>. (dB(W/1 MHz))</w:t>
            </w:r>
          </w:p>
        </w:tc>
        <w:tc>
          <w:tcPr>
            <w:tcW w:w="1461" w:type="dxa"/>
            <w:vAlign w:val="center"/>
          </w:tcPr>
          <w:p w14:paraId="75C5FC5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54.3</w:t>
            </w:r>
          </w:p>
        </w:tc>
        <w:tc>
          <w:tcPr>
            <w:tcW w:w="1461" w:type="dxa"/>
            <w:vAlign w:val="center"/>
          </w:tcPr>
          <w:p w14:paraId="476F18B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51.3</w:t>
            </w:r>
          </w:p>
        </w:tc>
        <w:tc>
          <w:tcPr>
            <w:tcW w:w="1462" w:type="dxa"/>
            <w:vAlign w:val="center"/>
          </w:tcPr>
          <w:p w14:paraId="0C13B61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50.3</w:t>
            </w:r>
          </w:p>
        </w:tc>
      </w:tr>
      <w:tr w:rsidR="00335C4B" w:rsidRPr="005F5509" w14:paraId="1A2C3990" w14:textId="77777777" w:rsidTr="004B23D7">
        <w:trPr>
          <w:trHeight w:val="312"/>
        </w:trPr>
        <w:tc>
          <w:tcPr>
            <w:tcW w:w="4680" w:type="dxa"/>
            <w:vAlign w:val="center"/>
          </w:tcPr>
          <w:p w14:paraId="2C5106A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路径长度</w:t>
            </w:r>
            <w:r w:rsidRPr="005F5509">
              <w:rPr>
                <w:rFonts w:eastAsia="SimSun"/>
                <w:lang w:val="en-US" w:eastAsia="zh-CN"/>
              </w:rPr>
              <w:t xml:space="preserve"> </w:t>
            </w:r>
            <w:r w:rsidRPr="005F5509">
              <w:rPr>
                <w:rFonts w:eastAsia="SimSun"/>
                <w:lang w:eastAsia="zh-CN"/>
              </w:rPr>
              <w:t>(km)</w:t>
            </w:r>
          </w:p>
        </w:tc>
        <w:tc>
          <w:tcPr>
            <w:tcW w:w="1461" w:type="dxa"/>
            <w:vAlign w:val="center"/>
          </w:tcPr>
          <w:p w14:paraId="3B793FC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39532</w:t>
            </w:r>
          </w:p>
        </w:tc>
        <w:tc>
          <w:tcPr>
            <w:tcW w:w="1461" w:type="dxa"/>
            <w:vAlign w:val="center"/>
          </w:tcPr>
          <w:p w14:paraId="3591CDCE"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40584</w:t>
            </w:r>
          </w:p>
        </w:tc>
        <w:tc>
          <w:tcPr>
            <w:tcW w:w="1462" w:type="dxa"/>
            <w:vAlign w:val="center"/>
          </w:tcPr>
          <w:p w14:paraId="35911700"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41125</w:t>
            </w:r>
          </w:p>
        </w:tc>
      </w:tr>
      <w:tr w:rsidR="00335C4B" w:rsidRPr="005F5509" w14:paraId="61633B27" w14:textId="77777777" w:rsidTr="004B23D7">
        <w:trPr>
          <w:trHeight w:val="312"/>
        </w:trPr>
        <w:tc>
          <w:tcPr>
            <w:tcW w:w="4680" w:type="dxa"/>
            <w:vAlign w:val="center"/>
          </w:tcPr>
          <w:p w14:paraId="2DA905A2"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扩散损耗</w:t>
            </w:r>
            <w:r w:rsidRPr="005F5509">
              <w:rPr>
                <w:rFonts w:eastAsia="SimSun"/>
                <w:lang w:eastAsia="zh-CN"/>
              </w:rPr>
              <w:t>(dB)</w:t>
            </w:r>
          </w:p>
        </w:tc>
        <w:tc>
          <w:tcPr>
            <w:tcW w:w="1461" w:type="dxa"/>
            <w:vAlign w:val="center"/>
          </w:tcPr>
          <w:p w14:paraId="4849D3C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162.9</w:t>
            </w:r>
          </w:p>
        </w:tc>
        <w:tc>
          <w:tcPr>
            <w:tcW w:w="1461" w:type="dxa"/>
            <w:vAlign w:val="center"/>
          </w:tcPr>
          <w:p w14:paraId="534EF893"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163.2</w:t>
            </w:r>
          </w:p>
        </w:tc>
        <w:tc>
          <w:tcPr>
            <w:tcW w:w="1462" w:type="dxa"/>
            <w:vAlign w:val="center"/>
          </w:tcPr>
          <w:p w14:paraId="17A2F37A"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163.3</w:t>
            </w:r>
          </w:p>
        </w:tc>
      </w:tr>
      <w:tr w:rsidR="00335C4B" w:rsidRPr="005F5509" w14:paraId="453DB326" w14:textId="77777777" w:rsidTr="004B23D7">
        <w:trPr>
          <w:trHeight w:val="312"/>
        </w:trPr>
        <w:tc>
          <w:tcPr>
            <w:tcW w:w="4680" w:type="dxa"/>
            <w:vAlign w:val="center"/>
          </w:tcPr>
          <w:p w14:paraId="36E12AF9"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某点产生的</w:t>
            </w:r>
            <w:r w:rsidRPr="005F5509">
              <w:rPr>
                <w:rFonts w:eastAsia="SimSun"/>
                <w:lang w:eastAsia="zh-CN"/>
              </w:rPr>
              <w:t>pdf(dB(W/(m</w:t>
            </w:r>
            <w:r w:rsidRPr="005F5509">
              <w:rPr>
                <w:rFonts w:eastAsia="SimSun"/>
                <w:vertAlign w:val="superscript"/>
                <w:lang w:eastAsia="zh-CN"/>
              </w:rPr>
              <w:t>2</w:t>
            </w:r>
            <w:r w:rsidRPr="005F5509">
              <w:rPr>
                <w:rFonts w:eastAsia="SimSun"/>
                <w:sz w:val="22"/>
                <w:lang w:eastAsia="zh-CN"/>
              </w:rPr>
              <w:t> </w:t>
            </w:r>
            <w:r w:rsidRPr="005F5509">
              <w:rPr>
                <w:rFonts w:eastAsia="SimSun"/>
                <w:lang w:eastAsia="zh-CN"/>
              </w:rPr>
              <w:t>· 1 MHz)))</w:t>
            </w:r>
          </w:p>
        </w:tc>
        <w:tc>
          <w:tcPr>
            <w:tcW w:w="1461" w:type="dxa"/>
            <w:vAlign w:val="center"/>
          </w:tcPr>
          <w:p w14:paraId="773A6A3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108.6</w:t>
            </w:r>
          </w:p>
        </w:tc>
        <w:tc>
          <w:tcPr>
            <w:tcW w:w="1461" w:type="dxa"/>
            <w:vAlign w:val="center"/>
          </w:tcPr>
          <w:p w14:paraId="1708F4E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111.9</w:t>
            </w:r>
          </w:p>
        </w:tc>
        <w:tc>
          <w:tcPr>
            <w:tcW w:w="1462" w:type="dxa"/>
            <w:vAlign w:val="center"/>
          </w:tcPr>
          <w:p w14:paraId="4DA81BC2"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113.0</w:t>
            </w:r>
          </w:p>
        </w:tc>
      </w:tr>
      <w:tr w:rsidR="00335C4B" w:rsidRPr="005F5509" w14:paraId="5B955E31" w14:textId="77777777" w:rsidTr="004B23D7">
        <w:trPr>
          <w:trHeight w:val="312"/>
        </w:trPr>
        <w:tc>
          <w:tcPr>
            <w:tcW w:w="4680" w:type="dxa"/>
            <w:vAlign w:val="center"/>
          </w:tcPr>
          <w:p w14:paraId="6B0E9231"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b/>
                <w:bCs/>
                <w:lang w:eastAsia="zh-CN"/>
              </w:rPr>
              <w:t>21.16</w:t>
            </w:r>
            <w:r w:rsidRPr="005F5509">
              <w:rPr>
                <w:rFonts w:eastAsia="SimSun"/>
                <w:lang w:eastAsia="zh-CN"/>
              </w:rPr>
              <w:t>某点</w:t>
            </w:r>
            <w:r w:rsidRPr="005F5509">
              <w:rPr>
                <w:rFonts w:eastAsia="SimSun"/>
                <w:lang w:eastAsia="zh-CN"/>
              </w:rPr>
              <w:t>pdf</w:t>
            </w:r>
            <w:r w:rsidRPr="005F5509">
              <w:rPr>
                <w:rFonts w:eastAsia="SimSun"/>
                <w:lang w:eastAsia="zh-CN"/>
              </w:rPr>
              <w:t>限值</w:t>
            </w:r>
            <w:r w:rsidRPr="005F5509">
              <w:rPr>
                <w:rFonts w:eastAsia="SimSun"/>
              </w:rPr>
              <w:t>(dB(W/(m</w:t>
            </w:r>
            <w:r w:rsidRPr="005F5509">
              <w:rPr>
                <w:rFonts w:eastAsia="SimSun"/>
                <w:vertAlign w:val="superscript"/>
              </w:rPr>
              <w:t>2</w:t>
            </w:r>
            <w:r w:rsidRPr="005F5509">
              <w:rPr>
                <w:rFonts w:eastAsia="SimSun"/>
                <w:sz w:val="22"/>
              </w:rPr>
              <w:t> </w:t>
            </w:r>
            <w:r w:rsidRPr="005F5509">
              <w:rPr>
                <w:rFonts w:eastAsia="SimSun"/>
              </w:rPr>
              <w:t>· 1 MHz)))</w:t>
            </w:r>
          </w:p>
        </w:tc>
        <w:tc>
          <w:tcPr>
            <w:tcW w:w="1461" w:type="dxa"/>
            <w:vAlign w:val="center"/>
          </w:tcPr>
          <w:p w14:paraId="290B5664"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108.5</w:t>
            </w:r>
          </w:p>
        </w:tc>
        <w:tc>
          <w:tcPr>
            <w:tcW w:w="1461" w:type="dxa"/>
            <w:vAlign w:val="center"/>
          </w:tcPr>
          <w:p w14:paraId="32FE0615"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112.5</w:t>
            </w:r>
          </w:p>
        </w:tc>
        <w:tc>
          <w:tcPr>
            <w:tcW w:w="1462" w:type="dxa"/>
            <w:vAlign w:val="center"/>
          </w:tcPr>
          <w:p w14:paraId="563C1F9B"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115.0</w:t>
            </w:r>
          </w:p>
        </w:tc>
      </w:tr>
      <w:tr w:rsidR="00335C4B" w:rsidRPr="005F5509" w14:paraId="49FE1C64" w14:textId="77777777" w:rsidTr="004B23D7">
        <w:trPr>
          <w:trHeight w:val="312"/>
        </w:trPr>
        <w:tc>
          <w:tcPr>
            <w:tcW w:w="4680" w:type="dxa"/>
            <w:vAlign w:val="center"/>
          </w:tcPr>
          <w:p w14:paraId="0C4B5253"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超过</w:t>
            </w:r>
            <w:r w:rsidRPr="005F5509">
              <w:rPr>
                <w:rFonts w:eastAsia="SimSun"/>
                <w:lang w:eastAsia="zh-CN"/>
              </w:rPr>
              <w:t>pdf</w:t>
            </w:r>
            <w:r w:rsidRPr="005F5509">
              <w:rPr>
                <w:rFonts w:eastAsia="SimSun"/>
                <w:lang w:eastAsia="zh-CN"/>
              </w:rPr>
              <w:t>限制的值</w:t>
            </w:r>
            <w:r w:rsidRPr="005F5509">
              <w:rPr>
                <w:rFonts w:eastAsia="SimSun"/>
                <w:lang w:eastAsia="zh-CN"/>
              </w:rPr>
              <w:t>(dB)</w:t>
            </w:r>
          </w:p>
        </w:tc>
        <w:tc>
          <w:tcPr>
            <w:tcW w:w="1461" w:type="dxa"/>
            <w:vAlign w:val="center"/>
          </w:tcPr>
          <w:p w14:paraId="40A1E96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p>
        </w:tc>
        <w:tc>
          <w:tcPr>
            <w:tcW w:w="1461" w:type="dxa"/>
            <w:vAlign w:val="center"/>
          </w:tcPr>
          <w:p w14:paraId="1E851268"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0.6</w:t>
            </w:r>
          </w:p>
        </w:tc>
        <w:tc>
          <w:tcPr>
            <w:tcW w:w="1462" w:type="dxa"/>
            <w:vAlign w:val="center"/>
          </w:tcPr>
          <w:p w14:paraId="721FD367"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60D10451" w14:textId="77777777" w:rsidTr="004B23D7">
        <w:trPr>
          <w:trHeight w:val="312"/>
        </w:trPr>
        <w:tc>
          <w:tcPr>
            <w:tcW w:w="4680" w:type="dxa"/>
            <w:vAlign w:val="center"/>
          </w:tcPr>
          <w:p w14:paraId="3493F97A"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为满足限制要求的功率密度减少</w:t>
            </w:r>
            <w:r w:rsidRPr="005F5509">
              <w:rPr>
                <w:rFonts w:eastAsia="SimSun"/>
                <w:lang w:eastAsia="zh-CN"/>
              </w:rPr>
              <w:t>(dB)</w:t>
            </w:r>
          </w:p>
        </w:tc>
        <w:tc>
          <w:tcPr>
            <w:tcW w:w="4384" w:type="dxa"/>
            <w:gridSpan w:val="3"/>
            <w:vAlign w:val="center"/>
          </w:tcPr>
          <w:p w14:paraId="2BD68C4C"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eastAsia="zh-CN"/>
              </w:rPr>
              <w:t>2.0</w:t>
            </w:r>
          </w:p>
        </w:tc>
      </w:tr>
      <w:tr w:rsidR="00335C4B" w:rsidRPr="005F5509" w14:paraId="51DD39AA" w14:textId="77777777" w:rsidTr="004B23D7">
        <w:trPr>
          <w:trHeight w:val="312"/>
        </w:trPr>
        <w:tc>
          <w:tcPr>
            <w:tcW w:w="4680" w:type="dxa"/>
            <w:vAlign w:val="center"/>
          </w:tcPr>
          <w:p w14:paraId="4D9F86EB" w14:textId="77777777" w:rsidR="00335C4B" w:rsidRPr="005F5509" w:rsidRDefault="00335C4B" w:rsidP="004B23D7">
            <w:pPr>
              <w:pStyle w:val="TableText"/>
              <w:framePr w:hSpace="180" w:wrap="around" w:vAnchor="text" w:hAnchor="text" w:x="108" w:y="1"/>
              <w:rPr>
                <w:rFonts w:eastAsia="SimSun"/>
                <w:lang w:eastAsia="zh-CN"/>
              </w:rPr>
            </w:pPr>
            <w:r w:rsidRPr="005F5509">
              <w:rPr>
                <w:rFonts w:eastAsia="SimSun"/>
                <w:lang w:eastAsia="zh-CN"/>
              </w:rPr>
              <w:t>在波束位置可使用的最大功率密度</w:t>
            </w:r>
            <w:r w:rsidRPr="005F5509">
              <w:rPr>
                <w:rFonts w:eastAsia="SimSun"/>
                <w:lang w:eastAsia="zh-CN"/>
              </w:rPr>
              <w:t>(dB(W/Hz))</w:t>
            </w:r>
          </w:p>
        </w:tc>
        <w:tc>
          <w:tcPr>
            <w:tcW w:w="4384" w:type="dxa"/>
            <w:gridSpan w:val="3"/>
            <w:vAlign w:val="center"/>
          </w:tcPr>
          <w:p w14:paraId="7C07C9FF" w14:textId="77777777" w:rsidR="00335C4B" w:rsidRPr="005F5509" w:rsidRDefault="00335C4B" w:rsidP="004B23D7">
            <w:pPr>
              <w:pStyle w:val="TableText"/>
              <w:framePr w:hSpace="180" w:wrap="around" w:vAnchor="text" w:hAnchor="text" w:x="108" w:y="1"/>
              <w:jc w:val="center"/>
              <w:rPr>
                <w:rFonts w:eastAsia="SimSun"/>
                <w:lang w:eastAsia="zh-CN"/>
              </w:rPr>
            </w:pPr>
            <w:r w:rsidRPr="005F5509">
              <w:rPr>
                <w:rFonts w:eastAsia="SimSun"/>
                <w:lang w:val="en-US" w:eastAsia="zh-CN"/>
              </w:rPr>
              <w:t>−</w:t>
            </w:r>
            <w:r w:rsidRPr="005F5509">
              <w:rPr>
                <w:rFonts w:eastAsia="SimSun"/>
                <w:lang w:eastAsia="zh-CN"/>
              </w:rPr>
              <w:t>57.7</w:t>
            </w:r>
          </w:p>
        </w:tc>
      </w:tr>
    </w:tbl>
    <w:p w14:paraId="2EFA1CAE" w14:textId="77777777" w:rsidR="00335C4B" w:rsidRPr="005F5509" w:rsidRDefault="00335C4B" w:rsidP="00335C4B">
      <w:pPr>
        <w:rPr>
          <w:rFonts w:eastAsia="SimSun"/>
        </w:rPr>
      </w:pPr>
    </w:p>
    <w:p w14:paraId="295C1CB4" w14:textId="19694C00" w:rsidR="00335C4B" w:rsidRPr="005F5509" w:rsidRDefault="00335C4B" w:rsidP="00335C4B">
      <w:pPr>
        <w:jc w:val="center"/>
        <w:rPr>
          <w:rFonts w:eastAsia="SimSun"/>
        </w:rPr>
      </w:pPr>
      <w:r w:rsidRPr="005F5509">
        <w:rPr>
          <w:rFonts w:eastAsia="SimSun"/>
        </w:rPr>
        <w:t>______________</w:t>
      </w:r>
    </w:p>
    <w:p w14:paraId="0A401F22" w14:textId="77777777" w:rsidR="004458F2" w:rsidRPr="005F5509" w:rsidRDefault="004458F2" w:rsidP="00A74D77">
      <w:pPr>
        <w:rPr>
          <w:rFonts w:eastAsia="SimSun"/>
        </w:rPr>
      </w:pPr>
    </w:p>
    <w:p w14:paraId="58F70430" w14:textId="77777777" w:rsidR="004458F2" w:rsidRPr="005F5509" w:rsidRDefault="004458F2">
      <w:pPr>
        <w:rPr>
          <w:rFonts w:eastAsia="SimSun"/>
        </w:rPr>
        <w:sectPr w:rsidR="004458F2" w:rsidRPr="005F5509">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14:paraId="17687F0E" w14:textId="77777777" w:rsidR="004458F2" w:rsidRPr="005F5509" w:rsidRDefault="004458F2">
      <w:pPr>
        <w:rPr>
          <w:rFonts w:eastAsia="SimSun"/>
        </w:rPr>
      </w:pPr>
    </w:p>
    <w:sectPr w:rsidR="004458F2" w:rsidRPr="005F5509" w:rsidSect="009135DB">
      <w:headerReference w:type="even" r:id="rId11"/>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57A856" w14:textId="77777777" w:rsidR="00607F56" w:rsidRDefault="00607F56">
      <w:r>
        <w:separator/>
      </w:r>
    </w:p>
  </w:endnote>
  <w:endnote w:type="continuationSeparator" w:id="0">
    <w:p w14:paraId="4833EEC8" w14:textId="77777777" w:rsidR="00607F56" w:rsidRDefault="00607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80546B" w14:textId="77777777" w:rsidR="00607F56" w:rsidRDefault="00607F56">
      <w:r>
        <w:rPr>
          <w:b/>
        </w:rPr>
        <w:t>_______________</w:t>
      </w:r>
    </w:p>
    <w:p w14:paraId="0833661D" w14:textId="77777777" w:rsidR="00607F56" w:rsidRDefault="00607F56"/>
  </w:footnote>
  <w:footnote w:type="continuationSeparator" w:id="0">
    <w:p w14:paraId="769B40A5" w14:textId="77777777" w:rsidR="00607F56" w:rsidRDefault="00607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14:paraId="0213B9B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278CD2C0" w14:textId="77777777" w:rsidR="00335C4B" w:rsidRDefault="00335C4B"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607DCE50" w14:textId="21D187FA" w:rsidR="00335C4B" w:rsidRDefault="00335C4B" w:rsidP="00335C4B">
          <w:pPr>
            <w:pStyle w:val="HeaderRegProc"/>
            <w:rPr>
              <w:lang w:val="en-US" w:eastAsia="zh-CN"/>
            </w:rPr>
          </w:pPr>
          <w:r>
            <w:fldChar w:fldCharType="begin"/>
          </w:r>
          <w:r>
            <w:rPr>
              <w:lang w:val="en-US"/>
            </w:rPr>
            <w:instrText xml:space="preserve"> DOCPROPERTY "Header" \* MERGEFORMAT </w:instrText>
          </w:r>
          <w:r>
            <w:fldChar w:fldCharType="separate"/>
          </w:r>
          <w:r w:rsidR="00FC1A7A">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560C69A" w14:textId="77777777" w:rsidR="00335C4B" w:rsidRDefault="00335C4B"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CAFDF3A" w14:textId="77777777" w:rsidR="00335C4B" w:rsidRDefault="00335C4B" w:rsidP="00335C4B">
          <w:pPr>
            <w:pStyle w:val="HeaderRegProc"/>
            <w:rPr>
              <w:lang w:val="fr-CH" w:eastAsia="zh-CN"/>
            </w:rPr>
          </w:pPr>
          <w:r>
            <w:rPr>
              <w:rFonts w:hint="eastAsia"/>
              <w:lang w:val="fr-CH" w:eastAsia="zh-CN"/>
            </w:rPr>
            <w:t>修订</w:t>
          </w:r>
          <w:r>
            <w:rPr>
              <w:lang w:val="fr-CH" w:eastAsia="zh-CN"/>
            </w:rPr>
            <w:t xml:space="preserve"> -</w:t>
          </w:r>
        </w:p>
      </w:tc>
    </w:tr>
  </w:tbl>
  <w:p w14:paraId="39BFE2D5" w14:textId="77777777" w:rsidR="00335C4B" w:rsidRDefault="00335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35C4B" w:rsidRPr="005F5509" w14:paraId="00E9AE3D" w14:textId="77777777" w:rsidTr="004B23D7">
      <w:trPr>
        <w:cantSplit/>
        <w:jc w:val="right"/>
      </w:trPr>
      <w:tc>
        <w:tcPr>
          <w:tcW w:w="1701" w:type="dxa"/>
        </w:tcPr>
        <w:p w14:paraId="7A902085" w14:textId="77777777" w:rsidR="00335C4B" w:rsidRPr="005F5509" w:rsidRDefault="00335C4B"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063C78F2" w14:textId="67F1BCCD" w:rsidR="00335C4B" w:rsidRPr="005F5509" w:rsidRDefault="00335C4B"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FC1A7A">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58F8923C" w14:textId="77777777" w:rsidR="00335C4B" w:rsidRPr="005F5509" w:rsidRDefault="00335C4B"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530EFC16" w14:textId="08A9654C" w:rsidR="00335C4B" w:rsidRPr="005F5509" w:rsidRDefault="00335C4B"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sidR="00386FCF">
            <w:rPr>
              <w:rFonts w:eastAsia="SimSun" w:hint="eastAsia"/>
              <w:lang w:val="fr-CH" w:eastAsia="zh-CN"/>
            </w:rPr>
            <w:t>5</w:t>
          </w:r>
        </w:p>
      </w:tc>
    </w:tr>
  </w:tbl>
  <w:p w14:paraId="47B2F652" w14:textId="77777777" w:rsidR="00DD0362" w:rsidRDefault="00DD0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14:paraId="437B7ACF" w14:textId="77777777" w:rsidTr="004B23D7">
      <w:trPr>
        <w:cantSplit/>
      </w:trPr>
      <w:tc>
        <w:tcPr>
          <w:tcW w:w="1701" w:type="dxa"/>
          <w:tcBorders>
            <w:top w:val="single" w:sz="6" w:space="0" w:color="auto"/>
            <w:left w:val="single" w:sz="6" w:space="0" w:color="auto"/>
            <w:bottom w:val="single" w:sz="6" w:space="0" w:color="auto"/>
            <w:right w:val="single" w:sz="6" w:space="0" w:color="auto"/>
          </w:tcBorders>
        </w:tcPr>
        <w:p w14:paraId="3D8FDAD7" w14:textId="77777777" w:rsidR="00386FCF" w:rsidRDefault="00386FCF" w:rsidP="00335C4B">
          <w:pPr>
            <w:pStyle w:val="HeaderRegProc"/>
            <w:rPr>
              <w:lang w:val="en-US" w:eastAsia="zh-CN"/>
            </w:rPr>
          </w:pPr>
          <w:r>
            <w:rPr>
              <w:lang w:val="en-US"/>
            </w:rPr>
            <w:t xml:space="preserve">A1 </w:t>
          </w:r>
          <w:r>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14:paraId="52CB308A" w14:textId="4EF43DE6" w:rsidR="00386FCF" w:rsidRDefault="00386FCF" w:rsidP="00335C4B">
          <w:pPr>
            <w:pStyle w:val="HeaderRegProc"/>
            <w:rPr>
              <w:lang w:val="en-US" w:eastAsia="zh-CN"/>
            </w:rPr>
          </w:pPr>
          <w:r>
            <w:fldChar w:fldCharType="begin"/>
          </w:r>
          <w:r>
            <w:rPr>
              <w:lang w:val="en-US"/>
            </w:rPr>
            <w:instrText xml:space="preserve"> DOCPROPERTY "Header" \* MERGEFORMAT </w:instrText>
          </w:r>
          <w:r>
            <w:fldChar w:fldCharType="separate"/>
          </w:r>
          <w:r w:rsidR="00FC1A7A">
            <w:rPr>
              <w:lang w:val="en-US"/>
            </w:rPr>
            <w:t>AR</w:t>
          </w:r>
          <w:r>
            <w:fldChar w:fldCharType="end"/>
          </w:r>
          <w:r>
            <w:rPr>
              <w:rFonts w:hint="eastAsia"/>
              <w:lang w:eastAsia="zh-CN"/>
            </w:rPr>
            <w:t>21</w:t>
          </w:r>
        </w:p>
      </w:tc>
      <w:tc>
        <w:tcPr>
          <w:tcW w:w="1701" w:type="dxa"/>
          <w:tcBorders>
            <w:top w:val="single" w:sz="6" w:space="0" w:color="auto"/>
            <w:left w:val="single" w:sz="6" w:space="0" w:color="auto"/>
            <w:bottom w:val="single" w:sz="6" w:space="0" w:color="auto"/>
            <w:right w:val="single" w:sz="6" w:space="0" w:color="auto"/>
          </w:tcBorders>
        </w:tcPr>
        <w:p w14:paraId="5811EE15" w14:textId="77777777" w:rsidR="00386FCF" w:rsidRDefault="00386FCF" w:rsidP="00335C4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2E76E33" w14:textId="77777777" w:rsidR="00386FCF" w:rsidRDefault="00386FCF" w:rsidP="00335C4B">
          <w:pPr>
            <w:pStyle w:val="HeaderRegProc"/>
            <w:rPr>
              <w:lang w:val="fr-CH" w:eastAsia="zh-CN"/>
            </w:rPr>
          </w:pPr>
          <w:r>
            <w:rPr>
              <w:rFonts w:hint="eastAsia"/>
              <w:lang w:val="fr-CH" w:eastAsia="zh-CN"/>
            </w:rPr>
            <w:t>修订</w:t>
          </w:r>
          <w:r>
            <w:rPr>
              <w:lang w:val="fr-CH" w:eastAsia="zh-CN"/>
            </w:rPr>
            <w:t xml:space="preserve"> -</w:t>
          </w:r>
        </w:p>
      </w:tc>
    </w:tr>
  </w:tbl>
  <w:p w14:paraId="732340B2" w14:textId="77777777" w:rsidR="00386FCF" w:rsidRDefault="00386F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01"/>
      <w:gridCol w:w="1701"/>
      <w:gridCol w:w="1701"/>
      <w:gridCol w:w="1701"/>
    </w:tblGrid>
    <w:tr w:rsidR="00386FCF" w:rsidRPr="005F5509" w14:paraId="60D7E9FB" w14:textId="77777777" w:rsidTr="004B23D7">
      <w:trPr>
        <w:cantSplit/>
        <w:jc w:val="right"/>
      </w:trPr>
      <w:tc>
        <w:tcPr>
          <w:tcW w:w="1701" w:type="dxa"/>
        </w:tcPr>
        <w:p w14:paraId="76A30B85" w14:textId="77777777" w:rsidR="00386FCF" w:rsidRPr="005F5509" w:rsidRDefault="00386FCF" w:rsidP="00335C4B">
          <w:pPr>
            <w:pStyle w:val="HeaderRegProc"/>
            <w:rPr>
              <w:rFonts w:eastAsia="SimSun"/>
              <w:lang w:val="en-US" w:eastAsia="zh-CN"/>
            </w:rPr>
          </w:pPr>
          <w:r w:rsidRPr="005F5509">
            <w:rPr>
              <w:rFonts w:eastAsia="SimSun"/>
              <w:lang w:val="en-US"/>
            </w:rPr>
            <w:t xml:space="preserve">A1 </w:t>
          </w:r>
          <w:r w:rsidRPr="005F5509">
            <w:rPr>
              <w:rFonts w:eastAsia="SimSun"/>
              <w:lang w:val="en-US" w:eastAsia="zh-CN"/>
            </w:rPr>
            <w:t>部分</w:t>
          </w:r>
        </w:p>
      </w:tc>
      <w:tc>
        <w:tcPr>
          <w:tcW w:w="1701" w:type="dxa"/>
        </w:tcPr>
        <w:p w14:paraId="67FDDCCF" w14:textId="55A8E922" w:rsidR="00386FCF" w:rsidRPr="005F5509" w:rsidRDefault="00386FCF" w:rsidP="00335C4B">
          <w:pPr>
            <w:pStyle w:val="HeaderRegProc"/>
            <w:rPr>
              <w:rFonts w:eastAsia="SimSun"/>
              <w:lang w:val="en-US" w:eastAsia="zh-CN"/>
            </w:rPr>
          </w:pPr>
          <w:r w:rsidRPr="005F5509">
            <w:rPr>
              <w:rFonts w:eastAsia="SimSun"/>
            </w:rPr>
            <w:fldChar w:fldCharType="begin"/>
          </w:r>
          <w:r w:rsidRPr="005F5509">
            <w:rPr>
              <w:rFonts w:eastAsia="SimSun"/>
              <w:lang w:val="en-US"/>
            </w:rPr>
            <w:instrText xml:space="preserve"> DOCPROPERTY "Header" \* MERGEFORMAT </w:instrText>
          </w:r>
          <w:r w:rsidRPr="005F5509">
            <w:rPr>
              <w:rFonts w:eastAsia="SimSun"/>
            </w:rPr>
            <w:fldChar w:fldCharType="separate"/>
          </w:r>
          <w:r w:rsidR="00FC1A7A">
            <w:rPr>
              <w:rFonts w:eastAsia="SimSun"/>
              <w:lang w:val="en-US"/>
            </w:rPr>
            <w:t>AR</w:t>
          </w:r>
          <w:r w:rsidRPr="005F5509">
            <w:rPr>
              <w:rFonts w:eastAsia="SimSun"/>
            </w:rPr>
            <w:fldChar w:fldCharType="end"/>
          </w:r>
          <w:r w:rsidRPr="005F5509">
            <w:rPr>
              <w:rFonts w:eastAsia="SimSun"/>
              <w:lang w:eastAsia="zh-CN"/>
            </w:rPr>
            <w:t>21</w:t>
          </w:r>
        </w:p>
      </w:tc>
      <w:tc>
        <w:tcPr>
          <w:tcW w:w="1701" w:type="dxa"/>
        </w:tcPr>
        <w:p w14:paraId="110CD5D5" w14:textId="77777777" w:rsidR="00386FCF" w:rsidRPr="005F5509" w:rsidRDefault="00386FCF" w:rsidP="00335C4B">
          <w:pPr>
            <w:pStyle w:val="HeaderRegProc"/>
            <w:rPr>
              <w:rFonts w:eastAsia="SimSun"/>
              <w:lang w:val="fr-CH" w:eastAsia="zh-CN"/>
            </w:rPr>
          </w:pPr>
          <w:r w:rsidRPr="005F5509">
            <w:rPr>
              <w:rFonts w:eastAsia="SimSun"/>
              <w:lang w:val="fr-FR" w:eastAsia="zh-CN"/>
            </w:rPr>
            <w:t>第</w:t>
          </w:r>
          <w:r w:rsidRPr="005F5509">
            <w:rPr>
              <w:rFonts w:eastAsia="SimSun"/>
              <w:lang w:val="fr-FR"/>
            </w:rPr>
            <w:t xml:space="preserve"> </w:t>
          </w:r>
          <w:r w:rsidRPr="005F5509">
            <w:rPr>
              <w:rStyle w:val="PageNumber"/>
              <w:rFonts w:eastAsia="SimSun"/>
            </w:rPr>
            <w:fldChar w:fldCharType="begin"/>
          </w:r>
          <w:r w:rsidRPr="005F5509">
            <w:rPr>
              <w:rStyle w:val="PageNumber"/>
              <w:rFonts w:eastAsia="SimSun"/>
            </w:rPr>
            <w:instrText xml:space="preserve"> PAGE </w:instrText>
          </w:r>
          <w:r w:rsidRPr="005F5509">
            <w:rPr>
              <w:rStyle w:val="PageNumber"/>
              <w:rFonts w:eastAsia="SimSun"/>
            </w:rPr>
            <w:fldChar w:fldCharType="separate"/>
          </w:r>
          <w:r w:rsidRPr="005F5509">
            <w:rPr>
              <w:rStyle w:val="PageNumber"/>
              <w:rFonts w:eastAsia="SimSun"/>
              <w:noProof/>
            </w:rPr>
            <w:t>3</w:t>
          </w:r>
          <w:r w:rsidRPr="005F5509">
            <w:rPr>
              <w:rStyle w:val="PageNumber"/>
              <w:rFonts w:eastAsia="SimSun"/>
            </w:rPr>
            <w:fldChar w:fldCharType="end"/>
          </w:r>
          <w:r w:rsidRPr="005F5509">
            <w:rPr>
              <w:rStyle w:val="PageNumber"/>
              <w:rFonts w:eastAsia="SimSun"/>
              <w:lang w:eastAsia="zh-CN"/>
            </w:rPr>
            <w:t xml:space="preserve"> </w:t>
          </w:r>
          <w:r w:rsidRPr="005F5509">
            <w:rPr>
              <w:rStyle w:val="PageNumber"/>
              <w:rFonts w:eastAsia="SimSun"/>
              <w:lang w:eastAsia="zh-CN"/>
            </w:rPr>
            <w:t>页</w:t>
          </w:r>
        </w:p>
      </w:tc>
      <w:tc>
        <w:tcPr>
          <w:tcW w:w="1701" w:type="dxa"/>
        </w:tcPr>
        <w:p w14:paraId="3473FDAF" w14:textId="4FA0E7CA" w:rsidR="00386FCF" w:rsidRPr="005F5509" w:rsidRDefault="00386FCF" w:rsidP="00335C4B">
          <w:pPr>
            <w:pStyle w:val="HeaderRegProc"/>
            <w:rPr>
              <w:rFonts w:eastAsia="SimSun"/>
              <w:lang w:val="fr-CH" w:eastAsia="zh-CN"/>
            </w:rPr>
          </w:pPr>
          <w:r w:rsidRPr="005F5509">
            <w:rPr>
              <w:rFonts w:eastAsia="SimSun"/>
              <w:lang w:val="fr-CH" w:eastAsia="zh-CN"/>
            </w:rPr>
            <w:t>修订</w:t>
          </w:r>
          <w:r w:rsidRPr="005F5509">
            <w:rPr>
              <w:rFonts w:eastAsia="SimSun"/>
              <w:lang w:val="fr-CH" w:eastAsia="zh-CN"/>
            </w:rPr>
            <w:t xml:space="preserve"> </w:t>
          </w:r>
          <w:r>
            <w:rPr>
              <w:rFonts w:eastAsia="SimSun" w:hint="eastAsia"/>
              <w:lang w:val="fr-CH" w:eastAsia="zh-CN"/>
            </w:rPr>
            <w:t>-</w:t>
          </w:r>
        </w:p>
      </w:tc>
    </w:tr>
  </w:tbl>
  <w:p w14:paraId="56381FFE" w14:textId="77777777" w:rsidR="00386FCF" w:rsidRDefault="00386F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E2D7B" w14:textId="77777777" w:rsidR="004458F2" w:rsidRDefault="004458F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DDDE" w14:textId="77777777"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458F2"/>
    <w:rsid w:val="0001136F"/>
    <w:rsid w:val="00030DEA"/>
    <w:rsid w:val="00084397"/>
    <w:rsid w:val="000B4C5E"/>
    <w:rsid w:val="000F4EDF"/>
    <w:rsid w:val="00112AD3"/>
    <w:rsid w:val="00117A42"/>
    <w:rsid w:val="001676FC"/>
    <w:rsid w:val="00187117"/>
    <w:rsid w:val="001915A1"/>
    <w:rsid w:val="001D261B"/>
    <w:rsid w:val="002E5194"/>
    <w:rsid w:val="00335C4B"/>
    <w:rsid w:val="00386FCF"/>
    <w:rsid w:val="0038754C"/>
    <w:rsid w:val="00435CF1"/>
    <w:rsid w:val="00444C0B"/>
    <w:rsid w:val="004458F2"/>
    <w:rsid w:val="00484B7C"/>
    <w:rsid w:val="004E7127"/>
    <w:rsid w:val="00560DA2"/>
    <w:rsid w:val="00565564"/>
    <w:rsid w:val="005A2081"/>
    <w:rsid w:val="005A21EE"/>
    <w:rsid w:val="005B74E6"/>
    <w:rsid w:val="005E79E1"/>
    <w:rsid w:val="005F5509"/>
    <w:rsid w:val="00607F56"/>
    <w:rsid w:val="006E2C2F"/>
    <w:rsid w:val="00754883"/>
    <w:rsid w:val="007717C8"/>
    <w:rsid w:val="0078741A"/>
    <w:rsid w:val="007918CF"/>
    <w:rsid w:val="007B1A05"/>
    <w:rsid w:val="007C5678"/>
    <w:rsid w:val="008100AA"/>
    <w:rsid w:val="008145A7"/>
    <w:rsid w:val="00834427"/>
    <w:rsid w:val="00890247"/>
    <w:rsid w:val="008A0321"/>
    <w:rsid w:val="008C468D"/>
    <w:rsid w:val="008C5019"/>
    <w:rsid w:val="008E0D56"/>
    <w:rsid w:val="009135DB"/>
    <w:rsid w:val="00940CCE"/>
    <w:rsid w:val="009815A9"/>
    <w:rsid w:val="009D0AC7"/>
    <w:rsid w:val="00A74D77"/>
    <w:rsid w:val="00B11F5D"/>
    <w:rsid w:val="00BB4A83"/>
    <w:rsid w:val="00C108D8"/>
    <w:rsid w:val="00C430EC"/>
    <w:rsid w:val="00C772DA"/>
    <w:rsid w:val="00CB1CB5"/>
    <w:rsid w:val="00CF6C3A"/>
    <w:rsid w:val="00D37F6C"/>
    <w:rsid w:val="00DD0362"/>
    <w:rsid w:val="00E366AF"/>
    <w:rsid w:val="00E911DD"/>
    <w:rsid w:val="00EB6A66"/>
    <w:rsid w:val="00EC7365"/>
    <w:rsid w:val="00F236F4"/>
    <w:rsid w:val="00F41D90"/>
    <w:rsid w:val="00F62C1A"/>
    <w:rsid w:val="00FC1A7A"/>
    <w:rsid w:val="00FD13CB"/>
    <w:rsid w:val="00FE12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9AA291"/>
  <w15:docId w15:val="{8D0F03AE-FB19-4CEF-AAB0-6D389B477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5.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110</TotalTime>
  <Pages>5</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Liu, Sanping</cp:lastModifiedBy>
  <cp:revision>60</cp:revision>
  <cp:lastPrinted>2024-12-05T08:11:00Z</cp:lastPrinted>
  <dcterms:created xsi:type="dcterms:W3CDTF">2012-08-08T06:49:00Z</dcterms:created>
  <dcterms:modified xsi:type="dcterms:W3CDTF">2024-12-05T08:12:00Z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