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9F2FB" w14:textId="77777777" w:rsidR="003109FD" w:rsidRDefault="003109FD" w:rsidP="003109FD">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1D525655" w14:textId="77A2D52E"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63C8DAAD" w:rsidR="00CD2902" w:rsidRDefault="006C4A2D" w:rsidP="006C4A2D">
      <w:pPr>
        <w:tabs>
          <w:tab w:val="clear" w:pos="794"/>
          <w:tab w:val="clear" w:pos="1191"/>
          <w:tab w:val="clear" w:pos="1588"/>
          <w:tab w:val="clear" w:pos="1985"/>
        </w:tabs>
        <w:spacing w:before="300"/>
        <w:jc w:val="center"/>
        <w:rPr>
          <w:b/>
          <w:bCs/>
          <w:sz w:val="28"/>
          <w:szCs w:val="40"/>
          <w:rtl/>
          <w:lang w:val="en-US" w:bidi="ar-EG"/>
        </w:rPr>
      </w:pPr>
      <w:r w:rsidRPr="006C4A2D">
        <w:rPr>
          <w:rFonts w:hint="cs"/>
          <w:b/>
          <w:bCs/>
          <w:sz w:val="28"/>
          <w:szCs w:val="40"/>
          <w:rtl/>
        </w:rPr>
        <w:t xml:space="preserve">بالقرار </w:t>
      </w:r>
      <w:r w:rsidR="008D54FA">
        <w:rPr>
          <w:b/>
          <w:bCs/>
          <w:sz w:val="28"/>
          <w:szCs w:val="40"/>
          <w:lang w:val="en-US" w:bidi="ar-EG"/>
        </w:rPr>
        <w:t>35</w:t>
      </w:r>
      <w:r w:rsidRPr="006C4A2D">
        <w:rPr>
          <w:b/>
          <w:bCs/>
          <w:sz w:val="28"/>
          <w:szCs w:val="40"/>
          <w:lang w:val="en-US" w:bidi="ar-EG"/>
        </w:rPr>
        <w:t xml:space="preserve"> (WRC-23</w:t>
      </w:r>
      <w:r w:rsidR="008D54FA">
        <w:rPr>
          <w:b/>
          <w:bCs/>
          <w:sz w:val="28"/>
          <w:szCs w:val="40"/>
          <w:lang w:val="en-US" w:bidi="ar-EG"/>
        </w:rPr>
        <w:t>)</w:t>
      </w:r>
    </w:p>
    <w:p w14:paraId="7EBCADC9" w14:textId="1DA8A6F8" w:rsidR="006C4A2D" w:rsidRPr="006C4A2D" w:rsidRDefault="00EB08D6" w:rsidP="00EB08D6">
      <w:pPr>
        <w:pStyle w:val="Heading1"/>
        <w:tabs>
          <w:tab w:val="clear" w:pos="794"/>
          <w:tab w:val="clear" w:pos="1191"/>
          <w:tab w:val="clear" w:pos="1588"/>
          <w:tab w:val="clear" w:pos="1985"/>
        </w:tabs>
        <w:ind w:left="-1" w:firstLine="1"/>
        <w:jc w:val="center"/>
        <w:rPr>
          <w:b w:val="0"/>
          <w:bCs/>
          <w:rtl/>
        </w:rPr>
      </w:pPr>
      <w:bookmarkStart w:id="0" w:name="lt_pId100"/>
      <w:r w:rsidRPr="00EB08D6">
        <w:rPr>
          <w:b w:val="0"/>
          <w:bCs/>
          <w:rtl/>
        </w:rPr>
        <w:t>نهج قائم على المَعلمات لتنفيذ تخصيصات ترددات المحطات الفضائية</w:t>
      </w:r>
      <w:r w:rsidRPr="00EB08D6">
        <w:rPr>
          <w:b w:val="0"/>
          <w:bCs/>
          <w:rtl/>
        </w:rPr>
        <w:br/>
        <w:t>في نظام ساتلي غير مستقر بالنسبة إلى الأرض في نطاقات ترددات وخدمات محددة</w:t>
      </w:r>
      <w:bookmarkEnd w:id="0"/>
    </w:p>
    <w:p w14:paraId="4641D8A6" w14:textId="141F871E" w:rsidR="00EB08D6" w:rsidRPr="004C5521" w:rsidRDefault="00EB08D6" w:rsidP="00EB08D6">
      <w:pPr>
        <w:spacing w:before="120"/>
        <w:rPr>
          <w:lang w:val="ar-SA" w:eastAsia="zh-TW" w:bidi="en-GB"/>
        </w:rPr>
      </w:pPr>
      <w:r w:rsidRPr="004C5521">
        <w:rPr>
          <w:rtl/>
        </w:rPr>
        <w:t xml:space="preserve">لتطبيق الفقرة </w:t>
      </w:r>
      <w:r>
        <w:t>17</w:t>
      </w:r>
      <w:r w:rsidRPr="004C5521">
        <w:rPr>
          <w:rtl/>
        </w:rPr>
        <w:t xml:space="preserve"> </w:t>
      </w:r>
      <w:r w:rsidRPr="004C5521">
        <w:rPr>
          <w:i/>
          <w:iCs/>
          <w:rtl/>
        </w:rPr>
        <w:t>ب)</w:t>
      </w:r>
      <w:r>
        <w:rPr>
          <w:rFonts w:hint="cs"/>
          <w:rtl/>
          <w:lang w:bidi="ar-EG"/>
        </w:rPr>
        <w:t>’</w:t>
      </w:r>
      <w:r>
        <w:rPr>
          <w:lang w:bidi="ar-EG"/>
        </w:rPr>
        <w:t>1</w:t>
      </w:r>
      <w:r>
        <w:rPr>
          <w:rFonts w:hint="cs"/>
          <w:rtl/>
          <w:lang w:bidi="ar-EG"/>
        </w:rPr>
        <w:t xml:space="preserve">‘ </w:t>
      </w:r>
      <w:r w:rsidRPr="004C5521">
        <w:rPr>
          <w:rtl/>
        </w:rPr>
        <w:t xml:space="preserve">من القرار </w:t>
      </w:r>
      <w:r w:rsidRPr="004C5521">
        <w:rPr>
          <w:b/>
          <w:bCs/>
        </w:rPr>
        <w:t>35 (WRC-19)</w:t>
      </w:r>
      <w:r w:rsidRPr="004C5521">
        <w:rPr>
          <w:rtl/>
        </w:rPr>
        <w:t xml:space="preserve">، تفهم اللجنة أن جميع السواتل في أي مستوٍ مداري، غير المدرجة في آخر معلومات النشر الكاملة، وجميع المستوِيات المدارية التي لم يُدرج ضمنها أي ساتل في آخر معلومات النشر الكاملة، والمبلَّغ بموجب الفقرات </w:t>
      </w:r>
      <w:r>
        <w:t>2</w:t>
      </w:r>
      <w:r w:rsidRPr="004C5521">
        <w:rPr>
          <w:rtl/>
        </w:rPr>
        <w:t xml:space="preserve"> أو </w:t>
      </w:r>
      <w:r>
        <w:t>3</w:t>
      </w:r>
      <w:r w:rsidRPr="004C5521">
        <w:rPr>
          <w:rtl/>
        </w:rPr>
        <w:t xml:space="preserve"> أو </w:t>
      </w:r>
      <w:r>
        <w:t>7</w:t>
      </w:r>
      <w:r w:rsidRPr="004C5521">
        <w:rPr>
          <w:rtl/>
        </w:rPr>
        <w:t xml:space="preserve"> أو </w:t>
      </w:r>
      <w:r>
        <w:t>8</w:t>
      </w:r>
      <w:r>
        <w:rPr>
          <w:rFonts w:hint="cs"/>
          <w:rtl/>
        </w:rPr>
        <w:t xml:space="preserve"> من "</w:t>
      </w:r>
      <w:r w:rsidRPr="004C5521">
        <w:rPr>
          <w:rFonts w:hint="cs"/>
          <w:i/>
          <w:iCs/>
          <w:rtl/>
        </w:rPr>
        <w:t>يقرر</w:t>
      </w:r>
      <w:r>
        <w:rPr>
          <w:rFonts w:hint="cs"/>
          <w:rtl/>
        </w:rPr>
        <w:t>"</w:t>
      </w:r>
      <w:r w:rsidRPr="004C5521">
        <w:rPr>
          <w:rtl/>
        </w:rPr>
        <w:t xml:space="preserve">، حسب الاقتضاء، من القرار </w:t>
      </w:r>
      <w:r w:rsidRPr="004C5521">
        <w:rPr>
          <w:b/>
          <w:bCs/>
        </w:rPr>
        <w:t>35 (WRC-19)</w:t>
      </w:r>
      <w:r w:rsidRPr="004C5521">
        <w:rPr>
          <w:rtl/>
        </w:rPr>
        <w:t>، ستلغى من بطاقة التبليغ. وبالتالي، سيتعين أيضا</w:t>
      </w:r>
      <w:r>
        <w:rPr>
          <w:rFonts w:hint="cs"/>
          <w:rtl/>
        </w:rPr>
        <w:t>ً</w:t>
      </w:r>
      <w:r w:rsidRPr="004C5521">
        <w:rPr>
          <w:rtl/>
        </w:rPr>
        <w:t xml:space="preserve"> إلغاء أي حزم ومجموعات من تخصيصات الترددات المرتبطة حصراً بهذه المستوِيات أو السواتل المدارية.</w:t>
      </w:r>
      <w:bookmarkStart w:id="1" w:name="lt_pId104"/>
      <w:bookmarkEnd w:id="1"/>
    </w:p>
    <w:p w14:paraId="67213BF5" w14:textId="1787715D" w:rsidR="00EB08D6" w:rsidRPr="004C5521" w:rsidRDefault="00EB08D6" w:rsidP="00EB08D6">
      <w:pPr>
        <w:rPr>
          <w:lang w:val="ar-SA" w:eastAsia="zh-TW" w:bidi="en-GB"/>
        </w:rPr>
      </w:pPr>
      <w:r w:rsidRPr="004C5521">
        <w:rPr>
          <w:rtl/>
        </w:rPr>
        <w:t xml:space="preserve">وفيما يتعلق بتخصيصات الترددات التي كانت المرتبطة بالمستويات المدارية والسواتل المتبقية، وبما أن التعديلات على الخصائص المبلغ عنها للنظام الساتلي المنصوص عليها في الفقرة </w:t>
      </w:r>
      <w:r>
        <w:t>11</w:t>
      </w:r>
      <w:r w:rsidRPr="004C5521">
        <w:rPr>
          <w:rtl/>
        </w:rPr>
        <w:t xml:space="preserve"> من القرار </w:t>
      </w:r>
      <w:r w:rsidRPr="004C5521">
        <w:rPr>
          <w:b/>
          <w:bCs/>
        </w:rPr>
        <w:t>35 (WRC-19)</w:t>
      </w:r>
      <w:r w:rsidRPr="004C5521">
        <w:rPr>
          <w:rtl/>
        </w:rPr>
        <w:t xml:space="preserve"> لم تقدَّم بعد الفشل في</w:t>
      </w:r>
      <w:r>
        <w:rPr>
          <w:rFonts w:hint="cs"/>
          <w:rtl/>
        </w:rPr>
        <w:t> </w:t>
      </w:r>
      <w:r w:rsidRPr="004C5521">
        <w:rPr>
          <w:rtl/>
        </w:rPr>
        <w:t xml:space="preserve">بلوغ المراحل المحددة، خلصت اللجنة إلى وجوب تطبيق الفقرة </w:t>
      </w:r>
      <w:r>
        <w:t>17</w:t>
      </w:r>
      <w:r w:rsidRPr="004C5521">
        <w:rPr>
          <w:rtl/>
        </w:rPr>
        <w:t xml:space="preserve"> </w:t>
      </w:r>
      <w:r w:rsidRPr="004C5521">
        <w:rPr>
          <w:i/>
          <w:iCs/>
          <w:rtl/>
        </w:rPr>
        <w:t>ب)</w:t>
      </w:r>
      <w:r w:rsidRPr="004C5521">
        <w:rPr>
          <w:rtl/>
        </w:rPr>
        <w:t>’</w:t>
      </w:r>
      <w:r w:rsidR="00347A94">
        <w:t>2</w:t>
      </w:r>
      <w:r w:rsidRPr="004C5521">
        <w:rPr>
          <w:rtl/>
        </w:rPr>
        <w:t xml:space="preserve">‘ من </w:t>
      </w:r>
      <w:r>
        <w:rPr>
          <w:rFonts w:hint="cs"/>
          <w:rtl/>
        </w:rPr>
        <w:t>"</w:t>
      </w:r>
      <w:r w:rsidRPr="004C5521">
        <w:rPr>
          <w:i/>
          <w:iCs/>
          <w:rtl/>
        </w:rPr>
        <w:t>يقرر</w:t>
      </w:r>
      <w:r>
        <w:rPr>
          <w:rFonts w:hint="cs"/>
          <w:rtl/>
        </w:rPr>
        <w:t>"</w:t>
      </w:r>
      <w:r w:rsidRPr="004C5521">
        <w:rPr>
          <w:rtl/>
        </w:rPr>
        <w:t xml:space="preserve">، وبالتالي إدراج رمز في حقل "الملاحظات" يبين أن تخصيصات الترددات هذه لا تلتزم بالقرار </w:t>
      </w:r>
      <w:r w:rsidRPr="004C5521">
        <w:rPr>
          <w:b/>
          <w:bCs/>
        </w:rPr>
        <w:t>35 (WRC-19)</w:t>
      </w:r>
      <w:r w:rsidRPr="004C5521">
        <w:rPr>
          <w:rtl/>
        </w:rPr>
        <w:t xml:space="preserve"> ولن تؤخذ في الاعتبار في عمليات التفحص اللاحقة بموجب الأرقام</w:t>
      </w:r>
      <w:r>
        <w:rPr>
          <w:rFonts w:hint="cs"/>
          <w:rtl/>
        </w:rPr>
        <w:t> </w:t>
      </w:r>
      <w:r w:rsidRPr="004C5521">
        <w:rPr>
          <w:b/>
          <w:bCs/>
        </w:rPr>
        <w:t>36.9</w:t>
      </w:r>
      <w:r w:rsidRPr="004C5521">
        <w:rPr>
          <w:rFonts w:hint="cs"/>
          <w:b/>
          <w:bCs/>
          <w:rtl/>
          <w:lang w:bidi="ar-EG"/>
        </w:rPr>
        <w:t xml:space="preserve"> </w:t>
      </w:r>
      <w:r w:rsidRPr="004C5521">
        <w:rPr>
          <w:rFonts w:hint="cs"/>
          <w:rtl/>
          <w:lang w:bidi="ar-EG"/>
        </w:rPr>
        <w:t>أو</w:t>
      </w:r>
      <w:r w:rsidRPr="004C5521">
        <w:rPr>
          <w:rFonts w:hint="cs"/>
          <w:b/>
          <w:bCs/>
          <w:rtl/>
          <w:lang w:bidi="ar-EG"/>
        </w:rPr>
        <w:t xml:space="preserve"> </w:t>
      </w:r>
      <w:r w:rsidRPr="004C5521">
        <w:rPr>
          <w:b/>
          <w:bCs/>
          <w:lang w:bidi="ar-EG"/>
        </w:rPr>
        <w:t>32.11</w:t>
      </w:r>
      <w:r w:rsidRPr="004C5521">
        <w:rPr>
          <w:b/>
          <w:bCs/>
          <w:rtl/>
        </w:rPr>
        <w:t xml:space="preserve"> </w:t>
      </w:r>
      <w:r w:rsidRPr="004C5521">
        <w:rPr>
          <w:rtl/>
        </w:rPr>
        <w:t>أو</w:t>
      </w:r>
      <w:r w:rsidRPr="004C5521">
        <w:rPr>
          <w:b/>
          <w:bCs/>
          <w:rtl/>
        </w:rPr>
        <w:t xml:space="preserve"> </w:t>
      </w:r>
      <w:r>
        <w:rPr>
          <w:b/>
          <w:bCs/>
        </w:rPr>
        <w:t>32A.11</w:t>
      </w:r>
      <w:r w:rsidRPr="004C5521">
        <w:rPr>
          <w:rtl/>
        </w:rPr>
        <w:t>. وستزال المعلومات المسجلة تحت تاريخ الحماية أو "تاريخ</w:t>
      </w:r>
      <w:r>
        <w:rPr>
          <w:rFonts w:hint="cs"/>
          <w:rtl/>
        </w:rPr>
        <w:t> </w:t>
      </w:r>
      <w:r>
        <w:t>2D</w:t>
      </w:r>
      <w:r w:rsidRPr="004C5521">
        <w:rPr>
          <w:rtl/>
        </w:rPr>
        <w:t xml:space="preserve">" (أي التاريخ الذي يؤخذ فيه تخصيص الترددات في الاعتبار على النحو المحدد في الفقرة </w:t>
      </w:r>
      <w:r>
        <w:t>1</w:t>
      </w:r>
      <w:r w:rsidRPr="004C5521">
        <w:rPr>
          <w:rtl/>
        </w:rPr>
        <w:t xml:space="preserve"> </w:t>
      </w:r>
      <w:r w:rsidRPr="004C5521">
        <w:rPr>
          <w:i/>
          <w:iCs/>
          <w:rtl/>
        </w:rPr>
        <w:t>هـ)</w:t>
      </w:r>
      <w:r w:rsidRPr="004C5521">
        <w:rPr>
          <w:rtl/>
        </w:rPr>
        <w:t xml:space="preserve"> من التذييل </w:t>
      </w:r>
      <w:r>
        <w:rPr>
          <w:b/>
          <w:bCs/>
        </w:rPr>
        <w:t>5</w:t>
      </w:r>
      <w:r w:rsidRPr="004C5521">
        <w:rPr>
          <w:rtl/>
        </w:rPr>
        <w:t>) والمعلومات المتعلقة بحالة اتفاق التنسيق بالنسبة لتخصيصات الترددات تلك.</w:t>
      </w:r>
      <w:bookmarkStart w:id="2" w:name="lt_pId106"/>
      <w:bookmarkEnd w:id="2"/>
    </w:p>
    <w:p w14:paraId="0106162D" w14:textId="2FBDC823" w:rsidR="00EB08D6" w:rsidRPr="004C5521" w:rsidRDefault="00EB08D6" w:rsidP="00EB08D6">
      <w:pPr>
        <w:rPr>
          <w:lang w:val="ar-SA" w:eastAsia="zh-TW" w:bidi="en-GB"/>
        </w:rPr>
      </w:pPr>
      <w:bookmarkStart w:id="3" w:name="lt_pId107"/>
      <w:r w:rsidRPr="004C5521">
        <w:rPr>
          <w:rtl/>
        </w:rPr>
        <w:t xml:space="preserve">وعقب هذه الإجراءات، أفادت اللجنة أن تخصيصات الترددات هذه ستسجل في السجل الأساسي للعلم فقط ويجب ألاّ تتسبب في تداخل ضار بمحطة تعمل وفقاً للوائح الراديو، وألا تطالب بالحماية من تداخل ضار تسببه تلك المحطة، على غرار تسجيل مقرون بطلب تطبيق الرقم </w:t>
      </w:r>
      <w:r>
        <w:rPr>
          <w:b/>
          <w:bCs/>
        </w:rPr>
        <w:t>4.4</w:t>
      </w:r>
      <w:r w:rsidRPr="004C5521">
        <w:rPr>
          <w:rtl/>
        </w:rPr>
        <w:t>. وكلفت اللجنة المكتب بنشر أحدث حالة لتخصيصات الترددات هذه في</w:t>
      </w:r>
      <w:r>
        <w:rPr>
          <w:rFonts w:hint="cs"/>
          <w:rtl/>
        </w:rPr>
        <w:t> </w:t>
      </w:r>
      <w:r w:rsidRPr="004C5521">
        <w:rPr>
          <w:rtl/>
        </w:rPr>
        <w:t xml:space="preserve">النشرة الإعلامية الدولية للترددات الصادرة عن مكتب الاتصالات الراديوية </w:t>
      </w:r>
      <w:r>
        <w:t>(BR IFIC)</w:t>
      </w:r>
      <w:r w:rsidRPr="004C5521">
        <w:rPr>
          <w:rtl/>
        </w:rPr>
        <w:t>.</w:t>
      </w:r>
      <w:bookmarkEnd w:id="3"/>
    </w:p>
    <w:p w14:paraId="36A2421F" w14:textId="615799CC" w:rsidR="00A33873" w:rsidRDefault="00EB08D6" w:rsidP="00EB08D6">
      <w:pPr>
        <w:rPr>
          <w:rtl/>
          <w:lang w:val="en-US" w:bidi="ar-SY"/>
        </w:rPr>
      </w:pPr>
      <w:bookmarkStart w:id="4" w:name="lt_pId109"/>
      <w:r w:rsidRPr="004C5521">
        <w:rPr>
          <w:rtl/>
        </w:rPr>
        <w:t xml:space="preserve">وإذ لاحظت اللجنة أن الفقرة </w:t>
      </w:r>
      <w:r>
        <w:t>17</w:t>
      </w:r>
      <w:r w:rsidRPr="004C5521">
        <w:rPr>
          <w:rtl/>
        </w:rPr>
        <w:t xml:space="preserve"> من القرار لا تنطبق إلا في الحالات التي تتخلف فيها الإدارة المبلِّغة عن تقديم المعلومات المطلوبة، ومن أجل تجنب الاحتفاظ بتخصيصات الترددات غير المستعملة في السجل الأساسي، كلفت اللجنة المكتب أيضا</w:t>
      </w:r>
      <w:r>
        <w:rPr>
          <w:rFonts w:hint="cs"/>
          <w:rtl/>
        </w:rPr>
        <w:t>ً</w:t>
      </w:r>
      <w:r w:rsidRPr="004C5521">
        <w:rPr>
          <w:rtl/>
        </w:rPr>
        <w:t xml:space="preserve"> بتطبيق الرقم</w:t>
      </w:r>
      <w:r>
        <w:rPr>
          <w:rFonts w:hint="cs"/>
          <w:rtl/>
        </w:rPr>
        <w:t> </w:t>
      </w:r>
      <w:r>
        <w:rPr>
          <w:b/>
          <w:bCs/>
        </w:rPr>
        <w:t>6.13</w:t>
      </w:r>
      <w:r w:rsidRPr="004C5521">
        <w:rPr>
          <w:rtl/>
        </w:rPr>
        <w:t xml:space="preserve"> قبل تسجيل ونشر أحدث حالة لتخصيصات الترددات هذه.</w:t>
      </w:r>
      <w:bookmarkEnd w:id="4"/>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4BDC540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3109FD">
          <w:headerReference w:type="even" r:id="rId8"/>
          <w:headerReference w:type="default" r:id="rId9"/>
          <w:footnotePr>
            <w:pos w:val="beneathText"/>
          </w:footnotePr>
          <w:type w:val="oddPage"/>
          <w:pgSz w:w="11907" w:h="16834" w:code="9"/>
          <w:pgMar w:top="1701" w:right="1985" w:bottom="1134" w:left="851" w:header="720" w:footer="482" w:gutter="0"/>
          <w:paperSrc w:first="15" w:other="15"/>
          <w:pgNumType w:start="8"/>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0"/>
      <w:headerReference w:type="default" r:id="rId11"/>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A0BB0" w:rsidRPr="000F2A0B" w14:paraId="75B8458E" w14:textId="77777777" w:rsidTr="006A0BB0">
      <w:tc>
        <w:tcPr>
          <w:tcW w:w="1701" w:type="dxa"/>
        </w:tcPr>
        <w:p w14:paraId="3D74AAEE" w14:textId="77777777" w:rsidR="006A0BB0" w:rsidRPr="00913BF7" w:rsidRDefault="006A0BB0" w:rsidP="006A0BB0">
          <w:pPr>
            <w:pStyle w:val="Header"/>
            <w:spacing w:before="40" w:after="40" w:line="280" w:lineRule="exact"/>
            <w:jc w:val="both"/>
            <w:rPr>
              <w:sz w:val="21"/>
              <w:szCs w:val="28"/>
              <w:lang w:val="en-US"/>
            </w:rPr>
          </w:pPr>
          <w:r>
            <w:rPr>
              <w:rFonts w:hint="cs"/>
              <w:sz w:val="21"/>
              <w:szCs w:val="28"/>
              <w:rtl/>
            </w:rPr>
            <w:t xml:space="preserve">الجزء </w:t>
          </w:r>
          <w:r>
            <w:rPr>
              <w:sz w:val="21"/>
              <w:szCs w:val="28"/>
              <w:lang w:val="en-US"/>
            </w:rPr>
            <w:t>1A</w:t>
          </w:r>
        </w:p>
      </w:tc>
      <w:tc>
        <w:tcPr>
          <w:tcW w:w="1701" w:type="dxa"/>
        </w:tcPr>
        <w:p w14:paraId="3FCE4D1E" w14:textId="124DE7EB" w:rsidR="006A0BB0" w:rsidRPr="000F2A0B" w:rsidRDefault="00A83247" w:rsidP="00D80DE4">
          <w:pPr>
            <w:pStyle w:val="Header"/>
            <w:spacing w:before="40" w:after="40" w:line="280" w:lineRule="exact"/>
            <w:jc w:val="left"/>
            <w:rPr>
              <w:sz w:val="21"/>
              <w:szCs w:val="28"/>
              <w:rtl/>
            </w:rPr>
          </w:pPr>
          <w:r>
            <w:rPr>
              <w:sz w:val="21"/>
              <w:szCs w:val="28"/>
              <w:lang w:val="en-US"/>
            </w:rPr>
            <w:t>RES8</w:t>
          </w:r>
        </w:p>
      </w:tc>
      <w:tc>
        <w:tcPr>
          <w:tcW w:w="1701" w:type="dxa"/>
        </w:tcPr>
        <w:p w14:paraId="68715DE0" w14:textId="537CBDB6" w:rsidR="006A0BB0" w:rsidRPr="000F2A0B" w:rsidRDefault="006A0BB0"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83247" w:rsidRPr="00A83247">
            <w:rPr>
              <w:rStyle w:val="PageNumber"/>
              <w:sz w:val="21"/>
              <w:szCs w:val="21"/>
            </w:rPr>
            <w:t>2</w:t>
          </w:r>
        </w:p>
      </w:tc>
      <w:tc>
        <w:tcPr>
          <w:tcW w:w="1701" w:type="dxa"/>
        </w:tcPr>
        <w:p w14:paraId="602B3C61" w14:textId="77777777" w:rsidR="006A0BB0" w:rsidRPr="00463F45" w:rsidRDefault="006A0BB0"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39513D24" w14:textId="77777777" w:rsidR="006A0BB0" w:rsidRDefault="006A0BB0" w:rsidP="00D80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109FD" w:rsidRPr="000F2A0B" w14:paraId="076AC818" w14:textId="77777777" w:rsidTr="003109FD">
      <w:trPr>
        <w:jc w:val="right"/>
      </w:trPr>
      <w:tc>
        <w:tcPr>
          <w:tcW w:w="1701" w:type="dxa"/>
        </w:tcPr>
        <w:p w14:paraId="6684D294" w14:textId="77777777" w:rsidR="003109FD" w:rsidRPr="00913BF7" w:rsidRDefault="003109FD" w:rsidP="003109FD">
          <w:pPr>
            <w:pStyle w:val="Header"/>
            <w:spacing w:before="40" w:after="40" w:line="280" w:lineRule="exact"/>
            <w:jc w:val="both"/>
            <w:rPr>
              <w:sz w:val="21"/>
              <w:szCs w:val="28"/>
              <w:lang w:val="en-US"/>
            </w:rPr>
          </w:pPr>
          <w:r>
            <w:rPr>
              <w:rFonts w:hint="cs"/>
              <w:sz w:val="21"/>
              <w:szCs w:val="28"/>
              <w:rtl/>
            </w:rPr>
            <w:t xml:space="preserve">الجزء </w:t>
          </w:r>
          <w:r>
            <w:rPr>
              <w:sz w:val="21"/>
              <w:szCs w:val="28"/>
              <w:lang w:val="en-US"/>
            </w:rPr>
            <w:t>1A</w:t>
          </w:r>
        </w:p>
      </w:tc>
      <w:tc>
        <w:tcPr>
          <w:tcW w:w="1701" w:type="dxa"/>
        </w:tcPr>
        <w:p w14:paraId="108F73C6" w14:textId="6848E975" w:rsidR="003109FD" w:rsidRPr="000F2A0B" w:rsidRDefault="003109FD" w:rsidP="003109FD">
          <w:pPr>
            <w:pStyle w:val="Header"/>
            <w:spacing w:before="40" w:after="40" w:line="280" w:lineRule="exact"/>
            <w:jc w:val="left"/>
            <w:rPr>
              <w:sz w:val="21"/>
              <w:szCs w:val="28"/>
              <w:rtl/>
            </w:rPr>
          </w:pPr>
          <w:r>
            <w:rPr>
              <w:sz w:val="21"/>
              <w:szCs w:val="28"/>
              <w:lang w:val="en-US"/>
            </w:rPr>
            <w:t>RES</w:t>
          </w:r>
          <w:r w:rsidR="008D54FA">
            <w:rPr>
              <w:sz w:val="21"/>
              <w:szCs w:val="28"/>
              <w:lang w:val="en-US"/>
            </w:rPr>
            <w:t>35</w:t>
          </w:r>
        </w:p>
      </w:tc>
      <w:tc>
        <w:tcPr>
          <w:tcW w:w="1701" w:type="dxa"/>
        </w:tcPr>
        <w:p w14:paraId="6A593E01" w14:textId="46606F36" w:rsidR="003109FD" w:rsidRPr="000F2A0B" w:rsidRDefault="003109FD" w:rsidP="003109F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3109FD">
            <w:rPr>
              <w:rStyle w:val="PageNumber"/>
              <w:sz w:val="21"/>
              <w:szCs w:val="21"/>
            </w:rPr>
            <w:t>1</w:t>
          </w:r>
        </w:p>
      </w:tc>
      <w:tc>
        <w:tcPr>
          <w:tcW w:w="1701" w:type="dxa"/>
        </w:tcPr>
        <w:p w14:paraId="7CACACB6" w14:textId="77777777" w:rsidR="003109FD" w:rsidRPr="00463F45" w:rsidRDefault="003109FD" w:rsidP="003109FD">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5FE0687C" w14:textId="77777777" w:rsidR="003109FD" w:rsidRDefault="0031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2DE83" w14:textId="77777777" w:rsidR="00D86EEF" w:rsidRPr="00D86EEF" w:rsidRDefault="00D86EEF" w:rsidP="00D86E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924992966">
    <w:abstractNumId w:val="10"/>
  </w:num>
  <w:num w:numId="2" w16cid:durableId="1096369281">
    <w:abstractNumId w:val="6"/>
  </w:num>
  <w:num w:numId="3" w16cid:durableId="1500273361">
    <w:abstractNumId w:val="5"/>
  </w:num>
  <w:num w:numId="4" w16cid:durableId="744491579">
    <w:abstractNumId w:val="4"/>
  </w:num>
  <w:num w:numId="5" w16cid:durableId="1215658314">
    <w:abstractNumId w:val="8"/>
  </w:num>
  <w:num w:numId="6" w16cid:durableId="880166870">
    <w:abstractNumId w:val="3"/>
  </w:num>
  <w:num w:numId="7" w16cid:durableId="335419532">
    <w:abstractNumId w:val="2"/>
  </w:num>
  <w:num w:numId="8" w16cid:durableId="539778426">
    <w:abstractNumId w:val="1"/>
  </w:num>
  <w:num w:numId="9" w16cid:durableId="648052576">
    <w:abstractNumId w:val="0"/>
  </w:num>
  <w:num w:numId="10" w16cid:durableId="707140546">
    <w:abstractNumId w:val="9"/>
  </w:num>
  <w:num w:numId="11" w16cid:durableId="1213496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3F"/>
    <w:rsid w:val="00007EE8"/>
    <w:rsid w:val="000108CE"/>
    <w:rsid w:val="000142FA"/>
    <w:rsid w:val="0001728E"/>
    <w:rsid w:val="000219C8"/>
    <w:rsid w:val="00023A9B"/>
    <w:rsid w:val="000259BA"/>
    <w:rsid w:val="00026027"/>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A6A0D"/>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09FD"/>
    <w:rsid w:val="00314E82"/>
    <w:rsid w:val="00315142"/>
    <w:rsid w:val="003215F9"/>
    <w:rsid w:val="00331783"/>
    <w:rsid w:val="00331C02"/>
    <w:rsid w:val="00341672"/>
    <w:rsid w:val="00343301"/>
    <w:rsid w:val="00347A94"/>
    <w:rsid w:val="00354071"/>
    <w:rsid w:val="0035435D"/>
    <w:rsid w:val="00355DF6"/>
    <w:rsid w:val="00360881"/>
    <w:rsid w:val="00363434"/>
    <w:rsid w:val="00370E72"/>
    <w:rsid w:val="00371E61"/>
    <w:rsid w:val="00383B60"/>
    <w:rsid w:val="0038673D"/>
    <w:rsid w:val="00395674"/>
    <w:rsid w:val="00395A7E"/>
    <w:rsid w:val="00395BCF"/>
    <w:rsid w:val="003A1656"/>
    <w:rsid w:val="003A6FFD"/>
    <w:rsid w:val="003B0FDF"/>
    <w:rsid w:val="003B3F4E"/>
    <w:rsid w:val="003B72CB"/>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42A5"/>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E7E78"/>
    <w:rsid w:val="005F70F5"/>
    <w:rsid w:val="00606569"/>
    <w:rsid w:val="00621D19"/>
    <w:rsid w:val="0063648F"/>
    <w:rsid w:val="006439A3"/>
    <w:rsid w:val="00646592"/>
    <w:rsid w:val="006577D4"/>
    <w:rsid w:val="0066056C"/>
    <w:rsid w:val="006667B4"/>
    <w:rsid w:val="0068278C"/>
    <w:rsid w:val="006A0BB0"/>
    <w:rsid w:val="006A389D"/>
    <w:rsid w:val="006A67CA"/>
    <w:rsid w:val="006B0012"/>
    <w:rsid w:val="006B0E78"/>
    <w:rsid w:val="006B3E33"/>
    <w:rsid w:val="006B42DC"/>
    <w:rsid w:val="006B5D10"/>
    <w:rsid w:val="006C1EF7"/>
    <w:rsid w:val="006C24E8"/>
    <w:rsid w:val="006C4A2D"/>
    <w:rsid w:val="006C5C21"/>
    <w:rsid w:val="006C7BED"/>
    <w:rsid w:val="006D4971"/>
    <w:rsid w:val="006E1B4C"/>
    <w:rsid w:val="006E5412"/>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37C2"/>
    <w:rsid w:val="008C4515"/>
    <w:rsid w:val="008D54FA"/>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24761"/>
    <w:rsid w:val="00A33873"/>
    <w:rsid w:val="00A41643"/>
    <w:rsid w:val="00A4696C"/>
    <w:rsid w:val="00A57843"/>
    <w:rsid w:val="00A64B91"/>
    <w:rsid w:val="00A71643"/>
    <w:rsid w:val="00A7482F"/>
    <w:rsid w:val="00A83247"/>
    <w:rsid w:val="00A86FC4"/>
    <w:rsid w:val="00A9160D"/>
    <w:rsid w:val="00A96616"/>
    <w:rsid w:val="00AA0409"/>
    <w:rsid w:val="00AA590B"/>
    <w:rsid w:val="00AB197F"/>
    <w:rsid w:val="00AC37A9"/>
    <w:rsid w:val="00AC41A3"/>
    <w:rsid w:val="00AD269C"/>
    <w:rsid w:val="00AE2A1A"/>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17301"/>
    <w:rsid w:val="00E37078"/>
    <w:rsid w:val="00E40169"/>
    <w:rsid w:val="00E7261D"/>
    <w:rsid w:val="00E72A11"/>
    <w:rsid w:val="00E814E9"/>
    <w:rsid w:val="00E87071"/>
    <w:rsid w:val="00E92A9D"/>
    <w:rsid w:val="00E945FF"/>
    <w:rsid w:val="00EB08D6"/>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 w:type="paragraph" w:styleId="Index4">
    <w:name w:val="index 4"/>
    <w:basedOn w:val="Normal"/>
    <w:next w:val="Normal"/>
    <w:autoRedefine/>
    <w:semiHidden/>
    <w:unhideWhenUsed/>
    <w:rsid w:val="0001728E"/>
    <w:pPr>
      <w:tabs>
        <w:tab w:val="clear" w:pos="794"/>
        <w:tab w:val="clear" w:pos="1191"/>
        <w:tab w:val="clear" w:pos="1588"/>
        <w:tab w:val="clear" w:pos="1985"/>
      </w:tabs>
      <w:spacing w:before="0" w:line="240" w:lineRule="auto"/>
      <w:ind w:left="880" w:hanging="220"/>
    </w:pPr>
  </w:style>
  <w:style w:type="paragraph" w:customStyle="1" w:styleId="Footnotetexte">
    <w:name w:val="Footnote texte"/>
    <w:basedOn w:val="Normal"/>
    <w:qFormat/>
    <w:rsid w:val="0068278C"/>
    <w:pPr>
      <w:tabs>
        <w:tab w:val="clear" w:pos="1191"/>
        <w:tab w:val="clear" w:pos="1588"/>
        <w:tab w:val="clear" w:pos="1985"/>
        <w:tab w:val="left" w:pos="397"/>
      </w:tabs>
      <w:overflowPunct/>
      <w:autoSpaceDE/>
      <w:autoSpaceDN/>
      <w:adjustRightInd/>
      <w:spacing w:before="60" w:line="168" w:lineRule="auto"/>
      <w:ind w:left="397" w:hanging="397"/>
      <w:textAlignment w:val="auto"/>
    </w:pPr>
    <w:rPr>
      <w:rFonts w:ascii="Dubai" w:eastAsiaTheme="minorEastAsia" w:hAnsi="Dubai" w:cs="Dubai"/>
      <w:sz w:val="20"/>
      <w:szCs w:val="20"/>
      <w:lang w:val="en-US" w:eastAsia="zh-CN"/>
    </w:rPr>
  </w:style>
  <w:style w:type="paragraph" w:customStyle="1" w:styleId="Articletitle">
    <w:name w:val="Article title"/>
    <w:basedOn w:val="Normal"/>
    <w:qFormat/>
    <w:rsid w:val="006C4A2D"/>
    <w:pPr>
      <w:keepNext/>
      <w:keepLines/>
      <w:tabs>
        <w:tab w:val="clear" w:pos="1191"/>
        <w:tab w:val="clear" w:pos="1588"/>
        <w:tab w:val="clear" w:pos="1985"/>
      </w:tabs>
      <w:overflowPunct/>
      <w:autoSpaceDE/>
      <w:autoSpaceDN/>
      <w:adjustRightInd/>
      <w:spacing w:before="120" w:after="360"/>
      <w:jc w:val="center"/>
      <w:textAlignment w:val="auto"/>
    </w:pPr>
    <w:rPr>
      <w:rFonts w:ascii="Dubai" w:eastAsiaTheme="minorEastAsia" w:hAnsi="Dubai" w:cs="Dubai"/>
      <w:b/>
      <w:bCs/>
      <w:sz w:val="28"/>
      <w:szCs w:val="28"/>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546</TotalTime>
  <Pages>2</Pages>
  <Words>334</Words>
  <Characters>1702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65</cp:revision>
  <cp:lastPrinted>2020-11-19T15:53:00Z</cp:lastPrinted>
  <dcterms:created xsi:type="dcterms:W3CDTF">2012-09-07T10:36:00Z</dcterms:created>
  <dcterms:modified xsi:type="dcterms:W3CDTF">2024-12-04T08:53:00Z</dcterms:modified>
</cp:coreProperties>
</file>