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2CE54" w14:textId="77777777"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14:paraId="09024635" w14:textId="77777777" w:rsidR="00857FBA" w:rsidRPr="00DB387B" w:rsidRDefault="00857FBA" w:rsidP="00857FBA">
      <w:pPr>
        <w:pStyle w:val="Heading2"/>
        <w:spacing w:before="360"/>
        <w:jc w:val="center"/>
        <w:rPr>
          <w:color w:val="000000"/>
          <w:lang w:val="es-ES_tradnl"/>
        </w:rPr>
      </w:pPr>
      <w:r w:rsidRPr="00DB387B">
        <w:rPr>
          <w:color w:val="000000"/>
          <w:lang w:val="es-ES_tradnl"/>
        </w:rPr>
        <w:t>ARTÍCULO 11 del RR</w:t>
      </w:r>
    </w:p>
    <w:p w14:paraId="374C22FD" w14:textId="2B1306C8"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w:t>
      </w:r>
      <w:r w:rsidR="00D47A90">
        <w:rPr>
          <w:rFonts w:eastAsia="SimSun"/>
          <w:b/>
          <w:sz w:val="28"/>
          <w:lang w:val="es-ES_tradnl" w:eastAsia="zh-CN"/>
        </w:rPr>
        <w:br/>
      </w:r>
      <w:r w:rsidRPr="00DB387B">
        <w:rPr>
          <w:rFonts w:eastAsia="SimSun"/>
          <w:b/>
          <w:sz w:val="28"/>
          <w:lang w:val="es-ES_tradnl" w:eastAsia="zh-CN"/>
        </w:rPr>
        <w:t>presentadas por una administración en la misma posición orbital,</w:t>
      </w:r>
      <w:r w:rsidR="00D47A90">
        <w:rPr>
          <w:rFonts w:eastAsia="SimSun"/>
          <w:b/>
          <w:sz w:val="28"/>
          <w:lang w:val="es-ES_tradnl" w:eastAsia="zh-CN"/>
        </w:rPr>
        <w:br/>
      </w:r>
      <w:r w:rsidRPr="00DB387B">
        <w:rPr>
          <w:rFonts w:eastAsia="SimSun"/>
          <w:b/>
          <w:sz w:val="28"/>
          <w:lang w:val="es-ES_tradnl" w:eastAsia="zh-CN"/>
        </w:rPr>
        <w:t>en asignaciones de frecuencias de una única red de satélites</w:t>
      </w:r>
    </w:p>
    <w:p w14:paraId="7EE7258A" w14:textId="77777777"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r>
      <w:proofErr w:type="gramStart"/>
      <w:r w:rsidRPr="00D3267E">
        <w:rPr>
          <w:rFonts w:eastAsia="SimSun"/>
          <w:lang w:val="es-ES"/>
        </w:rPr>
        <w:t>Introducción</w:t>
      </w:r>
      <w:proofErr w:type="gramEnd"/>
    </w:p>
    <w:p w14:paraId="049812FA" w14:textId="77777777"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14:paraId="591CAD67" w14:textId="77777777"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14:paraId="3C35252E" w14:textId="49CB246D"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r>
      <w:proofErr w:type="gramStart"/>
      <w:r w:rsidRPr="00D3267E">
        <w:rPr>
          <w:rFonts w:eastAsia="SimSun"/>
          <w:lang w:val="es-ES"/>
        </w:rPr>
        <w:t>Estructura</w:t>
      </w:r>
      <w:proofErr w:type="gramEnd"/>
      <w:r w:rsidRPr="00D3267E">
        <w:rPr>
          <w:rFonts w:eastAsia="SimSun"/>
          <w:lang w:val="es-ES"/>
        </w:rPr>
        <w:t xml:space="preserve"> de la notificación</w:t>
      </w:r>
    </w:p>
    <w:p w14:paraId="5DE02A9A" w14:textId="77777777"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14:paraId="7BCF4E6D" w14:textId="77777777"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14:paraId="5B00AECC" w14:textId="77777777"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14:paraId="443EA40C"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 xml:space="preserve">1 </w:t>
      </w:r>
      <w:r w:rsidRPr="00D3267E">
        <w:rPr>
          <w:rFonts w:eastAsia="SimSun"/>
          <w:lang w:val="es-ES"/>
        </w:rPr>
        <w:tab/>
        <w:t xml:space="preserve">Administración notificante </w:t>
      </w:r>
    </w:p>
    <w:p w14:paraId="32283554"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 xml:space="preserve">2 </w:t>
      </w:r>
      <w:r w:rsidRPr="00D3267E">
        <w:rPr>
          <w:rFonts w:eastAsia="SimSun"/>
          <w:lang w:val="es-ES"/>
        </w:rPr>
        <w:tab/>
        <w:t xml:space="preserve">Grupo de Administraciones </w:t>
      </w:r>
    </w:p>
    <w:p w14:paraId="4B92B09B"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14:paraId="558E0306" w14:textId="77777777"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14:paraId="4416D96B" w14:textId="77777777"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14:paraId="3B9FA85A" w14:textId="77777777"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14:paraId="770A4D4C" w14:textId="77777777"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14:paraId="61445D2F" w14:textId="77777777"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14:paraId="16B7C897" w14:textId="77777777"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14:paraId="23970DA4" w14:textId="77777777"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14:paraId="74F31CAC" w14:textId="77777777"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14:paraId="2D9FF95B" w14:textId="77777777"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14:paraId="6D2DF019" w14:textId="77777777"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14:paraId="1660D955" w14:textId="77777777"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14:paraId="1C7E5B3C" w14:textId="77777777"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14:paraId="367EDFF8" w14:textId="77777777"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14:paraId="3C62F866" w14:textId="53039ED9"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w:t>
      </w:r>
      <w:r w:rsidR="00243C1F">
        <w:rPr>
          <w:rFonts w:eastAsia="SimSun"/>
          <w:szCs w:val="24"/>
          <w:lang w:val="es-ES"/>
        </w:rPr>
        <w:t> </w:t>
      </w:r>
      <w:r w:rsidRPr="00D3267E">
        <w:rPr>
          <w:rFonts w:eastAsia="SimSun"/>
          <w:szCs w:val="24"/>
          <w:lang w:val="es-ES"/>
        </w:rPr>
        <w:t>...)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14:paraId="3BE02996" w14:textId="77777777" w:rsidR="009C3798" w:rsidRDefault="009C3798" w:rsidP="00857FBA">
      <w:pPr>
        <w:rPr>
          <w:rFonts w:eastAsia="SimSun"/>
          <w:szCs w:val="24"/>
          <w:lang w:val="es-ES"/>
        </w:rPr>
      </w:pPr>
      <w:r>
        <w:rPr>
          <w:rFonts w:eastAsia="SimSun"/>
          <w:szCs w:val="24"/>
          <w:lang w:val="es-ES"/>
        </w:rPr>
        <w:br w:type="page"/>
      </w:r>
    </w:p>
    <w:p w14:paraId="21A832BD" w14:textId="77777777"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p>
    <w:p w14:paraId="4CAF4EEE" w14:textId="77777777" w:rsidR="00676B57" w:rsidRPr="003667EC" w:rsidRDefault="00676B57" w:rsidP="003667EC">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el Prefacio de la Lista Internacional de Frecuencias (LIF) en orden de frecuencias (Capítulo</w:t>
      </w:r>
      <w:r w:rsidR="003667EC">
        <w:rPr>
          <w:color w:val="000000"/>
          <w:lang w:val="es-ES_tradnl"/>
        </w:rPr>
        <w:t xml:space="preserve"> </w:t>
      </w:r>
      <w:r w:rsidRPr="003667EC">
        <w:rPr>
          <w:color w:val="000000"/>
          <w:lang w:val="es-ES_tradnl"/>
        </w:rPr>
        <w:t>VI del Prefacio). Las frecuencias de uso común figuran en el Registro Internacional de Frecuencias (Registro) y en la LIF.</w:t>
      </w:r>
    </w:p>
    <w:p w14:paraId="7C73EB3B" w14:textId="77777777" w:rsidR="00676B57" w:rsidRPr="003667EC" w:rsidRDefault="00676B57" w:rsidP="00676B57">
      <w:pPr>
        <w:rPr>
          <w:color w:val="000000"/>
          <w:lang w:val="es-ES_tradnl"/>
        </w:rPr>
      </w:pPr>
      <w:r w:rsidRPr="003667EC">
        <w:rPr>
          <w:lang w:val="es-ES_tradnl"/>
        </w:rPr>
        <w:t>2</w:t>
      </w:r>
      <w:r w:rsidRPr="003667EC">
        <w:rPr>
          <w:lang w:val="es-ES_tradnl"/>
        </w:rPr>
        <w:tab/>
      </w:r>
      <w:proofErr w:type="gramStart"/>
      <w:r w:rsidRPr="003667EC">
        <w:rPr>
          <w:lang w:val="es-ES_tradnl"/>
        </w:rPr>
        <w:t>A</w:t>
      </w:r>
      <w:proofErr w:type="gramEnd"/>
      <w:r w:rsidRPr="003667EC">
        <w:rPr>
          <w:lang w:val="es-ES_tradnl"/>
        </w:rPr>
        <w:t xml:space="preserve"> continuación se ofrece un resumen de las frecuencias/bandas de frecuencias que se prescriben para uso común:</w:t>
      </w:r>
    </w:p>
    <w:p w14:paraId="0614306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para socorro y llamadas de seguridad del SMSSM que utilizan técnicas de llamada selectiva digital (2</w:t>
      </w:r>
      <w:r w:rsidRPr="003667EC">
        <w:rPr>
          <w:rFonts w:ascii="Tms Rmn" w:hAnsi="Tms Rmn"/>
          <w:color w:val="000000"/>
          <w:sz w:val="12"/>
          <w:lang w:val="es-ES_tradnl"/>
        </w:rPr>
        <w:t> </w:t>
      </w:r>
      <w:r w:rsidRPr="003667EC">
        <w:rPr>
          <w:color w:val="000000"/>
          <w:lang w:val="es-ES_tradnl"/>
        </w:rPr>
        <w:t>187,5 kHz, 4</w:t>
      </w:r>
      <w:r w:rsidRPr="003667EC">
        <w:rPr>
          <w:rFonts w:ascii="Tms Rmn" w:hAnsi="Tms Rmn"/>
          <w:color w:val="000000"/>
          <w:sz w:val="12"/>
          <w:lang w:val="es-ES_tradnl"/>
        </w:rPr>
        <w:t> </w:t>
      </w:r>
      <w:r w:rsidRPr="003667EC">
        <w:rPr>
          <w:color w:val="000000"/>
          <w:lang w:val="es-ES_tradnl"/>
        </w:rPr>
        <w:t>207,5 kHz, 6</w:t>
      </w:r>
      <w:r w:rsidRPr="003667EC">
        <w:rPr>
          <w:rFonts w:ascii="Tms Rmn" w:hAnsi="Tms Rmn"/>
          <w:color w:val="000000"/>
          <w:sz w:val="12"/>
          <w:lang w:val="es-ES_tradnl"/>
        </w:rPr>
        <w:t> </w:t>
      </w:r>
      <w:r w:rsidRPr="003667EC">
        <w:rPr>
          <w:color w:val="000000"/>
          <w:lang w:val="es-ES_tradnl"/>
        </w:rPr>
        <w:t>312 kHz, 8</w:t>
      </w:r>
      <w:r w:rsidRPr="003667EC">
        <w:rPr>
          <w:rFonts w:ascii="Tms Rmn" w:hAnsi="Tms Rmn"/>
          <w:color w:val="000000"/>
          <w:sz w:val="12"/>
          <w:lang w:val="es-ES_tradnl"/>
        </w:rPr>
        <w:t> </w:t>
      </w:r>
      <w:r w:rsidRPr="003667EC">
        <w:rPr>
          <w:color w:val="000000"/>
          <w:lang w:val="es-ES_tradnl"/>
        </w:rPr>
        <w:t>414,5 kHz, 12</w:t>
      </w:r>
      <w:r w:rsidRPr="003667EC">
        <w:rPr>
          <w:rFonts w:ascii="Tms Rmn" w:hAnsi="Tms Rmn"/>
          <w:color w:val="000000"/>
          <w:sz w:val="12"/>
          <w:lang w:val="es-ES_tradnl"/>
        </w:rPr>
        <w:t> </w:t>
      </w:r>
      <w:r w:rsidRPr="003667EC">
        <w:rPr>
          <w:color w:val="000000"/>
          <w:lang w:val="es-ES_tradnl"/>
        </w:rPr>
        <w:t>577 kHz, 16</w:t>
      </w:r>
      <w:r w:rsidRPr="003667EC">
        <w:rPr>
          <w:rFonts w:ascii="Tms Rmn" w:hAnsi="Tms Rmn"/>
          <w:color w:val="000000"/>
          <w:sz w:val="12"/>
          <w:lang w:val="es-ES_tradnl"/>
        </w:rPr>
        <w:t> </w:t>
      </w:r>
      <w:r w:rsidRPr="003667EC">
        <w:rPr>
          <w:color w:val="000000"/>
          <w:lang w:val="es-ES_tradnl"/>
        </w:rPr>
        <w:t>804,5 kHz y 156,525 MHz).</w:t>
      </w:r>
    </w:p>
    <w:p w14:paraId="4F92479F" w14:textId="77777777" w:rsidR="00676B57" w:rsidRPr="003667EC" w:rsidRDefault="00676B57" w:rsidP="00285A0D">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telegrafía de impresión directa en banda estrecha (2</w:t>
      </w:r>
      <w:r w:rsidRPr="003667EC">
        <w:rPr>
          <w:rFonts w:ascii="Tms Rmn" w:hAnsi="Tms Rmn"/>
          <w:color w:val="000000"/>
          <w:sz w:val="12"/>
          <w:lang w:val="es-ES_tradnl"/>
        </w:rPr>
        <w:t> </w:t>
      </w:r>
      <w:r w:rsidRPr="003667EC">
        <w:rPr>
          <w:color w:val="000000"/>
          <w:lang w:val="es-ES_tradnl"/>
        </w:rPr>
        <w:t>174,5, 4</w:t>
      </w:r>
      <w:r w:rsidRPr="003667EC">
        <w:rPr>
          <w:rFonts w:ascii="Tms Rmn" w:hAnsi="Tms Rmn"/>
          <w:color w:val="000000"/>
          <w:sz w:val="12"/>
          <w:lang w:val="es-ES_tradnl"/>
        </w:rPr>
        <w:t> </w:t>
      </w:r>
      <w:r w:rsidRPr="003667EC">
        <w:rPr>
          <w:color w:val="000000"/>
          <w:lang w:val="es-ES_tradnl"/>
        </w:rPr>
        <w:t>177,5, 6</w:t>
      </w:r>
      <w:r w:rsidRPr="003667EC">
        <w:rPr>
          <w:rFonts w:ascii="Tms Rmn" w:hAnsi="Tms Rmn"/>
          <w:color w:val="000000"/>
          <w:sz w:val="12"/>
          <w:lang w:val="es-ES_tradnl"/>
        </w:rPr>
        <w:t> </w:t>
      </w:r>
      <w:r w:rsidRPr="003667EC">
        <w:rPr>
          <w:color w:val="000000"/>
          <w:lang w:val="es-ES_tradnl"/>
        </w:rPr>
        <w:t>268, 8</w:t>
      </w:r>
      <w:r w:rsidRPr="003667EC">
        <w:rPr>
          <w:rFonts w:ascii="Tms Rmn" w:hAnsi="Tms Rmn"/>
          <w:color w:val="000000"/>
          <w:sz w:val="12"/>
          <w:lang w:val="es-ES_tradnl"/>
        </w:rPr>
        <w:t> </w:t>
      </w:r>
      <w:r w:rsidRPr="003667EC">
        <w:rPr>
          <w:color w:val="000000"/>
          <w:lang w:val="es-ES_tradnl"/>
        </w:rPr>
        <w:t>376,5, 12</w:t>
      </w:r>
      <w:r w:rsidRPr="003667EC">
        <w:rPr>
          <w:rFonts w:ascii="Tms Rmn" w:hAnsi="Tms Rmn"/>
          <w:color w:val="000000"/>
          <w:sz w:val="12"/>
          <w:lang w:val="es-ES_tradnl"/>
        </w:rPr>
        <w:t> </w:t>
      </w:r>
      <w:r w:rsidRPr="003667EC">
        <w:rPr>
          <w:color w:val="000000"/>
          <w:lang w:val="es-ES_tradnl"/>
        </w:rPr>
        <w:t>520 y 16</w:t>
      </w:r>
      <w:r w:rsidRPr="003667EC">
        <w:rPr>
          <w:rFonts w:ascii="Tms Rmn" w:hAnsi="Tms Rmn"/>
          <w:color w:val="000000"/>
          <w:sz w:val="12"/>
          <w:lang w:val="es-ES_tradnl"/>
        </w:rPr>
        <w:t> </w:t>
      </w:r>
      <w:r w:rsidRPr="003667EC">
        <w:rPr>
          <w:color w:val="000000"/>
          <w:lang w:val="es-ES_tradnl"/>
        </w:rPr>
        <w:t>695 kHz).</w:t>
      </w:r>
    </w:p>
    <w:p w14:paraId="39D274EE"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radiotelefonía (2</w:t>
      </w:r>
      <w:r w:rsidRPr="003667EC">
        <w:rPr>
          <w:rFonts w:ascii="Tms Rmn" w:hAnsi="Tms Rmn"/>
          <w:color w:val="000000"/>
          <w:sz w:val="12"/>
          <w:lang w:val="es-ES_tradnl"/>
        </w:rPr>
        <w:t> </w:t>
      </w:r>
      <w:r w:rsidRPr="003667EC">
        <w:rPr>
          <w:color w:val="000000"/>
          <w:lang w:val="es-ES_tradnl"/>
        </w:rPr>
        <w:t>182</w:t>
      </w:r>
      <w:r w:rsidR="007E3FFE" w:rsidRPr="003667EC">
        <w:rPr>
          <w:color w:val="000000"/>
          <w:lang w:val="es-ES_tradnl"/>
        </w:rPr>
        <w:t> </w:t>
      </w:r>
      <w:r w:rsidRPr="003667EC">
        <w:rPr>
          <w:color w:val="000000"/>
          <w:lang w:val="es-ES_tradnl"/>
        </w:rPr>
        <w:t>kHz, 4</w:t>
      </w:r>
      <w:r w:rsidRPr="003667EC">
        <w:rPr>
          <w:rFonts w:ascii="Tms Rmn" w:hAnsi="Tms Rmn"/>
          <w:color w:val="000000"/>
          <w:sz w:val="12"/>
          <w:lang w:val="es-ES_tradnl"/>
        </w:rPr>
        <w:t> </w:t>
      </w:r>
      <w:r w:rsidRPr="003667EC">
        <w:rPr>
          <w:color w:val="000000"/>
          <w:lang w:val="es-ES_tradnl"/>
        </w:rPr>
        <w:t>125 kHz, 6</w:t>
      </w:r>
      <w:r w:rsidRPr="003667EC">
        <w:rPr>
          <w:rFonts w:ascii="Tms Rmn" w:hAnsi="Tms Rmn"/>
          <w:color w:val="000000"/>
          <w:sz w:val="12"/>
          <w:lang w:val="es-ES_tradnl"/>
        </w:rPr>
        <w:t> </w:t>
      </w:r>
      <w:r w:rsidRPr="003667EC">
        <w:rPr>
          <w:color w:val="000000"/>
          <w:lang w:val="es-ES_tradnl"/>
        </w:rPr>
        <w:t>215 kHz, 8</w:t>
      </w:r>
      <w:r w:rsidRPr="003667EC">
        <w:rPr>
          <w:rFonts w:ascii="Tms Rmn" w:hAnsi="Tms Rmn"/>
          <w:color w:val="000000"/>
          <w:sz w:val="12"/>
          <w:lang w:val="es-ES_tradnl"/>
        </w:rPr>
        <w:t> </w:t>
      </w:r>
      <w:r w:rsidRPr="003667EC">
        <w:rPr>
          <w:color w:val="000000"/>
          <w:lang w:val="es-ES_tradnl"/>
        </w:rPr>
        <w:t>291 kHz, 12</w:t>
      </w:r>
      <w:r w:rsidRPr="003667EC">
        <w:rPr>
          <w:rFonts w:ascii="Tms Rmn" w:hAnsi="Tms Rmn"/>
          <w:color w:val="000000"/>
          <w:sz w:val="12"/>
          <w:lang w:val="es-ES_tradnl"/>
        </w:rPr>
        <w:t> </w:t>
      </w:r>
      <w:r w:rsidRPr="003667EC">
        <w:rPr>
          <w:color w:val="000000"/>
          <w:lang w:val="es-ES_tradnl"/>
        </w:rPr>
        <w:t>290 kHz, 16</w:t>
      </w:r>
      <w:r w:rsidRPr="003667EC">
        <w:rPr>
          <w:rFonts w:ascii="Tms Rmn" w:hAnsi="Tms Rmn"/>
          <w:color w:val="000000"/>
          <w:sz w:val="12"/>
          <w:lang w:val="es-ES_tradnl"/>
        </w:rPr>
        <w:t> </w:t>
      </w:r>
      <w:r w:rsidRPr="003667EC">
        <w:rPr>
          <w:color w:val="000000"/>
          <w:lang w:val="es-ES_tradnl"/>
        </w:rPr>
        <w:t>420 kHz y 156,8</w:t>
      </w:r>
      <w:r w:rsidR="007E3FFE" w:rsidRPr="003667EC">
        <w:rPr>
          <w:color w:val="000000"/>
          <w:lang w:val="es-ES_tradnl"/>
        </w:rPr>
        <w:t> </w:t>
      </w:r>
      <w:r w:rsidRPr="003667EC">
        <w:rPr>
          <w:color w:val="000000"/>
          <w:lang w:val="es-ES_tradnl"/>
        </w:rPr>
        <w:t>MHz).</w:t>
      </w:r>
    </w:p>
    <w:p w14:paraId="59DCA3F4"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operaciones de búsqueda y salvamento (2</w:t>
      </w:r>
      <w:r w:rsidRPr="003667EC">
        <w:rPr>
          <w:color w:val="000000"/>
          <w:sz w:val="12"/>
          <w:lang w:val="es-ES_tradnl"/>
        </w:rPr>
        <w:t> </w:t>
      </w:r>
      <w:r w:rsidRPr="003667EC">
        <w:rPr>
          <w:color w:val="000000"/>
          <w:lang w:val="es-ES_tradnl"/>
        </w:rPr>
        <w:t>182 kHz, 3</w:t>
      </w:r>
      <w:r w:rsidRPr="003667EC">
        <w:rPr>
          <w:color w:val="000000"/>
          <w:sz w:val="12"/>
          <w:lang w:val="es-ES_tradnl"/>
        </w:rPr>
        <w:t> </w:t>
      </w:r>
      <w:r w:rsidRPr="003667EC">
        <w:rPr>
          <w:color w:val="000000"/>
          <w:lang w:val="es-ES_tradnl"/>
        </w:rPr>
        <w:t>023 kHz, 5</w:t>
      </w:r>
      <w:r w:rsidRPr="003667EC">
        <w:rPr>
          <w:color w:val="000000"/>
          <w:sz w:val="12"/>
          <w:lang w:val="es-ES_tradnl"/>
        </w:rPr>
        <w:t> </w:t>
      </w:r>
      <w:r w:rsidRPr="003667EC">
        <w:rPr>
          <w:color w:val="000000"/>
          <w:lang w:val="es-ES_tradnl"/>
        </w:rPr>
        <w:t>680 kHz, 8</w:t>
      </w:r>
      <w:r w:rsidRPr="003667EC">
        <w:rPr>
          <w:color w:val="000000"/>
          <w:sz w:val="12"/>
          <w:lang w:val="es-ES_tradnl"/>
        </w:rPr>
        <w:t> </w:t>
      </w:r>
      <w:r w:rsidRPr="003667EC">
        <w:rPr>
          <w:color w:val="000000"/>
          <w:lang w:val="es-ES_tradnl"/>
        </w:rPr>
        <w:t>364 kHz, 10</w:t>
      </w:r>
      <w:r w:rsidRPr="003667EC">
        <w:rPr>
          <w:color w:val="000000"/>
          <w:sz w:val="12"/>
          <w:lang w:val="es-ES_tradnl"/>
        </w:rPr>
        <w:t> </w:t>
      </w:r>
      <w:r w:rsidRPr="003667EC">
        <w:rPr>
          <w:color w:val="000000"/>
          <w:lang w:val="es-ES_tradnl"/>
        </w:rPr>
        <w:t>003 kHz, 14</w:t>
      </w:r>
      <w:r w:rsidRPr="003667EC">
        <w:rPr>
          <w:color w:val="000000"/>
          <w:sz w:val="12"/>
          <w:lang w:val="es-ES_tradnl"/>
        </w:rPr>
        <w:t> </w:t>
      </w:r>
      <w:r w:rsidRPr="003667EC">
        <w:rPr>
          <w:color w:val="000000"/>
          <w:lang w:val="es-ES_tradnl"/>
        </w:rPr>
        <w:t>993 kHz, 19</w:t>
      </w:r>
      <w:r w:rsidRPr="003667EC">
        <w:rPr>
          <w:color w:val="000000"/>
          <w:sz w:val="12"/>
          <w:lang w:val="es-ES_tradnl"/>
        </w:rPr>
        <w:t> </w:t>
      </w:r>
      <w:r w:rsidRPr="003667EC">
        <w:rPr>
          <w:color w:val="000000"/>
          <w:lang w:val="es-ES_tradnl"/>
        </w:rPr>
        <w:t>993 kHz, 121,5 MHz, 123,1 MHz, 156,3</w:t>
      </w:r>
      <w:r w:rsidRPr="003667EC">
        <w:rPr>
          <w:color w:val="000000"/>
          <w:sz w:val="12"/>
          <w:lang w:val="es-ES_tradnl"/>
        </w:rPr>
        <w:t> </w:t>
      </w:r>
      <w:r w:rsidRPr="003667EC">
        <w:rPr>
          <w:color w:val="000000"/>
          <w:lang w:val="es-ES_tradnl"/>
        </w:rPr>
        <w:t>MHz, 156,8 MHz</w:t>
      </w:r>
      <w:r w:rsidR="007F700A" w:rsidRPr="003667EC">
        <w:rPr>
          <w:color w:val="000000"/>
          <w:lang w:val="es-ES_tradnl"/>
        </w:rPr>
        <w:t xml:space="preserve">, 161,975 MHz, </w:t>
      </w:r>
      <w:r w:rsidR="002400F2" w:rsidRPr="003667EC">
        <w:rPr>
          <w:color w:val="000000"/>
          <w:lang w:val="es-ES_tradnl"/>
        </w:rPr>
        <w:t>1</w:t>
      </w:r>
      <w:r w:rsidR="007F700A" w:rsidRPr="003667EC">
        <w:rPr>
          <w:color w:val="000000"/>
          <w:lang w:val="es-ES_tradnl"/>
        </w:rPr>
        <w:t>62,025 MHz</w:t>
      </w:r>
      <w:r w:rsidRPr="003667EC">
        <w:rPr>
          <w:color w:val="000000"/>
          <w:lang w:val="es-ES_tradnl"/>
        </w:rPr>
        <w:t xml:space="preserve"> y 243 MHz).</w:t>
      </w:r>
    </w:p>
    <w:p w14:paraId="008AAB26"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digital con fines distintos de los de socorro y seguridad (455,5, 458,5, 2</w:t>
      </w:r>
      <w:r w:rsidRPr="003667EC">
        <w:rPr>
          <w:color w:val="000000"/>
          <w:sz w:val="12"/>
          <w:lang w:val="es-ES_tradnl"/>
        </w:rPr>
        <w:t> </w:t>
      </w:r>
      <w:r w:rsidRPr="003667EC">
        <w:rPr>
          <w:color w:val="000000"/>
          <w:lang w:val="es-ES_tradnl"/>
        </w:rPr>
        <w:t>177, 2</w:t>
      </w:r>
      <w:r w:rsidRPr="003667EC">
        <w:rPr>
          <w:color w:val="000000"/>
          <w:sz w:val="12"/>
          <w:lang w:val="es-ES_tradnl"/>
        </w:rPr>
        <w:t> </w:t>
      </w:r>
      <w:r w:rsidRPr="003667EC">
        <w:rPr>
          <w:color w:val="000000"/>
          <w:lang w:val="es-ES_tradnl"/>
        </w:rPr>
        <w:t>189,5, 4</w:t>
      </w:r>
      <w:r w:rsidRPr="003667EC">
        <w:rPr>
          <w:color w:val="000000"/>
          <w:sz w:val="12"/>
          <w:lang w:val="es-ES_tradnl"/>
        </w:rPr>
        <w:t> </w:t>
      </w:r>
      <w:r w:rsidRPr="003667EC">
        <w:rPr>
          <w:color w:val="000000"/>
          <w:lang w:val="es-ES_tradnl"/>
        </w:rPr>
        <w:t>208, 4</w:t>
      </w:r>
      <w:r w:rsidRPr="003667EC">
        <w:rPr>
          <w:color w:val="000000"/>
          <w:sz w:val="12"/>
          <w:lang w:val="es-ES_tradnl"/>
        </w:rPr>
        <w:t> </w:t>
      </w:r>
      <w:r w:rsidRPr="003667EC">
        <w:rPr>
          <w:color w:val="000000"/>
          <w:lang w:val="es-ES_tradnl"/>
        </w:rPr>
        <w:t>208,5, 4</w:t>
      </w:r>
      <w:r w:rsidRPr="003667EC">
        <w:rPr>
          <w:color w:val="000000"/>
          <w:sz w:val="12"/>
          <w:lang w:val="es-ES_tradnl"/>
        </w:rPr>
        <w:t> </w:t>
      </w:r>
      <w:r w:rsidRPr="003667EC">
        <w:rPr>
          <w:color w:val="000000"/>
          <w:lang w:val="es-ES_tradnl"/>
        </w:rPr>
        <w:t>209, 4</w:t>
      </w:r>
      <w:r w:rsidRPr="003667EC">
        <w:rPr>
          <w:color w:val="000000"/>
          <w:sz w:val="12"/>
          <w:lang w:val="es-ES_tradnl"/>
        </w:rPr>
        <w:t> </w:t>
      </w:r>
      <w:r w:rsidRPr="003667EC">
        <w:rPr>
          <w:color w:val="000000"/>
          <w:lang w:val="es-ES_tradnl"/>
        </w:rPr>
        <w:t>219,5, 4</w:t>
      </w:r>
      <w:r w:rsidRPr="003667EC">
        <w:rPr>
          <w:color w:val="000000"/>
          <w:sz w:val="12"/>
          <w:lang w:val="es-ES_tradnl"/>
        </w:rPr>
        <w:t> </w:t>
      </w:r>
      <w:r w:rsidRPr="003667EC">
        <w:rPr>
          <w:color w:val="000000"/>
          <w:lang w:val="es-ES_tradnl"/>
        </w:rPr>
        <w:t>220, 4</w:t>
      </w:r>
      <w:r w:rsidRPr="003667EC">
        <w:rPr>
          <w:color w:val="000000"/>
          <w:sz w:val="12"/>
          <w:lang w:val="es-ES_tradnl"/>
        </w:rPr>
        <w:t> </w:t>
      </w:r>
      <w:r w:rsidRPr="003667EC">
        <w:rPr>
          <w:color w:val="000000"/>
          <w:lang w:val="es-ES_tradnl"/>
        </w:rPr>
        <w:t>220,5, 6</w:t>
      </w:r>
      <w:r w:rsidRPr="003667EC">
        <w:rPr>
          <w:color w:val="000000"/>
          <w:sz w:val="12"/>
          <w:lang w:val="es-ES_tradnl"/>
        </w:rPr>
        <w:t> </w:t>
      </w:r>
      <w:r w:rsidRPr="003667EC">
        <w:rPr>
          <w:color w:val="000000"/>
          <w:lang w:val="es-ES_tradnl"/>
        </w:rPr>
        <w:t>312,5, 6</w:t>
      </w:r>
      <w:r w:rsidRPr="003667EC">
        <w:rPr>
          <w:color w:val="000000"/>
          <w:sz w:val="12"/>
          <w:lang w:val="es-ES_tradnl"/>
        </w:rPr>
        <w:t> </w:t>
      </w:r>
      <w:r w:rsidRPr="003667EC">
        <w:rPr>
          <w:color w:val="000000"/>
          <w:lang w:val="es-ES_tradnl"/>
        </w:rPr>
        <w:t>313, 6</w:t>
      </w:r>
      <w:r w:rsidRPr="003667EC">
        <w:rPr>
          <w:color w:val="000000"/>
          <w:sz w:val="12"/>
          <w:lang w:val="es-ES_tradnl"/>
        </w:rPr>
        <w:t> </w:t>
      </w:r>
      <w:r w:rsidRPr="003667EC">
        <w:rPr>
          <w:color w:val="000000"/>
          <w:lang w:val="es-ES_tradnl"/>
        </w:rPr>
        <w:t>313,5, 6</w:t>
      </w:r>
      <w:r w:rsidRPr="003667EC">
        <w:rPr>
          <w:color w:val="000000"/>
          <w:sz w:val="12"/>
          <w:lang w:val="es-ES_tradnl"/>
        </w:rPr>
        <w:t> </w:t>
      </w:r>
      <w:r w:rsidRPr="003667EC">
        <w:rPr>
          <w:color w:val="000000"/>
          <w:lang w:val="es-ES_tradnl"/>
        </w:rPr>
        <w:t>331, 6</w:t>
      </w:r>
      <w:r w:rsidRPr="003667EC">
        <w:rPr>
          <w:color w:val="000000"/>
          <w:sz w:val="12"/>
          <w:lang w:val="es-ES_tradnl"/>
        </w:rPr>
        <w:t> </w:t>
      </w:r>
      <w:r w:rsidRPr="003667EC">
        <w:rPr>
          <w:color w:val="000000"/>
          <w:lang w:val="es-ES_tradnl"/>
        </w:rPr>
        <w:t>331,5, 6</w:t>
      </w:r>
      <w:r w:rsidRPr="003667EC">
        <w:rPr>
          <w:color w:val="000000"/>
          <w:sz w:val="12"/>
          <w:lang w:val="es-ES_tradnl"/>
        </w:rPr>
        <w:t> </w:t>
      </w:r>
      <w:r w:rsidRPr="003667EC">
        <w:rPr>
          <w:color w:val="000000"/>
          <w:lang w:val="es-ES_tradnl"/>
        </w:rPr>
        <w:t>332, 8</w:t>
      </w:r>
      <w:r w:rsidRPr="003667EC">
        <w:rPr>
          <w:color w:val="000000"/>
          <w:sz w:val="12"/>
          <w:lang w:val="es-ES_tradnl"/>
        </w:rPr>
        <w:t> </w:t>
      </w:r>
      <w:r w:rsidRPr="003667EC">
        <w:rPr>
          <w:color w:val="000000"/>
          <w:lang w:val="es-ES_tradnl"/>
        </w:rPr>
        <w:t>415, 8</w:t>
      </w:r>
      <w:r w:rsidRPr="003667EC">
        <w:rPr>
          <w:color w:val="000000"/>
          <w:sz w:val="12"/>
          <w:lang w:val="es-ES_tradnl"/>
        </w:rPr>
        <w:t> </w:t>
      </w:r>
      <w:r w:rsidRPr="003667EC">
        <w:rPr>
          <w:color w:val="000000"/>
          <w:lang w:val="es-ES_tradnl"/>
        </w:rPr>
        <w:t>415,5, 8</w:t>
      </w:r>
      <w:r w:rsidRPr="003667EC">
        <w:rPr>
          <w:color w:val="000000"/>
          <w:sz w:val="12"/>
          <w:lang w:val="es-ES_tradnl"/>
        </w:rPr>
        <w:t> </w:t>
      </w:r>
      <w:r w:rsidRPr="003667EC">
        <w:rPr>
          <w:color w:val="000000"/>
          <w:lang w:val="es-ES_tradnl"/>
        </w:rPr>
        <w:t>416, 8</w:t>
      </w:r>
      <w:r w:rsidRPr="003667EC">
        <w:rPr>
          <w:color w:val="000000"/>
          <w:sz w:val="12"/>
          <w:lang w:val="es-ES_tradnl"/>
        </w:rPr>
        <w:t> </w:t>
      </w:r>
      <w:r w:rsidRPr="003667EC">
        <w:rPr>
          <w:color w:val="000000"/>
          <w:lang w:val="es-ES_tradnl"/>
        </w:rPr>
        <w:t>436,5, 8</w:t>
      </w:r>
      <w:r w:rsidRPr="003667EC">
        <w:rPr>
          <w:color w:val="000000"/>
          <w:sz w:val="12"/>
          <w:lang w:val="es-ES_tradnl"/>
        </w:rPr>
        <w:t> </w:t>
      </w:r>
      <w:r w:rsidRPr="003667EC">
        <w:rPr>
          <w:color w:val="000000"/>
          <w:lang w:val="es-ES_tradnl"/>
        </w:rPr>
        <w:t>437, 8</w:t>
      </w:r>
      <w:r w:rsidRPr="003667EC">
        <w:rPr>
          <w:color w:val="000000"/>
          <w:sz w:val="12"/>
          <w:lang w:val="es-ES_tradnl"/>
        </w:rPr>
        <w:t> </w:t>
      </w:r>
      <w:r w:rsidRPr="003667EC">
        <w:rPr>
          <w:color w:val="000000"/>
          <w:lang w:val="es-ES_tradnl"/>
        </w:rPr>
        <w:t>437,5, 12</w:t>
      </w:r>
      <w:r w:rsidRPr="003667EC">
        <w:rPr>
          <w:color w:val="000000"/>
          <w:sz w:val="12"/>
          <w:lang w:val="es-ES_tradnl"/>
        </w:rPr>
        <w:t> </w:t>
      </w:r>
      <w:r w:rsidRPr="003667EC">
        <w:rPr>
          <w:color w:val="000000"/>
          <w:lang w:val="es-ES_tradnl"/>
        </w:rPr>
        <w:t>577,5, 12</w:t>
      </w:r>
      <w:r w:rsidRPr="003667EC">
        <w:rPr>
          <w:color w:val="000000"/>
          <w:sz w:val="12"/>
          <w:lang w:val="es-ES_tradnl"/>
        </w:rPr>
        <w:t> </w:t>
      </w:r>
      <w:r w:rsidRPr="003667EC">
        <w:rPr>
          <w:color w:val="000000"/>
          <w:lang w:val="es-ES_tradnl"/>
        </w:rPr>
        <w:t>578, 12</w:t>
      </w:r>
      <w:r w:rsidRPr="003667EC">
        <w:rPr>
          <w:color w:val="000000"/>
          <w:sz w:val="12"/>
          <w:lang w:val="es-ES_tradnl"/>
        </w:rPr>
        <w:t> </w:t>
      </w:r>
      <w:r w:rsidRPr="003667EC">
        <w:rPr>
          <w:color w:val="000000"/>
          <w:lang w:val="es-ES_tradnl"/>
        </w:rPr>
        <w:t>578,5, 12</w:t>
      </w:r>
      <w:r w:rsidRPr="003667EC">
        <w:rPr>
          <w:color w:val="000000"/>
          <w:sz w:val="12"/>
          <w:lang w:val="es-ES_tradnl"/>
        </w:rPr>
        <w:t> </w:t>
      </w:r>
      <w:r w:rsidRPr="003667EC">
        <w:rPr>
          <w:color w:val="000000"/>
          <w:lang w:val="es-ES_tradnl"/>
        </w:rPr>
        <w:t>657, 12</w:t>
      </w:r>
      <w:r w:rsidRPr="003667EC">
        <w:rPr>
          <w:color w:val="000000"/>
          <w:sz w:val="12"/>
          <w:lang w:val="es-ES_tradnl"/>
        </w:rPr>
        <w:t> </w:t>
      </w:r>
      <w:r w:rsidRPr="003667EC">
        <w:rPr>
          <w:color w:val="000000"/>
          <w:lang w:val="es-ES_tradnl"/>
        </w:rPr>
        <w:t>657,5, 12</w:t>
      </w:r>
      <w:r w:rsidRPr="003667EC">
        <w:rPr>
          <w:color w:val="000000"/>
          <w:sz w:val="12"/>
          <w:lang w:val="es-ES_tradnl"/>
        </w:rPr>
        <w:t> </w:t>
      </w:r>
      <w:r w:rsidRPr="003667EC">
        <w:rPr>
          <w:color w:val="000000"/>
          <w:lang w:val="es-ES_tradnl"/>
        </w:rPr>
        <w:t>658, 16</w:t>
      </w:r>
      <w:r w:rsidRPr="003667EC">
        <w:rPr>
          <w:color w:val="000000"/>
          <w:sz w:val="12"/>
          <w:lang w:val="es-ES_tradnl"/>
        </w:rPr>
        <w:t> </w:t>
      </w:r>
      <w:r w:rsidRPr="003667EC">
        <w:rPr>
          <w:color w:val="000000"/>
          <w:lang w:val="es-ES_tradnl"/>
        </w:rPr>
        <w:t>805, 16</w:t>
      </w:r>
      <w:r w:rsidRPr="003667EC">
        <w:rPr>
          <w:color w:val="000000"/>
          <w:sz w:val="12"/>
          <w:lang w:val="es-ES_tradnl"/>
        </w:rPr>
        <w:t> </w:t>
      </w:r>
      <w:r w:rsidRPr="003667EC">
        <w:rPr>
          <w:color w:val="000000"/>
          <w:lang w:val="es-ES_tradnl"/>
        </w:rPr>
        <w:t>805,5, 16</w:t>
      </w:r>
      <w:r w:rsidRPr="003667EC">
        <w:rPr>
          <w:color w:val="000000"/>
          <w:sz w:val="12"/>
          <w:lang w:val="es-ES_tradnl"/>
        </w:rPr>
        <w:t> </w:t>
      </w:r>
      <w:r w:rsidRPr="003667EC">
        <w:rPr>
          <w:color w:val="000000"/>
          <w:lang w:val="es-ES_tradnl"/>
        </w:rPr>
        <w:t>806, 16</w:t>
      </w:r>
      <w:r w:rsidRPr="003667EC">
        <w:rPr>
          <w:color w:val="000000"/>
          <w:sz w:val="12"/>
          <w:lang w:val="es-ES_tradnl"/>
        </w:rPr>
        <w:t> </w:t>
      </w:r>
      <w:r w:rsidRPr="003667EC">
        <w:rPr>
          <w:color w:val="000000"/>
          <w:lang w:val="es-ES_tradnl"/>
        </w:rPr>
        <w:t>903, 16</w:t>
      </w:r>
      <w:r w:rsidRPr="003667EC">
        <w:rPr>
          <w:color w:val="000000"/>
          <w:sz w:val="12"/>
          <w:lang w:val="es-ES_tradnl"/>
        </w:rPr>
        <w:t> </w:t>
      </w:r>
      <w:r w:rsidRPr="003667EC">
        <w:rPr>
          <w:color w:val="000000"/>
          <w:lang w:val="es-ES_tradnl"/>
        </w:rPr>
        <w:t>903,5, 16</w:t>
      </w:r>
      <w:r w:rsidRPr="003667EC">
        <w:rPr>
          <w:color w:val="000000"/>
          <w:sz w:val="12"/>
          <w:lang w:val="es-ES_tradnl"/>
        </w:rPr>
        <w:t> </w:t>
      </w:r>
      <w:r w:rsidRPr="003667EC">
        <w:rPr>
          <w:color w:val="000000"/>
          <w:lang w:val="es-ES_tradnl"/>
        </w:rPr>
        <w:t>904, 18</w:t>
      </w:r>
      <w:r w:rsidRPr="003667EC">
        <w:rPr>
          <w:color w:val="000000"/>
          <w:sz w:val="12"/>
          <w:lang w:val="es-ES_tradnl"/>
        </w:rPr>
        <w:t> </w:t>
      </w:r>
      <w:r w:rsidRPr="003667EC">
        <w:rPr>
          <w:color w:val="000000"/>
          <w:lang w:val="es-ES_tradnl"/>
        </w:rPr>
        <w:t>898,5, 18</w:t>
      </w:r>
      <w:r w:rsidRPr="003667EC">
        <w:rPr>
          <w:color w:val="000000"/>
          <w:sz w:val="12"/>
          <w:lang w:val="es-ES_tradnl"/>
        </w:rPr>
        <w:t> </w:t>
      </w:r>
      <w:r w:rsidRPr="003667EC">
        <w:rPr>
          <w:color w:val="000000"/>
          <w:lang w:val="es-ES_tradnl"/>
        </w:rPr>
        <w:t>899, 18</w:t>
      </w:r>
      <w:r w:rsidRPr="003667EC">
        <w:rPr>
          <w:color w:val="000000"/>
          <w:sz w:val="12"/>
          <w:lang w:val="es-ES_tradnl"/>
        </w:rPr>
        <w:t> </w:t>
      </w:r>
      <w:r w:rsidRPr="003667EC">
        <w:rPr>
          <w:color w:val="000000"/>
          <w:lang w:val="es-ES_tradnl"/>
        </w:rPr>
        <w:t>899,5, 19</w:t>
      </w:r>
      <w:r w:rsidRPr="003667EC">
        <w:rPr>
          <w:color w:val="000000"/>
          <w:sz w:val="12"/>
          <w:lang w:val="es-ES_tradnl"/>
        </w:rPr>
        <w:t> </w:t>
      </w:r>
      <w:r w:rsidRPr="003667EC">
        <w:rPr>
          <w:color w:val="000000"/>
          <w:lang w:val="es-ES_tradnl"/>
        </w:rPr>
        <w:t>703,5, 19</w:t>
      </w:r>
      <w:r w:rsidRPr="003667EC">
        <w:rPr>
          <w:color w:val="000000"/>
          <w:sz w:val="12"/>
          <w:lang w:val="es-ES_tradnl"/>
        </w:rPr>
        <w:t> </w:t>
      </w:r>
      <w:r w:rsidRPr="003667EC">
        <w:rPr>
          <w:color w:val="000000"/>
          <w:lang w:val="es-ES_tradnl"/>
        </w:rPr>
        <w:t>704, 19</w:t>
      </w:r>
      <w:r w:rsidRPr="003667EC">
        <w:rPr>
          <w:color w:val="000000"/>
          <w:sz w:val="12"/>
          <w:lang w:val="es-ES_tradnl"/>
        </w:rPr>
        <w:t> </w:t>
      </w:r>
      <w:r w:rsidRPr="003667EC">
        <w:rPr>
          <w:color w:val="000000"/>
          <w:lang w:val="es-ES_tradnl"/>
        </w:rPr>
        <w:t>704,5, 22</w:t>
      </w:r>
      <w:r w:rsidRPr="003667EC">
        <w:rPr>
          <w:color w:val="000000"/>
          <w:sz w:val="12"/>
          <w:lang w:val="es-ES_tradnl"/>
        </w:rPr>
        <w:t> </w:t>
      </w:r>
      <w:r w:rsidRPr="003667EC">
        <w:rPr>
          <w:color w:val="000000"/>
          <w:lang w:val="es-ES_tradnl"/>
        </w:rPr>
        <w:t>374,5, 22</w:t>
      </w:r>
      <w:r w:rsidRPr="003667EC">
        <w:rPr>
          <w:color w:val="000000"/>
          <w:sz w:val="12"/>
          <w:lang w:val="es-ES_tradnl"/>
        </w:rPr>
        <w:t> </w:t>
      </w:r>
      <w:r w:rsidRPr="003667EC">
        <w:rPr>
          <w:color w:val="000000"/>
          <w:lang w:val="es-ES_tradnl"/>
        </w:rPr>
        <w:t>375, 22</w:t>
      </w:r>
      <w:r w:rsidRPr="003667EC">
        <w:rPr>
          <w:color w:val="000000"/>
          <w:sz w:val="12"/>
          <w:lang w:val="es-ES_tradnl"/>
        </w:rPr>
        <w:t> </w:t>
      </w:r>
      <w:r w:rsidRPr="003667EC">
        <w:rPr>
          <w:color w:val="000000"/>
          <w:lang w:val="es-ES_tradnl"/>
        </w:rPr>
        <w:t>375,5, 22</w:t>
      </w:r>
      <w:r w:rsidRPr="003667EC">
        <w:rPr>
          <w:color w:val="000000"/>
          <w:sz w:val="12"/>
          <w:lang w:val="es-ES_tradnl"/>
        </w:rPr>
        <w:t> </w:t>
      </w:r>
      <w:r w:rsidRPr="003667EC">
        <w:rPr>
          <w:color w:val="000000"/>
          <w:lang w:val="es-ES_tradnl"/>
        </w:rPr>
        <w:t>444, 22</w:t>
      </w:r>
      <w:r w:rsidRPr="003667EC">
        <w:rPr>
          <w:color w:val="000000"/>
          <w:sz w:val="12"/>
          <w:lang w:val="es-ES_tradnl"/>
        </w:rPr>
        <w:t> </w:t>
      </w:r>
      <w:r w:rsidRPr="003667EC">
        <w:rPr>
          <w:color w:val="000000"/>
          <w:lang w:val="es-ES_tradnl"/>
        </w:rPr>
        <w:t>444,5, 22</w:t>
      </w:r>
      <w:r w:rsidRPr="003667EC">
        <w:rPr>
          <w:color w:val="000000"/>
          <w:sz w:val="12"/>
          <w:lang w:val="es-ES_tradnl"/>
        </w:rPr>
        <w:t> </w:t>
      </w:r>
      <w:r w:rsidRPr="003667EC">
        <w:rPr>
          <w:color w:val="000000"/>
          <w:lang w:val="es-ES_tradnl"/>
        </w:rPr>
        <w:t>445, 25</w:t>
      </w:r>
      <w:r w:rsidRPr="003667EC">
        <w:rPr>
          <w:color w:val="000000"/>
          <w:sz w:val="12"/>
          <w:lang w:val="es-ES_tradnl"/>
        </w:rPr>
        <w:t> </w:t>
      </w:r>
      <w:r w:rsidRPr="003667EC">
        <w:rPr>
          <w:color w:val="000000"/>
          <w:lang w:val="es-ES_tradnl"/>
        </w:rPr>
        <w:t>208,5, 25</w:t>
      </w:r>
      <w:r w:rsidRPr="003667EC">
        <w:rPr>
          <w:color w:val="000000"/>
          <w:sz w:val="12"/>
          <w:lang w:val="es-ES_tradnl"/>
        </w:rPr>
        <w:t> </w:t>
      </w:r>
      <w:r w:rsidRPr="003667EC">
        <w:rPr>
          <w:color w:val="000000"/>
          <w:lang w:val="es-ES_tradnl"/>
        </w:rPr>
        <w:t>209, 25</w:t>
      </w:r>
      <w:r w:rsidRPr="003667EC">
        <w:rPr>
          <w:color w:val="000000"/>
          <w:sz w:val="12"/>
          <w:lang w:val="es-ES_tradnl"/>
        </w:rPr>
        <w:t> </w:t>
      </w:r>
      <w:r w:rsidRPr="003667EC">
        <w:rPr>
          <w:color w:val="000000"/>
          <w:lang w:val="es-ES_tradnl"/>
        </w:rPr>
        <w:t>209,5, 26</w:t>
      </w:r>
      <w:r w:rsidRPr="003667EC">
        <w:rPr>
          <w:color w:val="000000"/>
          <w:sz w:val="12"/>
          <w:lang w:val="es-ES_tradnl"/>
        </w:rPr>
        <w:t> </w:t>
      </w:r>
      <w:r w:rsidRPr="003667EC">
        <w:rPr>
          <w:color w:val="000000"/>
          <w:lang w:val="es-ES_tradnl"/>
        </w:rPr>
        <w:t>121, 26</w:t>
      </w:r>
      <w:r w:rsidRPr="003667EC">
        <w:rPr>
          <w:color w:val="000000"/>
          <w:sz w:val="12"/>
          <w:lang w:val="es-ES_tradnl"/>
        </w:rPr>
        <w:t> </w:t>
      </w:r>
      <w:r w:rsidRPr="003667EC">
        <w:rPr>
          <w:color w:val="000000"/>
          <w:lang w:val="es-ES_tradnl"/>
        </w:rPr>
        <w:t>121,5 y 26</w:t>
      </w:r>
      <w:r w:rsidRPr="003667EC">
        <w:rPr>
          <w:color w:val="000000"/>
          <w:sz w:val="12"/>
          <w:lang w:val="es-ES_tradnl"/>
        </w:rPr>
        <w:t> </w:t>
      </w:r>
      <w:r w:rsidRPr="003667EC">
        <w:rPr>
          <w:color w:val="000000"/>
          <w:lang w:val="es-ES_tradnl"/>
        </w:rPr>
        <w:t>122 kHz).</w:t>
      </w:r>
    </w:p>
    <w:p w14:paraId="62D48CA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que utiliza el sistema de código secuencial de una sola frecuencia (2</w:t>
      </w:r>
      <w:r w:rsidRPr="003667EC">
        <w:rPr>
          <w:color w:val="000000"/>
          <w:sz w:val="12"/>
          <w:lang w:val="es-ES_tradnl"/>
        </w:rPr>
        <w:t> </w:t>
      </w:r>
      <w:r w:rsidRPr="003667EC">
        <w:rPr>
          <w:color w:val="000000"/>
          <w:lang w:val="es-ES_tradnl"/>
        </w:rPr>
        <w:t>170,5, 4</w:t>
      </w:r>
      <w:r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779, 13</w:t>
      </w:r>
      <w:r w:rsidRPr="003667EC">
        <w:rPr>
          <w:color w:val="000000"/>
          <w:sz w:val="12"/>
          <w:lang w:val="es-ES_tradnl"/>
        </w:rPr>
        <w:t> </w:t>
      </w:r>
      <w:r w:rsidRPr="003667EC">
        <w:rPr>
          <w:color w:val="000000"/>
          <w:lang w:val="es-ES_tradnl"/>
        </w:rPr>
        <w:t>137, 17</w:t>
      </w:r>
      <w:r w:rsidRPr="003667EC">
        <w:rPr>
          <w:color w:val="000000"/>
          <w:sz w:val="12"/>
          <w:lang w:val="es-ES_tradnl"/>
        </w:rPr>
        <w:t> </w:t>
      </w:r>
      <w:r w:rsidRPr="003667EC">
        <w:rPr>
          <w:color w:val="000000"/>
          <w:lang w:val="es-ES_tradnl"/>
        </w:rPr>
        <w:t>302, 19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756 y 26</w:t>
      </w:r>
      <w:r w:rsidRPr="003667EC">
        <w:rPr>
          <w:color w:val="000000"/>
          <w:sz w:val="12"/>
          <w:lang w:val="es-ES_tradnl"/>
        </w:rPr>
        <w:t> </w:t>
      </w:r>
      <w:r w:rsidRPr="003667EC">
        <w:rPr>
          <w:color w:val="000000"/>
          <w:lang w:val="es-ES_tradnl"/>
        </w:rPr>
        <w:t>172 kHz).</w:t>
      </w:r>
    </w:p>
    <w:p w14:paraId="0F258159" w14:textId="77777777" w:rsidR="00676B57" w:rsidRPr="003667EC" w:rsidRDefault="00676B57" w:rsidP="007F700A">
      <w:pPr>
        <w:pStyle w:val="enumlev1"/>
        <w:rPr>
          <w:color w:val="000000"/>
          <w:lang w:val="es-ES_tradnl"/>
        </w:rPr>
      </w:pPr>
      <w:r w:rsidRPr="003667EC">
        <w:rPr>
          <w:color w:val="000000"/>
          <w:lang w:val="es-ES_tradnl"/>
        </w:rPr>
        <w:t>–</w:t>
      </w:r>
      <w:r w:rsidRPr="003667EC">
        <w:rPr>
          <w:color w:val="000000"/>
          <w:lang w:val="es-ES_tradnl"/>
        </w:rPr>
        <w:tab/>
        <w:t>Frecuencias internacionales para llamada radiotelefónica (4</w:t>
      </w:r>
      <w:r w:rsidR="007F700A"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215, 6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255, 8</w:t>
      </w:r>
      <w:r w:rsidRPr="003667EC">
        <w:rPr>
          <w:color w:val="000000"/>
          <w:sz w:val="12"/>
          <w:lang w:val="es-ES_tradnl"/>
        </w:rPr>
        <w:t> </w:t>
      </w:r>
      <w:r w:rsidRPr="003667EC">
        <w:rPr>
          <w:color w:val="000000"/>
          <w:lang w:val="es-ES_tradnl"/>
        </w:rPr>
        <w:t>779, 12</w:t>
      </w:r>
      <w:r w:rsidRPr="003667EC">
        <w:rPr>
          <w:color w:val="000000"/>
          <w:sz w:val="12"/>
          <w:lang w:val="es-ES_tradnl"/>
        </w:rPr>
        <w:t> </w:t>
      </w:r>
      <w:r w:rsidRPr="003667EC">
        <w:rPr>
          <w:color w:val="000000"/>
          <w:lang w:val="es-ES_tradnl"/>
        </w:rPr>
        <w:t>290, 12</w:t>
      </w:r>
      <w:r w:rsidRPr="003667EC">
        <w:rPr>
          <w:rFonts w:ascii="Tms Rmn" w:hAnsi="Tms Rmn"/>
          <w:color w:val="000000"/>
          <w:sz w:val="12"/>
          <w:lang w:val="es-ES_tradnl"/>
        </w:rPr>
        <w:t> </w:t>
      </w:r>
      <w:r w:rsidRPr="003667EC">
        <w:rPr>
          <w:color w:val="000000"/>
          <w:lang w:val="es-ES_tradnl"/>
        </w:rPr>
        <w:t>359, 13</w:t>
      </w:r>
      <w:r w:rsidRPr="003667EC">
        <w:rPr>
          <w:color w:val="000000"/>
          <w:sz w:val="12"/>
          <w:lang w:val="es-ES_tradnl"/>
        </w:rPr>
        <w:t> </w:t>
      </w:r>
      <w:r w:rsidRPr="003667EC">
        <w:rPr>
          <w:color w:val="000000"/>
          <w:lang w:val="es-ES_tradnl"/>
        </w:rPr>
        <w:t>137, 16</w:t>
      </w:r>
      <w:r w:rsidRPr="003667EC">
        <w:rPr>
          <w:color w:val="000000"/>
          <w:sz w:val="12"/>
          <w:lang w:val="es-ES_tradnl"/>
        </w:rPr>
        <w:t> </w:t>
      </w:r>
      <w:r w:rsidRPr="003667EC">
        <w:rPr>
          <w:color w:val="000000"/>
          <w:lang w:val="es-ES_tradnl"/>
        </w:rPr>
        <w:t>420, 16</w:t>
      </w:r>
      <w:r w:rsidRPr="003667EC">
        <w:rPr>
          <w:rFonts w:ascii="Tms Rmn" w:hAnsi="Tms Rmn"/>
          <w:color w:val="000000"/>
          <w:sz w:val="12"/>
          <w:lang w:val="es-ES_tradnl"/>
        </w:rPr>
        <w:t> </w:t>
      </w:r>
      <w:r w:rsidRPr="003667EC">
        <w:rPr>
          <w:color w:val="000000"/>
          <w:lang w:val="es-ES_tradnl"/>
        </w:rPr>
        <w:t>537, 17</w:t>
      </w:r>
      <w:r w:rsidRPr="003667EC">
        <w:rPr>
          <w:color w:val="000000"/>
          <w:sz w:val="12"/>
          <w:lang w:val="es-ES_tradnl"/>
        </w:rPr>
        <w:t> </w:t>
      </w:r>
      <w:r w:rsidRPr="003667EC">
        <w:rPr>
          <w:color w:val="000000"/>
          <w:lang w:val="es-ES_tradnl"/>
        </w:rPr>
        <w:t>302, 18</w:t>
      </w:r>
      <w:r w:rsidRPr="003667EC">
        <w:rPr>
          <w:color w:val="000000"/>
          <w:sz w:val="12"/>
          <w:lang w:val="es-ES_tradnl"/>
        </w:rPr>
        <w:t> </w:t>
      </w:r>
      <w:r w:rsidRPr="003667EC">
        <w:rPr>
          <w:color w:val="000000"/>
          <w:lang w:val="es-ES_tradnl"/>
        </w:rPr>
        <w:t>795, 19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060, 22</w:t>
      </w:r>
      <w:r w:rsidRPr="003667EC">
        <w:rPr>
          <w:color w:val="000000"/>
          <w:sz w:val="12"/>
          <w:lang w:val="es-ES_tradnl"/>
        </w:rPr>
        <w:t> </w:t>
      </w:r>
      <w:r w:rsidRPr="003667EC">
        <w:rPr>
          <w:color w:val="000000"/>
          <w:lang w:val="es-ES_tradnl"/>
        </w:rPr>
        <w:t>756, 25</w:t>
      </w:r>
      <w:r w:rsidRPr="003667EC">
        <w:rPr>
          <w:color w:val="000000"/>
          <w:sz w:val="12"/>
          <w:lang w:val="es-ES_tradnl"/>
        </w:rPr>
        <w:t> </w:t>
      </w:r>
      <w:r w:rsidRPr="003667EC">
        <w:rPr>
          <w:color w:val="000000"/>
          <w:lang w:val="es-ES_tradnl"/>
        </w:rPr>
        <w:t>097 y 26</w:t>
      </w:r>
      <w:r w:rsidRPr="003667EC">
        <w:rPr>
          <w:color w:val="000000"/>
          <w:sz w:val="12"/>
          <w:lang w:val="es-ES_tradnl"/>
        </w:rPr>
        <w:t> </w:t>
      </w:r>
      <w:r w:rsidRPr="003667EC">
        <w:rPr>
          <w:color w:val="000000"/>
          <w:lang w:val="es-ES_tradnl"/>
        </w:rPr>
        <w:t>172 kHz).</w:t>
      </w:r>
    </w:p>
    <w:p w14:paraId="2CDFF0A0" w14:textId="06FD7B5D" w:rsidR="009C3798" w:rsidRDefault="00676B57" w:rsidP="009C3798">
      <w:pPr>
        <w:pStyle w:val="enumlev1"/>
        <w:rPr>
          <w:color w:val="000000"/>
          <w:lang w:val="es-ES_tradnl"/>
        </w:rPr>
      </w:pPr>
      <w:r w:rsidRPr="003667EC">
        <w:rPr>
          <w:color w:val="000000"/>
          <w:lang w:val="es-ES_tradnl"/>
        </w:rPr>
        <w:t>–</w:t>
      </w:r>
      <w:r w:rsidRPr="003667EC">
        <w:rPr>
          <w:color w:val="000000"/>
          <w:lang w:val="es-ES_tradnl"/>
        </w:rPr>
        <w:tab/>
        <w:t>Frecuencias internacionales para funcionamiento barco-costera o entre barcos (2</w:t>
      </w:r>
      <w:r w:rsidRPr="003667EC">
        <w:rPr>
          <w:color w:val="000000"/>
          <w:sz w:val="12"/>
          <w:lang w:val="es-ES_tradnl"/>
        </w:rPr>
        <w:t> </w:t>
      </w:r>
      <w:r w:rsidRPr="003667EC">
        <w:rPr>
          <w:color w:val="000000"/>
          <w:lang w:val="es-ES_tradnl"/>
        </w:rPr>
        <w:t>045, 2</w:t>
      </w:r>
      <w:r w:rsidRPr="003667EC">
        <w:rPr>
          <w:color w:val="000000"/>
          <w:sz w:val="12"/>
          <w:lang w:val="es-ES_tradnl"/>
        </w:rPr>
        <w:t> </w:t>
      </w:r>
      <w:r w:rsidRPr="003667EC">
        <w:rPr>
          <w:color w:val="000000"/>
          <w:lang w:val="es-ES_tradnl"/>
        </w:rPr>
        <w:t>048, 2</w:t>
      </w:r>
      <w:r w:rsidRPr="003667EC">
        <w:rPr>
          <w:color w:val="000000"/>
          <w:sz w:val="12"/>
          <w:lang w:val="es-ES_tradnl"/>
        </w:rPr>
        <w:t> </w:t>
      </w:r>
      <w:r w:rsidRPr="003667EC">
        <w:rPr>
          <w:color w:val="000000"/>
          <w:lang w:val="es-ES_tradnl"/>
        </w:rPr>
        <w:t>635 y 2</w:t>
      </w:r>
      <w:r w:rsidRPr="003667EC">
        <w:rPr>
          <w:color w:val="000000"/>
          <w:sz w:val="12"/>
          <w:lang w:val="es-ES_tradnl"/>
        </w:rPr>
        <w:t> </w:t>
      </w:r>
      <w:r w:rsidRPr="003667EC">
        <w:rPr>
          <w:color w:val="000000"/>
          <w:lang w:val="es-ES_tradnl"/>
        </w:rPr>
        <w:t>638 kHz).</w:t>
      </w:r>
    </w:p>
    <w:p w14:paraId="4572496B" w14:textId="77777777" w:rsidR="00243C1F" w:rsidRDefault="00243C1F" w:rsidP="009C3798">
      <w:pPr>
        <w:pStyle w:val="enumlev1"/>
        <w:rPr>
          <w:color w:val="000000"/>
          <w:lang w:val="es-ES_tradnl"/>
        </w:rPr>
      </w:pPr>
    </w:p>
    <w:p w14:paraId="261EF3EE" w14:textId="77777777" w:rsidR="00B97C02" w:rsidRDefault="00B97C02" w:rsidP="009C3798">
      <w:pPr>
        <w:pStyle w:val="enumlev1"/>
        <w:rPr>
          <w:color w:val="000000"/>
          <w:lang w:val="es-ES_tradnl"/>
        </w:rPr>
        <w:sectPr w:rsidR="00B97C02"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0C80C815" w14:textId="77777777"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14:paraId="43888035"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14:paraId="66AB3C08" w14:textId="77777777"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Si</w:t>
      </w:r>
      <w:proofErr w:type="gramEnd"/>
      <w:r w:rsidRPr="003667EC">
        <w:rPr>
          <w:color w:val="000000"/>
          <w:lang w:val="es-ES_tradnl"/>
        </w:rPr>
        <w:t xml:space="preserve">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22AE362" w14:textId="77777777" w:rsidR="00A60C28" w:rsidRPr="003667EC" w:rsidRDefault="00A60C28" w:rsidP="007E3FFE">
      <w:pPr>
        <w:pStyle w:val="Heading8"/>
        <w:rPr>
          <w:color w:val="000000"/>
          <w:lang w:val="es-ES_tradnl"/>
        </w:rPr>
      </w:pPr>
      <w:r w:rsidRPr="003667EC">
        <w:rPr>
          <w:color w:val="000000"/>
          <w:lang w:val="es-ES_tradnl"/>
        </w:rPr>
        <w:t>11.14</w:t>
      </w:r>
    </w:p>
    <w:p w14:paraId="526216B2" w14:textId="77777777"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14:paraId="180D7A51"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14:paraId="581A2C1F"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14:paraId="7F1B9206" w14:textId="267E1CDD" w:rsidR="00676B57" w:rsidRDefault="00676B57" w:rsidP="00676B57">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Si</w:t>
      </w:r>
      <w:proofErr w:type="gramEnd"/>
      <w:r w:rsidRPr="003667EC">
        <w:rPr>
          <w:color w:val="000000"/>
          <w:lang w:val="es-ES_tradnl"/>
        </w:rPr>
        <w:t xml:space="preserve">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4F261F07" w14:textId="77777777" w:rsidR="00243C1F" w:rsidRPr="003667EC" w:rsidRDefault="00243C1F" w:rsidP="00676B57">
      <w:pPr>
        <w:rPr>
          <w:color w:val="000000"/>
          <w:lang w:val="es-ES_tradnl"/>
        </w:rPr>
      </w:pPr>
    </w:p>
    <w:p w14:paraId="5FBDFE8B" w14:textId="77777777" w:rsidR="00B97C02" w:rsidRDefault="00B97C02" w:rsidP="007E3FFE">
      <w:pPr>
        <w:rPr>
          <w:color w:val="000000"/>
          <w:lang w:val="es-ES_tradnl"/>
        </w:rPr>
        <w:sectPr w:rsidR="00B97C02" w:rsidSect="00E41FDD">
          <w:headerReference w:type="even" r:id="rId9"/>
          <w:footnotePr>
            <w:pos w:val="beneathText"/>
            <w:numFmt w:val="chicago"/>
          </w:footnotePr>
          <w:pgSz w:w="11907" w:h="16840" w:code="9"/>
          <w:pgMar w:top="1701" w:right="851" w:bottom="1134" w:left="1985" w:header="720" w:footer="482" w:gutter="0"/>
          <w:cols w:space="720"/>
          <w:vAlign w:val="both"/>
        </w:sectPr>
      </w:pPr>
    </w:p>
    <w:p w14:paraId="16DAF8D5" w14:textId="77777777"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r>
      <w:proofErr w:type="gramStart"/>
      <w:r w:rsidRPr="003667EC">
        <w:rPr>
          <w:color w:val="000000"/>
          <w:lang w:val="es-ES_tradnl"/>
        </w:rPr>
        <w:t>Teniendo</w:t>
      </w:r>
      <w:proofErr w:type="gramEnd"/>
      <w:r w:rsidRPr="003667EC">
        <w:rPr>
          <w:color w:val="000000"/>
          <w:lang w:val="es-ES_tradnl"/>
        </w:rPr>
        <w:t xml:space="preserve">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14:paraId="6988D127" w14:textId="77777777" w:rsidR="00A60C28" w:rsidRPr="003667EC" w:rsidRDefault="00A60C28" w:rsidP="00BF0573">
      <w:pPr>
        <w:pStyle w:val="Heading8"/>
        <w:spacing w:before="240"/>
        <w:rPr>
          <w:lang w:val="es-ES_tradnl"/>
        </w:rPr>
      </w:pPr>
      <w:r w:rsidRPr="003667EC">
        <w:rPr>
          <w:lang w:val="es-ES_tradnl"/>
        </w:rPr>
        <w:t>11.17</w:t>
      </w:r>
    </w:p>
    <w:p w14:paraId="40CCB3D6" w14:textId="77777777"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14:paraId="081BFD73" w14:textId="77777777" w:rsidR="00A60C28" w:rsidRPr="003667EC" w:rsidRDefault="00A60C28">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14:paraId="34D6DD0D" w14:textId="77777777" w:rsidR="00A60C28" w:rsidRPr="003667EC" w:rsidRDefault="00A60C28">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las estaciones del servicio de radiodifusión en cualquier banda (número </w:t>
      </w:r>
      <w:r w:rsidRPr="003667EC">
        <w:rPr>
          <w:rStyle w:val="Artref"/>
          <w:b/>
          <w:color w:val="000000"/>
          <w:lang w:val="es-ES_tradnl"/>
        </w:rPr>
        <w:t>11.19</w:t>
      </w:r>
      <w:r w:rsidRPr="003667EC">
        <w:rPr>
          <w:color w:val="000000"/>
          <w:lang w:val="es-ES_tradnl"/>
        </w:rPr>
        <w:t>).</w:t>
      </w:r>
    </w:p>
    <w:p w14:paraId="31EAFF02" w14:textId="77777777"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14:paraId="53F949D9" w14:textId="03A86A9B"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w:t>
      </w:r>
      <w:r w:rsidR="00243C1F">
        <w:rPr>
          <w:color w:val="000000"/>
          <w:lang w:val="es-ES_tradnl"/>
        </w:rPr>
        <w:t xml:space="preserve"> </w:t>
      </w:r>
      <w:r w:rsidRPr="003667EC">
        <w:rPr>
          <w:color w:val="000000"/>
          <w:lang w:val="es-ES_tradnl"/>
        </w:rPr>
        <w:t xml:space="preserve">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w:t>
      </w:r>
      <w:r w:rsidRPr="003667EC">
        <w:rPr>
          <w:color w:val="000000"/>
          <w:lang w:val="es-ES_tradnl"/>
        </w:rPr>
        <w:lastRenderedPageBreak/>
        <w:t>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14:paraId="1D92DA62" w14:textId="77777777" w:rsidR="009C3798" w:rsidRDefault="00A60C28" w:rsidP="00E41FDD">
      <w:pPr>
        <w:rPr>
          <w:color w:val="000000"/>
          <w:lang w:val="es-ES_tradnl"/>
        </w:rPr>
      </w:pPr>
      <w:r w:rsidRPr="003667EC">
        <w:rPr>
          <w:color w:val="000000"/>
          <w:lang w:val="es-ES_tradnl"/>
        </w:rPr>
        <w:t>4</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14:paraId="25D09F32" w14:textId="77777777"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14:paraId="4F78007A" w14:textId="77777777"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14:paraId="49B734D1" w14:textId="63253506"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14:paraId="1472105E" w14:textId="371D304D"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14:paraId="76EAA2D6" w14:textId="77777777"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14:paraId="2275F0E4" w14:textId="77777777"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14:paraId="21A72C21" w14:textId="77777777"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r>
      <w:proofErr w:type="gramStart"/>
      <w:r w:rsidRPr="003667EC">
        <w:rPr>
          <w:color w:val="000000"/>
          <w:lang w:val="es-ES_tradnl"/>
        </w:rPr>
        <w:t>Las</w:t>
      </w:r>
      <w:proofErr w:type="gramEnd"/>
      <w:r w:rsidRPr="003667EC">
        <w:rPr>
          <w:color w:val="000000"/>
          <w:lang w:val="es-ES_tradnl"/>
        </w:rPr>
        <w:t xml:space="preserve">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14:paraId="2554A48A" w14:textId="77777777" w:rsidR="00E41FDD" w:rsidRDefault="00E41FDD" w:rsidP="00FB6506">
      <w:pPr>
        <w:spacing w:before="120"/>
        <w:rPr>
          <w:color w:val="000000"/>
          <w:lang w:val="es-ES_tradnl"/>
        </w:rPr>
      </w:pPr>
      <w:r>
        <w:rPr>
          <w:color w:val="000000"/>
          <w:lang w:val="es-ES_tradnl"/>
        </w:rPr>
        <w:br w:type="page"/>
      </w:r>
    </w:p>
    <w:p w14:paraId="3B38FE9A" w14:textId="0BEB5887" w:rsidR="00A60C28" w:rsidRPr="003667EC" w:rsidRDefault="00A60C28" w:rsidP="009243FB">
      <w:pPr>
        <w:pStyle w:val="Heading8"/>
        <w:rPr>
          <w:color w:val="000000"/>
          <w:lang w:val="es-ES_tradnl"/>
        </w:rPr>
      </w:pPr>
      <w:r w:rsidRPr="003667EC">
        <w:rPr>
          <w:color w:val="000000"/>
          <w:lang w:val="es-ES_tradnl"/>
        </w:rPr>
        <w:lastRenderedPageBreak/>
        <w:t>11.28</w:t>
      </w:r>
    </w:p>
    <w:p w14:paraId="148C23D4" w14:textId="77777777"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14:paraId="5F47333C" w14:textId="77777777"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14:paraId="49857FFB" w14:textId="77777777"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14:paraId="218B8B57" w14:textId="77777777"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14:paraId="016D4334" w14:textId="77777777"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14:paraId="57B7D703" w14:textId="77777777"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14:paraId="42C085FA" w14:textId="77777777" w:rsidR="00AB7173" w:rsidRDefault="00AB7173" w:rsidP="00AB7173">
      <w:pPr>
        <w:rPr>
          <w:lang w:val="es-ES_tradnl"/>
        </w:rPr>
      </w:pPr>
    </w:p>
    <w:p w14:paraId="6EE09EBC" w14:textId="77777777" w:rsidR="00997054" w:rsidRDefault="00997054" w:rsidP="00FB6506">
      <w:pPr>
        <w:pStyle w:val="enumlev1"/>
        <w:rPr>
          <w:rFonts w:asciiTheme="minorHAnsi" w:hAnsiTheme="minorHAnsi"/>
          <w:color w:val="000000"/>
          <w:lang w:val="es-ES_tradnl"/>
        </w:rPr>
        <w:sectPr w:rsidR="00997054" w:rsidSect="00E41FDD">
          <w:headerReference w:type="even" r:id="rId10"/>
          <w:footnotePr>
            <w:pos w:val="beneathText"/>
            <w:numFmt w:val="chicago"/>
          </w:footnotePr>
          <w:pgSz w:w="11907" w:h="16840" w:code="9"/>
          <w:pgMar w:top="1701" w:right="851" w:bottom="1134" w:left="1985" w:header="720" w:footer="482" w:gutter="0"/>
          <w:cols w:space="720"/>
          <w:vAlign w:val="both"/>
        </w:sectPr>
      </w:pPr>
    </w:p>
    <w:p w14:paraId="3A36871C" w14:textId="77777777" w:rsidR="00A60C28" w:rsidRPr="003667EC" w:rsidRDefault="00A60C28">
      <w:pPr>
        <w:pStyle w:val="Heading8"/>
        <w:rPr>
          <w:color w:val="000000"/>
          <w:lang w:val="es-ES_tradnl"/>
        </w:rPr>
      </w:pPr>
      <w:r w:rsidRPr="003667EC">
        <w:rPr>
          <w:color w:val="000000"/>
          <w:lang w:val="es-ES_tradnl"/>
        </w:rPr>
        <w:lastRenderedPageBreak/>
        <w:t>11.31</w:t>
      </w:r>
    </w:p>
    <w:p w14:paraId="58EA1DE7" w14:textId="77777777"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La</w:t>
      </w:r>
      <w:proofErr w:type="gramEnd"/>
      <w:r w:rsidRPr="003667EC">
        <w:rPr>
          <w:color w:val="000000"/>
          <w:lang w:val="es-ES_tradnl"/>
        </w:rPr>
        <w:t xml:space="preserve"> disposición número </w:t>
      </w:r>
      <w:r w:rsidRPr="003667EC">
        <w:rPr>
          <w:rStyle w:val="Artref"/>
          <w:b/>
          <w:color w:val="000000"/>
          <w:lang w:val="es-ES_tradnl"/>
        </w:rPr>
        <w:t>11.31.2</w:t>
      </w:r>
      <w:r w:rsidRPr="003667EC">
        <w:rPr>
          <w:color w:val="000000"/>
          <w:lang w:val="es-ES_tradnl"/>
        </w:rPr>
        <w:t xml:space="preserve"> estipula que las </w:t>
      </w:r>
      <w:r w:rsidRPr="00364B5B">
        <w:rPr>
          <w:i/>
          <w:iCs/>
          <w:color w:val="000000"/>
          <w:lang w:val="es-ES_tradnl"/>
        </w:rPr>
        <w:t>«demás disposiciones»</w:t>
      </w:r>
      <w:r w:rsidRPr="003667EC">
        <w:rPr>
          <w:color w:val="000000"/>
          <w:lang w:val="es-ES_tradnl"/>
        </w:rPr>
        <w:t xml:space="preserve">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14:paraId="288A13DE" w14:textId="77777777"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14:paraId="5428E32B"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14:paraId="3F9FD950" w14:textId="77777777"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w:t>
      </w:r>
      <w:proofErr w:type="gramStart"/>
      <w:r w:rsidRPr="003667EC">
        <w:rPr>
          <w:color w:val="000000"/>
          <w:lang w:val="es-ES_tradnl"/>
        </w:rPr>
        <w:t>hace mención de</w:t>
      </w:r>
      <w:proofErr w:type="gramEnd"/>
      <w:r w:rsidRPr="003667EC">
        <w:rPr>
          <w:color w:val="000000"/>
          <w:lang w:val="es-ES_tradnl"/>
        </w:rPr>
        <w:t xml:space="preserv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14:paraId="7260B318"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w:t>
      </w:r>
      <w:r w:rsidRPr="00364B5B">
        <w:rPr>
          <w:i/>
          <w:iCs/>
          <w:color w:val="000000"/>
          <w:lang w:val="es-ES_tradnl"/>
        </w:rPr>
        <w:t>«demás disposiciones»</w:t>
      </w:r>
      <w:r w:rsidRPr="003667EC">
        <w:rPr>
          <w:color w:val="000000"/>
          <w:lang w:val="es-ES_tradnl"/>
        </w:rPr>
        <w:t xml:space="preserve">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14:paraId="02C3822E" w14:textId="4F3A42C2"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A</w:t>
      </w:r>
      <w:proofErr w:type="gramEnd"/>
      <w:r w:rsidRPr="003667EC">
        <w:rPr>
          <w:color w:val="000000"/>
          <w:lang w:val="es-ES_tradnl"/>
        </w:rPr>
        <w:t xml:space="preserve"> continuación se indica la lista de </w:t>
      </w:r>
      <w:r w:rsidRPr="00364B5B">
        <w:rPr>
          <w:i/>
          <w:iCs/>
          <w:color w:val="000000"/>
          <w:lang w:val="es-ES_tradnl"/>
        </w:rPr>
        <w:t>«las demás disposiciones»</w:t>
      </w:r>
      <w:r w:rsidRPr="003667EC">
        <w:rPr>
          <w:color w:val="000000"/>
          <w:lang w:val="es-ES_tradnl"/>
        </w:rPr>
        <w:t xml:space="preserve">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p>
    <w:p w14:paraId="2165C5E7" w14:textId="77777777"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14:paraId="5865E252" w14:textId="77777777"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14:paraId="57A8457F" w14:textId="70145DEB" w:rsidR="00F064A9"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14:paraId="5863FE2D" w14:textId="77777777" w:rsidR="00243C1F" w:rsidRPr="003667EC" w:rsidRDefault="00243C1F" w:rsidP="007E3FFE">
      <w:pPr>
        <w:rPr>
          <w:color w:val="000000"/>
          <w:lang w:val="es-ES_tradnl"/>
        </w:rPr>
      </w:pPr>
    </w:p>
    <w:p w14:paraId="6D7EED94" w14:textId="77777777" w:rsidR="00997054" w:rsidRDefault="00997054" w:rsidP="004306BF">
      <w:pPr>
        <w:rPr>
          <w:color w:val="000000"/>
          <w:lang w:val="es-ES"/>
        </w:rPr>
        <w:sectPr w:rsidR="00997054" w:rsidSect="00E41FDD">
          <w:headerReference w:type="even" r:id="rId11"/>
          <w:footnotePr>
            <w:pos w:val="beneathText"/>
            <w:numFmt w:val="chicago"/>
          </w:footnotePr>
          <w:pgSz w:w="11907" w:h="16840" w:code="9"/>
          <w:pgMar w:top="1701" w:right="851" w:bottom="1134" w:left="1985" w:header="720" w:footer="482" w:gutter="0"/>
          <w:cols w:space="720"/>
          <w:vAlign w:val="both"/>
        </w:sectPr>
      </w:pPr>
    </w:p>
    <w:p w14:paraId="396D3BCE" w14:textId="77777777"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14:paraId="2E9C1D30" w14:textId="77777777"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14:paraId="40144D98" w14:textId="77777777" w:rsidTr="00700F38">
        <w:trPr>
          <w:cantSplit/>
          <w:jc w:val="center"/>
        </w:trPr>
        <w:tc>
          <w:tcPr>
            <w:tcW w:w="2835" w:type="dxa"/>
            <w:tcBorders>
              <w:top w:val="nil"/>
              <w:left w:val="nil"/>
            </w:tcBorders>
          </w:tcPr>
          <w:p w14:paraId="36187BA0" w14:textId="77777777"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14:paraId="644B8403" w14:textId="77777777"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14:paraId="752E037B" w14:textId="77777777" w:rsidTr="00700F38">
        <w:trPr>
          <w:cantSplit/>
          <w:jc w:val="center"/>
        </w:trPr>
        <w:tc>
          <w:tcPr>
            <w:tcW w:w="2835" w:type="dxa"/>
          </w:tcPr>
          <w:p w14:paraId="65F18646"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14:paraId="7DB92542"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14:paraId="42D76284" w14:textId="77777777"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14:paraId="5BEB4070" w14:textId="77777777"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14:paraId="6B13E466" w14:textId="77777777"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14:paraId="5B711E34" w14:textId="77777777" w:rsidTr="00700F38">
        <w:trPr>
          <w:cantSplit/>
          <w:jc w:val="center"/>
        </w:trPr>
        <w:tc>
          <w:tcPr>
            <w:tcW w:w="2835" w:type="dxa"/>
            <w:tcBorders>
              <w:bottom w:val="single" w:sz="6" w:space="0" w:color="auto"/>
            </w:tcBorders>
          </w:tcPr>
          <w:p w14:paraId="01486B37"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14:paraId="5245D540"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14:paraId="5C12E1E6" w14:textId="77777777"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14:paraId="321D3504" w14:textId="77777777" w:rsidTr="00700F38">
        <w:trPr>
          <w:cantSplit/>
          <w:jc w:val="center"/>
        </w:trPr>
        <w:tc>
          <w:tcPr>
            <w:tcW w:w="2835" w:type="dxa"/>
          </w:tcPr>
          <w:p w14:paraId="1DA08F14" w14:textId="77777777"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14:paraId="339DB21B" w14:textId="77777777"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14:paraId="43C6865B" w14:textId="77777777"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14:paraId="258799C5" w14:textId="77777777" w:rsidR="00F064A9" w:rsidRPr="003667EC" w:rsidRDefault="00F064A9" w:rsidP="00F064A9">
      <w:pPr>
        <w:pStyle w:val="TableFin"/>
        <w:rPr>
          <w:color w:val="000000"/>
          <w:lang w:val="es-ES_tradnl"/>
        </w:rPr>
      </w:pPr>
    </w:p>
    <w:p w14:paraId="5E22E0B3" w14:textId="77777777"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14:paraId="7B130D76" w14:textId="77777777"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14:paraId="24F8714A" w14:textId="77777777" w:rsidR="00F064A9" w:rsidRDefault="00F064A9" w:rsidP="00F064A9">
      <w:pPr>
        <w:rPr>
          <w:lang w:val="es-ES_tradnl"/>
        </w:rPr>
      </w:pPr>
      <w:r w:rsidRPr="003667EC">
        <w:rPr>
          <w:lang w:val="es-ES_tradnl"/>
        </w:rPr>
        <w:t>2.5.2</w:t>
      </w:r>
      <w:r w:rsidRPr="003667EC">
        <w:rPr>
          <w:lang w:val="es-ES_tradnl"/>
        </w:rPr>
        <w:tab/>
        <w:t>conformidad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14:paraId="6A1EDC74" w14:textId="5861D88B" w:rsidR="008036F8" w:rsidRDefault="008036F8" w:rsidP="008036F8">
      <w:pPr>
        <w:rPr>
          <w:color w:val="000000"/>
          <w:lang w:val="es-ES_tradnl"/>
        </w:rPr>
      </w:pPr>
      <w:r w:rsidRPr="003667EC">
        <w:rPr>
          <w:color w:val="000000"/>
          <w:lang w:val="es-ES_tradnl"/>
        </w:rPr>
        <w:t>2.6</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14:paraId="3CBD4462" w14:textId="77777777" w:rsidR="00243C1F" w:rsidRPr="003667EC" w:rsidRDefault="00243C1F" w:rsidP="008036F8">
      <w:pPr>
        <w:rPr>
          <w:color w:val="000000"/>
          <w:lang w:val="es-ES_tradnl"/>
        </w:rPr>
      </w:pPr>
    </w:p>
    <w:p w14:paraId="3CFC2D4D" w14:textId="77777777" w:rsidR="00997054" w:rsidRDefault="00997054" w:rsidP="008036F8">
      <w:pPr>
        <w:rPr>
          <w:color w:val="000000"/>
          <w:lang w:val="es-ES_tradnl"/>
        </w:rPr>
        <w:sectPr w:rsidR="00997054" w:rsidSect="00E41FDD">
          <w:headerReference w:type="default" r:id="rId12"/>
          <w:footnotePr>
            <w:pos w:val="beneathText"/>
            <w:numFmt w:val="chicago"/>
          </w:footnotePr>
          <w:pgSz w:w="11907" w:h="16840" w:code="9"/>
          <w:pgMar w:top="1701" w:right="851" w:bottom="1134" w:left="1985" w:header="720" w:footer="482" w:gutter="0"/>
          <w:cols w:space="720"/>
          <w:vAlign w:val="both"/>
        </w:sectPr>
      </w:pPr>
    </w:p>
    <w:p w14:paraId="3162B0AD" w14:textId="77777777" w:rsidR="00F064A9" w:rsidRPr="003667EC" w:rsidRDefault="00F064A9" w:rsidP="006B1FA3">
      <w:pPr>
        <w:spacing w:before="60"/>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14:paraId="32209E30" w14:textId="77777777" w:rsidR="00F064A9" w:rsidRPr="003667EC" w:rsidRDefault="00F064A9" w:rsidP="006B1FA3">
      <w:pPr>
        <w:spacing w:before="60"/>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14:paraId="286159E7" w14:textId="2A441DA6" w:rsidR="00F064A9" w:rsidRPr="002C5784" w:rsidRDefault="00F064A9" w:rsidP="006B1FA3">
      <w:pPr>
        <w:spacing w:before="60"/>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w:t>
      </w:r>
      <w:r w:rsidR="00151019">
        <w:rPr>
          <w:rStyle w:val="FootnoteReference"/>
          <w:color w:val="000000"/>
          <w:lang w:val="es-ES_tradnl"/>
        </w:rPr>
        <w:footnoteReference w:customMarkFollows="1" w:id="9"/>
        <w:t>9</w:t>
      </w:r>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14:paraId="39C2AAD1" w14:textId="77777777" w:rsidR="00F064A9" w:rsidRPr="003667EC" w:rsidRDefault="00F064A9" w:rsidP="006B1FA3">
      <w:pPr>
        <w:spacing w:before="60"/>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14:paraId="7C1FDABB" w14:textId="7D994923" w:rsidR="00F064A9" w:rsidRDefault="00F064A9" w:rsidP="006B1FA3">
      <w:pPr>
        <w:spacing w:before="60"/>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14:paraId="724DE4EE" w14:textId="3367B517" w:rsidR="0009055E" w:rsidRPr="005E5EFE" w:rsidRDefault="0009055E" w:rsidP="006B1FA3">
      <w:pPr>
        <w:spacing w:before="60" w:line="280" w:lineRule="exact"/>
        <w:rPr>
          <w:i/>
          <w:iCs/>
          <w:szCs w:val="22"/>
          <w:lang w:val="es-ES_tradnl"/>
        </w:rPr>
      </w:pPr>
      <w:r w:rsidRPr="005E5EFE">
        <w:rPr>
          <w:szCs w:val="22"/>
          <w:lang w:val="es-ES_tradnl"/>
        </w:rPr>
        <w:t>2.6.6</w:t>
      </w:r>
      <w:r w:rsidRPr="005E5EFE">
        <w:rPr>
          <w:szCs w:val="22"/>
          <w:lang w:val="es-ES_tradnl"/>
        </w:rPr>
        <w:tab/>
        <w:t xml:space="preserve">conformidad con el límite aplicable a la interferencia de una sola fuente que se especifica en el número </w:t>
      </w:r>
      <w:r w:rsidRPr="005E5EFE">
        <w:rPr>
          <w:b/>
          <w:bCs/>
          <w:szCs w:val="22"/>
          <w:lang w:val="es-ES_tradnl"/>
        </w:rPr>
        <w:t>22.5L</w:t>
      </w:r>
      <w:r w:rsidRPr="005E5EFE">
        <w:rPr>
          <w:szCs w:val="22"/>
          <w:lang w:val="es-ES_tradnl"/>
        </w:rPr>
        <w:t xml:space="preserve"> para los sistemas de satélites no geoestacionarios del servicio fijo por satélite;</w:t>
      </w:r>
    </w:p>
    <w:p w14:paraId="31546B7C" w14:textId="1474C0BF" w:rsidR="0009055E" w:rsidRPr="005E5EFE" w:rsidRDefault="0009055E" w:rsidP="006B1FA3">
      <w:pPr>
        <w:spacing w:before="60" w:line="280" w:lineRule="exact"/>
        <w:rPr>
          <w:szCs w:val="22"/>
          <w:lang w:val="es-ES_tradnl"/>
        </w:rPr>
      </w:pPr>
      <w:r w:rsidRPr="005E5EFE">
        <w:rPr>
          <w:szCs w:val="22"/>
          <w:lang w:val="es-ES_tradnl"/>
        </w:rPr>
        <w:t>2.6.7</w:t>
      </w:r>
      <w:r w:rsidRPr="005E5EFE">
        <w:rPr>
          <w:szCs w:val="22"/>
          <w:lang w:val="es-ES_tradnl"/>
        </w:rPr>
        <w:tab/>
        <w:t xml:space="preserve">conformidad con el límite de densidad de flujo de potencia (dfp) producida por las estaciones terrenas en la OSG, según se indica en el número </w:t>
      </w:r>
      <w:r w:rsidRPr="005E5EFE">
        <w:rPr>
          <w:b/>
          <w:bCs/>
          <w:szCs w:val="22"/>
          <w:lang w:val="es-ES_tradnl"/>
        </w:rPr>
        <w:t>22.40</w:t>
      </w:r>
      <w:r w:rsidRPr="005E5EFE">
        <w:rPr>
          <w:szCs w:val="22"/>
          <w:lang w:val="es-ES_tradnl"/>
        </w:rPr>
        <w:t>;</w:t>
      </w:r>
    </w:p>
    <w:p w14:paraId="0EAC329E" w14:textId="7FC8B54C" w:rsidR="0009055E" w:rsidRPr="00A160F1" w:rsidRDefault="0009055E" w:rsidP="006B1FA3">
      <w:pPr>
        <w:spacing w:before="60" w:line="280" w:lineRule="exact"/>
        <w:rPr>
          <w:rFonts w:eastAsia="SimSun"/>
          <w:szCs w:val="22"/>
          <w:lang w:val="es-ES_tradnl"/>
        </w:rPr>
      </w:pPr>
      <w:r w:rsidRPr="005E5EFE">
        <w:rPr>
          <w:szCs w:val="22"/>
          <w:lang w:val="es-ES_tradnl"/>
        </w:rPr>
        <w:t>2.6.8</w:t>
      </w:r>
      <w:r w:rsidRPr="005E5EFE">
        <w:rPr>
          <w:szCs w:val="22"/>
          <w:lang w:val="es-ES_tradnl"/>
        </w:rPr>
        <w:tab/>
        <w:t xml:space="preserve">conformidad con el límite especificado en los números </w:t>
      </w:r>
      <w:r w:rsidRPr="005E5EFE">
        <w:rPr>
          <w:b/>
          <w:bCs/>
          <w:szCs w:val="22"/>
          <w:lang w:val="es-ES_tradnl"/>
        </w:rPr>
        <w:t>22.8</w:t>
      </w:r>
      <w:r w:rsidRPr="005E5EFE">
        <w:rPr>
          <w:szCs w:val="22"/>
          <w:lang w:val="es-ES_tradnl"/>
        </w:rPr>
        <w:t xml:space="preserve">, </w:t>
      </w:r>
      <w:r w:rsidRPr="005E5EFE">
        <w:rPr>
          <w:b/>
          <w:bCs/>
          <w:szCs w:val="22"/>
          <w:lang w:val="es-ES_tradnl"/>
        </w:rPr>
        <w:t>22.13</w:t>
      </w:r>
      <w:r w:rsidRPr="005E5EFE">
        <w:rPr>
          <w:szCs w:val="22"/>
          <w:lang w:val="es-ES_tradnl"/>
        </w:rPr>
        <w:t xml:space="preserve">, </w:t>
      </w:r>
      <w:r w:rsidRPr="005E5EFE">
        <w:rPr>
          <w:b/>
          <w:bCs/>
          <w:szCs w:val="22"/>
          <w:lang w:val="es-ES_tradnl"/>
        </w:rPr>
        <w:t>22.17</w:t>
      </w:r>
      <w:r w:rsidRPr="005E5EFE">
        <w:rPr>
          <w:szCs w:val="22"/>
          <w:lang w:val="es-ES_tradnl"/>
        </w:rPr>
        <w:t xml:space="preserve"> y </w:t>
      </w:r>
      <w:r w:rsidRPr="005E5EFE">
        <w:rPr>
          <w:b/>
          <w:bCs/>
          <w:szCs w:val="22"/>
          <w:lang w:val="es-ES_tradnl"/>
        </w:rPr>
        <w:t>22.19</w:t>
      </w:r>
      <w:r w:rsidRPr="005E5EFE">
        <w:rPr>
          <w:szCs w:val="22"/>
          <w:lang w:val="es-ES_tradnl"/>
        </w:rPr>
        <w:t>.</w:t>
      </w:r>
    </w:p>
    <w:p w14:paraId="17626D01" w14:textId="77777777" w:rsidR="00F064A9" w:rsidRPr="003667EC" w:rsidRDefault="00F064A9" w:rsidP="006B1FA3">
      <w:pPr>
        <w:spacing w:before="60"/>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Otras</w:t>
      </w:r>
      <w:proofErr w:type="gramEnd"/>
      <w:r w:rsidRPr="003667EC">
        <w:rPr>
          <w:color w:val="000000"/>
          <w:lang w:val="es-ES_tradnl"/>
        </w:rPr>
        <w:t xml:space="preserve">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14:paraId="35FC77DC" w14:textId="77777777" w:rsidR="00F064A9" w:rsidRPr="003667EC" w:rsidRDefault="00F064A9" w:rsidP="006B1FA3">
      <w:pPr>
        <w:pStyle w:val="Heading1"/>
        <w:spacing w:before="60"/>
        <w:rPr>
          <w:sz w:val="24"/>
          <w:szCs w:val="24"/>
          <w:lang w:val="es-ES_tradnl"/>
        </w:rPr>
      </w:pPr>
      <w:r w:rsidRPr="00376B7F">
        <w:rPr>
          <w:color w:val="000000"/>
          <w:lang w:val="es-ES_tradnl"/>
        </w:rPr>
        <w:t>4</w:t>
      </w:r>
      <w:r w:rsidRPr="00376B7F">
        <w:rPr>
          <w:color w:val="000000"/>
          <w:lang w:val="es-ES_tradnl"/>
        </w:rPr>
        <w:tab/>
      </w:r>
      <w:r w:rsidRPr="003667EC">
        <w:rPr>
          <w:b w:val="0"/>
          <w:bCs/>
          <w:sz w:val="24"/>
          <w:szCs w:val="24"/>
          <w:lang w:val="es-ES_tradnl"/>
        </w:rPr>
        <w:t>(No utilizado)</w:t>
      </w:r>
    </w:p>
    <w:p w14:paraId="318F0B1D" w14:textId="77777777" w:rsidR="00F064A9" w:rsidRPr="003667EC" w:rsidRDefault="00F064A9" w:rsidP="006B1FA3">
      <w:pPr>
        <w:pStyle w:val="Heading1"/>
        <w:spacing w:before="60" w:line="280" w:lineRule="exact"/>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Conformidad</w:t>
      </w:r>
      <w:proofErr w:type="gramEnd"/>
      <w:r w:rsidRPr="003667EC">
        <w:rPr>
          <w:color w:val="000000"/>
          <w:lang w:val="es-ES_tradnl"/>
        </w:rPr>
        <w:t xml:space="preserve"> con el Cuadro de atribución de bandas de frecuencias</w:t>
      </w:r>
    </w:p>
    <w:p w14:paraId="57AA295B" w14:textId="77777777" w:rsidR="00F064A9" w:rsidRPr="003667EC" w:rsidRDefault="00F064A9" w:rsidP="006B1FA3">
      <w:pPr>
        <w:spacing w:before="60"/>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14:paraId="36016F63" w14:textId="77777777" w:rsidR="00997054" w:rsidRDefault="00997054" w:rsidP="00F064A9">
      <w:pPr>
        <w:rPr>
          <w:color w:val="000000"/>
          <w:lang w:val="es-ES_tradnl"/>
        </w:rPr>
        <w:sectPr w:rsidR="00997054" w:rsidSect="00E41FDD">
          <w:headerReference w:type="even" r:id="rId13"/>
          <w:footnotePr>
            <w:pos w:val="beneathText"/>
            <w:numFmt w:val="chicago"/>
          </w:footnotePr>
          <w:pgSz w:w="11907" w:h="16840" w:code="9"/>
          <w:pgMar w:top="1701" w:right="851" w:bottom="1134" w:left="1985" w:header="720" w:footer="482" w:gutter="0"/>
          <w:cols w:space="720"/>
          <w:vAlign w:val="both"/>
        </w:sectPr>
      </w:pPr>
    </w:p>
    <w:p w14:paraId="701AEEF2" w14:textId="77777777"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14:paraId="544DACC7" w14:textId="77777777"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14:paraId="42EA39AA" w14:textId="77777777"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14:paraId="2EB313C3" w14:textId="77777777"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14:paraId="2709F3FC"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14:paraId="43E1E3B6"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14:paraId="4BE99CCD" w14:textId="77777777" w:rsidR="00F064A9" w:rsidRPr="003667EC" w:rsidRDefault="00F064A9" w:rsidP="00F064A9">
      <w:pPr>
        <w:rPr>
          <w:lang w:val="es-ES_tradnl"/>
        </w:rPr>
      </w:pPr>
      <w:r w:rsidRPr="003667EC">
        <w:rPr>
          <w:lang w:val="es-ES_tradnl"/>
        </w:rPr>
        <w:t>En respuesta a estas preguntas, la Junta llegó a las siguientes conclusiones:</w:t>
      </w:r>
    </w:p>
    <w:p w14:paraId="5C313C96" w14:textId="77777777"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14:paraId="67EE37B5" w14:textId="77777777"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14:paraId="38DC0634" w14:textId="77777777"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14:paraId="6BE6BE7F" w14:textId="77777777" w:rsidR="008036F8" w:rsidRDefault="008036F8" w:rsidP="00141CA8">
      <w:pPr>
        <w:pStyle w:val="enumlev1"/>
        <w:rPr>
          <w:i/>
          <w:color w:val="000000"/>
          <w:lang w:val="es-ES_tradnl"/>
        </w:rPr>
      </w:pPr>
      <w:r>
        <w:rPr>
          <w:i/>
          <w:color w:val="000000"/>
          <w:lang w:val="es-ES_tradnl"/>
        </w:rPr>
        <w:br w:type="page"/>
      </w:r>
    </w:p>
    <w:p w14:paraId="0E270487" w14:textId="77777777"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14:paraId="09E56239" w14:textId="77777777"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14:paraId="3FF5DA82" w14:textId="77777777" w:rsidR="00141CA8" w:rsidRPr="003667EC" w:rsidRDefault="00141CA8" w:rsidP="00141CA8">
      <w:pPr>
        <w:pStyle w:val="enumlev1"/>
        <w:rPr>
          <w:color w:val="000000"/>
          <w:lang w:val="es-ES_tradnl"/>
        </w:rPr>
      </w:pPr>
      <w:proofErr w:type="gramStart"/>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proofErr w:type="gramEnd"/>
      <w:r w:rsidRPr="003667EC">
        <w:rPr>
          <w:color w:val="000000"/>
          <w:lang w:val="es-ES_tradnl"/>
        </w:rPr>
        <w:tab/>
        <w:t xml:space="preserve">La estación espacial tiene una </w:t>
      </w:r>
      <w:r w:rsidRPr="00402C5C">
        <w:rPr>
          <w:i/>
          <w:iCs/>
          <w:color w:val="000000"/>
          <w:lang w:val="es-ES_tradnl"/>
        </w:rPr>
        <w:t xml:space="preserve">«zona de cobertura» </w:t>
      </w:r>
      <w:r w:rsidRPr="003667EC">
        <w:rPr>
          <w:color w:val="000000"/>
          <w:lang w:val="es-ES_tradnl"/>
        </w:rPr>
        <w:t xml:space="preserve">que generalmente comprende la </w:t>
      </w:r>
      <w:r w:rsidRPr="00402C5C">
        <w:rPr>
          <w:i/>
          <w:iCs/>
          <w:color w:val="000000"/>
          <w:lang w:val="es-ES_tradnl"/>
        </w:rPr>
        <w:t>«zona de servicio»</w:t>
      </w:r>
      <w:r w:rsidRPr="003667EC">
        <w:rPr>
          <w:color w:val="000000"/>
          <w:lang w:val="es-ES_tradnl"/>
        </w:rPr>
        <w:t xml:space="preserve">.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14:paraId="55CC70BC" w14:textId="77777777"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14:paraId="1F0DCF64" w14:textId="77777777"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14:paraId="6FD9E2CD" w14:textId="77777777"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r>
      <w:proofErr w:type="gramStart"/>
      <w:r w:rsidRPr="003667EC">
        <w:rPr>
          <w:color w:val="000000"/>
          <w:lang w:val="es-ES_tradnl"/>
        </w:rPr>
        <w:t>El</w:t>
      </w:r>
      <w:proofErr w:type="gramEnd"/>
      <w:r w:rsidRPr="003667EC">
        <w:rPr>
          <w:color w:val="000000"/>
          <w:lang w:val="es-ES_tradnl"/>
        </w:rPr>
        <w:t xml:space="preserve">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14:paraId="14DECA83" w14:textId="20DCFFA9" w:rsidR="00141CA8" w:rsidRDefault="00141CA8" w:rsidP="00141CA8">
      <w:pPr>
        <w:rPr>
          <w:color w:val="000000"/>
          <w:lang w:val="es-ES_tradnl"/>
        </w:rPr>
      </w:pPr>
      <w:r w:rsidRPr="003667EC">
        <w:rPr>
          <w:color w:val="000000"/>
          <w:lang w:val="es-ES_tradnl"/>
        </w:rPr>
        <w:t>7</w:t>
      </w:r>
      <w:r w:rsidRPr="003667EC">
        <w:rPr>
          <w:b/>
          <w:color w:val="000000"/>
          <w:lang w:val="es-ES_tradnl"/>
        </w:rPr>
        <w:tab/>
      </w:r>
      <w:proofErr w:type="gramStart"/>
      <w:r w:rsidRPr="003667EC">
        <w:rPr>
          <w:color w:val="000000"/>
          <w:lang w:val="es-ES_tradnl"/>
        </w:rPr>
        <w:t>El</w:t>
      </w:r>
      <w:proofErr w:type="gramEnd"/>
      <w:r w:rsidRPr="003667EC">
        <w:rPr>
          <w:color w:val="000000"/>
          <w:lang w:val="es-ES_tradnl"/>
        </w:rPr>
        <w:t xml:space="preserve">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solamente cuando se la informe de que existe tal acuerdo. La Oficina trata este acuerdo separadamente del acuerdo de coordinación.</w:t>
      </w:r>
    </w:p>
    <w:p w14:paraId="420BB6C4" w14:textId="77777777" w:rsidR="008036F8" w:rsidRDefault="008036F8" w:rsidP="00141CA8">
      <w:pPr>
        <w:rPr>
          <w:color w:val="000000"/>
          <w:lang w:val="es-ES_tradnl"/>
        </w:rPr>
      </w:pPr>
      <w:r>
        <w:rPr>
          <w:color w:val="000000"/>
          <w:lang w:val="es-ES_tradnl"/>
        </w:rPr>
        <w:br w:type="page"/>
      </w:r>
    </w:p>
    <w:p w14:paraId="566F595D" w14:textId="77777777" w:rsidR="00A60C28" w:rsidRPr="003667EC" w:rsidRDefault="00A60C28">
      <w:pPr>
        <w:pStyle w:val="Heading8"/>
        <w:rPr>
          <w:color w:val="000000"/>
          <w:lang w:val="es-ES_tradnl"/>
        </w:rPr>
      </w:pPr>
      <w:r w:rsidRPr="003667EC">
        <w:rPr>
          <w:color w:val="000000"/>
          <w:lang w:val="es-ES_tradnl"/>
        </w:rPr>
        <w:lastRenderedPageBreak/>
        <w:t>11.32</w:t>
      </w:r>
    </w:p>
    <w:p w14:paraId="08C42EAA" w14:textId="77777777" w:rsidR="00D72BCF" w:rsidRPr="003667EC" w:rsidRDefault="00D72BCF" w:rsidP="009C54F8">
      <w:pPr>
        <w:pStyle w:val="Heading1"/>
        <w:spacing w:before="360"/>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una asignación de frecuencia a una estación espacial</w:t>
      </w:r>
    </w:p>
    <w:p w14:paraId="693ED61E" w14:textId="77777777" w:rsidR="00D72BCF" w:rsidRPr="003667EC" w:rsidRDefault="00D72BCF" w:rsidP="00D72BCF">
      <w:pPr>
        <w:rPr>
          <w:color w:val="000000"/>
          <w:lang w:val="es-ES_tradnl"/>
        </w:rPr>
      </w:pPr>
      <w:r w:rsidRPr="003667EC">
        <w:rPr>
          <w:color w:val="000000"/>
          <w:lang w:val="es-ES_tradnl"/>
        </w:rPr>
        <w:t xml:space="preserve">La aplicación literal de esta disposición conduciría al examen de la asignación notificada con cualquier estación identificada en aplicación del número </w:t>
      </w:r>
      <w:r w:rsidRPr="003667EC">
        <w:rPr>
          <w:rStyle w:val="Artref"/>
          <w:b/>
          <w:color w:val="000000"/>
          <w:lang w:val="es-ES_tradnl"/>
        </w:rPr>
        <w:t>9.27</w:t>
      </w:r>
      <w:r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Pr="003667EC">
        <w:rPr>
          <w:color w:val="000000"/>
          <w:lang w:val="es-ES_tradnl"/>
        </w:rPr>
        <w:t>nación. La Junta adoptó un enfoque práctico que consiste en lo siguiente:</w:t>
      </w:r>
    </w:p>
    <w:p w14:paraId="2AA93D1A" w14:textId="0D00D4BF"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Los cálculos con respecto a las redes de una administración que, según lo indicado en la notificación, ha dado su acuerdo para la coordinación (números</w:t>
      </w:r>
      <w:r w:rsidR="00243C1F">
        <w:rPr>
          <w:color w:val="000000"/>
          <w:lang w:val="es-ES_tradnl"/>
        </w:rPr>
        <w:t>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14:paraId="3999E01E" w14:textId="77777777"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14:paraId="5F37B849" w14:textId="77777777"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14:paraId="77A5BD1B" w14:textId="77777777"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14:paraId="2C54A6ED" w14:textId="77777777"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14:paraId="46949E26" w14:textId="77777777" w:rsidR="008036F8" w:rsidRDefault="008036F8" w:rsidP="008036F8">
      <w:pPr>
        <w:rPr>
          <w:lang w:val="es-ES_tradnl"/>
        </w:rPr>
      </w:pPr>
      <w:r>
        <w:rPr>
          <w:lang w:val="es-ES_tradnl"/>
        </w:rPr>
        <w:br w:type="page"/>
      </w:r>
    </w:p>
    <w:p w14:paraId="4E83FFA8" w14:textId="77777777" w:rsidR="00A60C28" w:rsidRPr="003667EC" w:rsidRDefault="00A60C28" w:rsidP="00B76760">
      <w:pPr>
        <w:pStyle w:val="Heading1"/>
        <w:spacing w:line="280" w:lineRule="exact"/>
        <w:rPr>
          <w:color w:val="000000"/>
          <w:lang w:val="es-ES_tradnl"/>
        </w:rPr>
      </w:pPr>
      <w:r w:rsidRPr="003667EC">
        <w:rPr>
          <w:color w:val="000000"/>
          <w:lang w:val="es-ES_tradnl"/>
        </w:rPr>
        <w:lastRenderedPageBreak/>
        <w:t>2</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14:paraId="38F3A06E"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14:paraId="755E71FA" w14:textId="77777777"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14:paraId="434771BE" w14:textId="62706492"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w:t>
      </w:r>
      <w:r w:rsidR="00243C1F">
        <w:rPr>
          <w:color w:val="000000"/>
          <w:lang w:val="es-ES_tradnl"/>
        </w:rPr>
        <w:t xml:space="preserve"> </w:t>
      </w:r>
      <w:r w:rsidRPr="003667EC">
        <w:rPr>
          <w:color w:val="000000"/>
          <w:lang w:val="es-ES_tradnl"/>
        </w:rPr>
        <w:t>vez</w:t>
      </w:r>
    </w:p>
    <w:p w14:paraId="26E34B7C" w14:textId="5A36D148"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 xml:space="preserve">ciones correspondientes a la estación espacial asociada (por </w:t>
      </w:r>
      <w:r w:rsidR="001929B4" w:rsidRPr="003667EC">
        <w:rPr>
          <w:color w:val="000000"/>
          <w:lang w:val="es-ES_tradnl"/>
        </w:rPr>
        <w:t>ejemplo,</w:t>
      </w:r>
      <w:r w:rsidRPr="003667EC">
        <w:rPr>
          <w:color w:val="000000"/>
          <w:lang w:val="es-ES_tradnl"/>
        </w:rPr>
        <w:t xml:space="preserve"> la red de satélites).</w:t>
      </w:r>
    </w:p>
    <w:p w14:paraId="78D39621" w14:textId="77777777"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14:paraId="68337822" w14:textId="77777777"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14:paraId="19948BD7"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14:paraId="72C588A0"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14:paraId="1F1753F2" w14:textId="77777777" w:rsidR="008036F8" w:rsidRDefault="008036F8">
      <w:pPr>
        <w:pStyle w:val="enumlev1"/>
        <w:rPr>
          <w:i/>
          <w:color w:val="000000"/>
          <w:lang w:val="es-ES_tradnl"/>
        </w:rPr>
      </w:pPr>
      <w:r>
        <w:rPr>
          <w:i/>
          <w:color w:val="000000"/>
          <w:lang w:val="es-ES_tradnl"/>
        </w:rPr>
        <w:br w:type="page"/>
      </w:r>
    </w:p>
    <w:p w14:paraId="5CFC1B17"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14:paraId="4EA839B1" w14:textId="77777777"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14:paraId="26BA0A34" w14:textId="77777777"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14:paraId="4A262AA2" w14:textId="77777777"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14:paraId="353E561B" w14:textId="77777777"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14:paraId="337A07B3" w14:textId="77777777" w:rsidR="00A60C28" w:rsidRPr="003667EC" w:rsidRDefault="00A60C28">
      <w:pPr>
        <w:rPr>
          <w:color w:val="000000"/>
          <w:lang w:val="es-ES_tradnl"/>
        </w:rPr>
      </w:pPr>
      <w:r w:rsidRPr="003667EC">
        <w:rPr>
          <w:color w:val="000000"/>
          <w:lang w:val="es-ES_tradnl"/>
        </w:rPr>
        <w:t>Esta categoría puede incluir los casos siguientes:</w:t>
      </w:r>
    </w:p>
    <w:p w14:paraId="6B863936"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14:paraId="174DCEFF" w14:textId="77777777" w:rsidR="00F01943" w:rsidRDefault="00F01943">
      <w:pPr>
        <w:pStyle w:val="enumlev1"/>
        <w:rPr>
          <w:i/>
          <w:color w:val="000000"/>
          <w:lang w:val="es-ES_tradnl"/>
        </w:rPr>
      </w:pPr>
      <w:r>
        <w:rPr>
          <w:i/>
          <w:color w:val="000000"/>
          <w:lang w:val="es-ES_tradnl"/>
        </w:rPr>
        <w:br w:type="page"/>
      </w:r>
    </w:p>
    <w:p w14:paraId="1F0AC236"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14:paraId="7AC96695" w14:textId="77777777"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14:paraId="1B716196" w14:textId="77777777"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14:paraId="67B969EB" w14:textId="77777777"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14:paraId="4F213F93" w14:textId="77777777"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14:paraId="4990D71F" w14:textId="77777777"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14:paraId="5499AF9B" w14:textId="77777777"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14:paraId="26F2A401" w14:textId="77777777"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asociada,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14:paraId="458A73E8" w14:textId="77777777"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14:paraId="6B8D784D" w14:textId="77777777" w:rsidR="00A60C28" w:rsidRPr="003667EC" w:rsidRDefault="00A60C28">
      <w:pPr>
        <w:rPr>
          <w:color w:val="000000"/>
          <w:lang w:val="es-ES_tradnl"/>
        </w:rPr>
      </w:pPr>
      <w:r w:rsidRPr="003667EC">
        <w:rPr>
          <w:color w:val="000000"/>
          <w:lang w:val="es-ES_tradnl"/>
        </w:rPr>
        <w:t>La modificación de una asignación a una estación terrena puede afectar a:</w:t>
      </w:r>
    </w:p>
    <w:p w14:paraId="2D4D06D4"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14:paraId="7F0BB95F"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14:paraId="7FD360DA"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 xml:space="preserve">la modificación de otra u </w:t>
      </w:r>
      <w:proofErr w:type="gramStart"/>
      <w:r w:rsidRPr="003667EC">
        <w:rPr>
          <w:color w:val="000000"/>
          <w:lang w:val="es-ES_tradnl"/>
        </w:rPr>
        <w:t>otras característica</w:t>
      </w:r>
      <w:proofErr w:type="gramEnd"/>
      <w:r w:rsidRPr="003667EC">
        <w:rPr>
          <w:color w:val="000000"/>
          <w:lang w:val="es-ES_tradnl"/>
        </w:rPr>
        <w:t>(s) cualesquiera.</w:t>
      </w:r>
    </w:p>
    <w:p w14:paraId="6B378866" w14:textId="77777777" w:rsidR="00F01943" w:rsidRDefault="00F01943" w:rsidP="00F01943">
      <w:pPr>
        <w:rPr>
          <w:lang w:val="es-ES_tradnl"/>
        </w:rPr>
      </w:pPr>
      <w:r>
        <w:rPr>
          <w:lang w:val="es-ES_tradnl"/>
        </w:rPr>
        <w:br w:type="page"/>
      </w:r>
    </w:p>
    <w:p w14:paraId="4C789EF9" w14:textId="77777777"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14:paraId="4A77A247" w14:textId="77777777"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14:paraId="6A99663E" w14:textId="77777777"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14:paraId="19F43A4F" w14:textId="77777777"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14:paraId="496D9DC0" w14:textId="77777777"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14:paraId="0D49994F" w14:textId="77777777"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14:paraId="5B8B14E9" w14:textId="77777777"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14:paraId="01AE04BE" w14:textId="77777777"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14:paraId="0BF89530" w14:textId="77777777"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r>
      <w:proofErr w:type="gramStart"/>
      <w:r w:rsidRPr="003667EC">
        <w:rPr>
          <w:lang w:val="es-ES_tradnl"/>
        </w:rPr>
        <w:t>Examen</w:t>
      </w:r>
      <w:proofErr w:type="gramEnd"/>
      <w:r w:rsidRPr="003667EC">
        <w:rPr>
          <w:lang w:val="es-ES_tradnl"/>
        </w:rPr>
        <w:t xml:space="preserve">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14:paraId="5A8013B3" w14:textId="77777777"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14:paraId="7E80B2E0" w14:textId="77777777" w:rsidR="00F01943" w:rsidRPr="003667EC" w:rsidRDefault="004C44AE" w:rsidP="00F60ECF">
      <w:pPr>
        <w:rPr>
          <w:color w:val="000000"/>
          <w:u w:val="single"/>
          <w:lang w:val="es-ES_tradnl"/>
        </w:rPr>
      </w:pPr>
      <w:r w:rsidRPr="003667EC">
        <w:rPr>
          <w:lang w:val="es-ES_tradnl"/>
        </w:rPr>
        <w:br w:type="page"/>
      </w:r>
    </w:p>
    <w:p w14:paraId="2A5B2BC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notificaciones de asignación de frecuencia a estaciones en los servicios terrenales en las bandas compartidas con igualdad de derechos con el servicio espacial</w:t>
      </w:r>
    </w:p>
    <w:p w14:paraId="06AAE9BB" w14:textId="77777777"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14:paraId="65D55125" w14:textId="6D881881"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003421C9">
        <w:rPr>
          <w:rStyle w:val="FootnoteReference"/>
          <w:color w:val="000000"/>
          <w:lang w:val="es-ES_tradnl"/>
        </w:rPr>
        <w:footnoteReference w:customMarkFollows="1" w:id="10"/>
        <w:t>10</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14:paraId="4396EAB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notificaciones de asignación de frecuencia a esta</w:t>
      </w:r>
      <w:r w:rsidRPr="003667EC">
        <w:rPr>
          <w:color w:val="000000"/>
          <w:lang w:val="es-ES_tradnl"/>
        </w:rPr>
        <w:softHyphen/>
        <w:t>ciones terrenas que funcionan en sentido opuesto de transmisión</w:t>
      </w:r>
    </w:p>
    <w:p w14:paraId="0FB6FBAC" w14:textId="77777777"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14:paraId="79E1A7C2" w14:textId="77777777"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14:paraId="60EDB91B" w14:textId="77777777" w:rsidR="00F01943" w:rsidRDefault="00F01943" w:rsidP="00F01943">
      <w:pPr>
        <w:rPr>
          <w:lang w:val="es-ES_tradnl"/>
        </w:rPr>
      </w:pPr>
      <w:r>
        <w:rPr>
          <w:lang w:val="es-ES_tradnl"/>
        </w:rPr>
        <w:br w:type="page"/>
      </w:r>
    </w:p>
    <w:p w14:paraId="1AE335ED" w14:textId="77777777"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asignaciones de frecuencia a un enlace entre satélites de una estación espacial geoestacionaria que se comunica con una estación espacial no geoestacionaria</w:t>
      </w:r>
    </w:p>
    <w:p w14:paraId="199874E8" w14:textId="77777777"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14:paraId="08C9976A" w14:textId="77777777"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 xml:space="preserve">ambos extremos del enlace entre satélites, es decir a la estación OSG del </w:t>
      </w:r>
      <w:proofErr w:type="gramStart"/>
      <w:r w:rsidRPr="003667EC">
        <w:rPr>
          <w:color w:val="000000"/>
          <w:lang w:val="es-ES_tradnl"/>
        </w:rPr>
        <w:t>enlace</w:t>
      </w:r>
      <w:proofErr w:type="gramEnd"/>
      <w:r w:rsidRPr="003667EC">
        <w:rPr>
          <w:color w:val="000000"/>
          <w:lang w:val="es-ES_tradnl"/>
        </w:rPr>
        <w:t xml:space="preserve"> así como a la no OSG, coordinando de este modo todo el enlace (como ocurre en otras formas de coordinación); o</w:t>
      </w:r>
    </w:p>
    <w:p w14:paraId="38C27AA6" w14:textId="77777777"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14:paraId="17E8148A" w14:textId="77777777"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 xml:space="preserve">a ninguna de las estaciones del enlace entre satélites, dejando todo el enlace entre satélites sin coordinar (como ocurre cuando no procede la coordinación, por </w:t>
      </w:r>
      <w:proofErr w:type="gramStart"/>
      <w:r w:rsidRPr="003667EC">
        <w:rPr>
          <w:color w:val="000000"/>
          <w:lang w:val="es-ES_tradnl"/>
        </w:rPr>
        <w:t>ejemplo</w:t>
      </w:r>
      <w:proofErr w:type="gramEnd"/>
      <w:r w:rsidRPr="003667EC">
        <w:rPr>
          <w:color w:val="000000"/>
          <w:lang w:val="es-ES_tradnl"/>
        </w:rPr>
        <w:t xml:space="preserve"> en las redes no OSG).</w:t>
      </w:r>
    </w:p>
    <w:p w14:paraId="3D68AAA1" w14:textId="77777777"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14:paraId="7366BAAD" w14:textId="77777777"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14:paraId="47147708" w14:textId="77777777"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14:paraId="7727553B" w14:textId="77777777"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14:paraId="3AFDA4C8" w14:textId="77777777"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14:paraId="2FA7594F" w14:textId="77777777"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14:paraId="4219FE92" w14:textId="77777777"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14:paraId="7A47FCD4" w14:textId="77777777" w:rsidR="00F01943" w:rsidRDefault="00F01943" w:rsidP="00363FC4">
      <w:pPr>
        <w:spacing w:before="40"/>
        <w:rPr>
          <w:b/>
          <w:bCs/>
          <w:lang w:val="es-ES_tradnl" w:eastAsia="zh-CN"/>
        </w:rPr>
      </w:pPr>
      <w:r>
        <w:rPr>
          <w:b/>
          <w:bCs/>
          <w:lang w:val="es-ES_tradnl" w:eastAsia="zh-CN"/>
        </w:rPr>
        <w:br w:type="page"/>
      </w:r>
    </w:p>
    <w:p w14:paraId="36BB5065" w14:textId="4CA996AF" w:rsidR="008254E1" w:rsidRPr="008254E1" w:rsidRDefault="008254E1" w:rsidP="00363FC4">
      <w:pPr>
        <w:spacing w:before="40"/>
        <w:rPr>
          <w:lang w:val="es-ES_tradnl" w:eastAsia="zh-CN"/>
        </w:rPr>
      </w:pPr>
      <w:r w:rsidRPr="008254E1">
        <w:rPr>
          <w:b/>
          <w:bCs/>
          <w:lang w:val="es-ES_tradnl" w:eastAsia="zh-CN"/>
        </w:rPr>
        <w:lastRenderedPageBreak/>
        <w:t>Nota</w:t>
      </w:r>
      <w:r w:rsidR="00290328">
        <w:rPr>
          <w:lang w:val="es-ES_tradnl"/>
        </w:rPr>
        <w:t> </w:t>
      </w:r>
      <w:r w:rsidRPr="008254E1">
        <w:rPr>
          <w:lang w:val="es-ES_tradnl"/>
        </w:rPr>
        <w:t>–</w:t>
      </w:r>
      <w:r w:rsidR="00290328">
        <w:rPr>
          <w:lang w:val="es-ES_tradnl"/>
        </w:rPr>
        <w:t>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505 de la CMR-15) con la aprobación de Documento 416 de la CMR-15 en relación con el apartado 3.2.3.2 del Documento 4 (Add.</w:t>
      </w:r>
      <w:proofErr w:type="gramStart"/>
      <w:r w:rsidRPr="008254E1">
        <w:rPr>
          <w:lang w:val="es-ES_tradnl" w:eastAsia="zh-CN"/>
        </w:rPr>
        <w:t>2)(</w:t>
      </w:r>
      <w:proofErr w:type="gramEnd"/>
      <w:r w:rsidRPr="008254E1">
        <w:rPr>
          <w:lang w:val="es-ES_tradnl" w:eastAsia="zh-CN"/>
        </w:rPr>
        <w:t xml:space="preserve">Rev.1), </w:t>
      </w:r>
      <w:r w:rsidRPr="008254E1">
        <w:rPr>
          <w:lang w:val="es-ES_tradnl"/>
        </w:rPr>
        <w:t>y estipuló lo siguiente</w:t>
      </w:r>
      <w:r w:rsidRPr="008254E1">
        <w:rPr>
          <w:rFonts w:eastAsia="SimSun"/>
          <w:lang w:val="es-ES_tradnl" w:eastAsia="zh-CN"/>
        </w:rPr>
        <w:t>:</w:t>
      </w:r>
    </w:p>
    <w:p w14:paraId="4B080470" w14:textId="77777777"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14:paraId="0D9F1D0C" w14:textId="77777777"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14:paraId="2C2A1F77" w14:textId="77777777"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14:paraId="6705E45B" w14:textId="77777777" w:rsidR="00A60C28" w:rsidRPr="003667EC" w:rsidRDefault="00A60C28" w:rsidP="00DA47A4">
      <w:pPr>
        <w:pStyle w:val="Heading8"/>
        <w:spacing w:before="240"/>
        <w:rPr>
          <w:color w:val="000000"/>
          <w:lang w:val="es-ES_tradnl"/>
        </w:rPr>
      </w:pPr>
      <w:r w:rsidRPr="003667EC">
        <w:rPr>
          <w:color w:val="000000"/>
          <w:lang w:val="es-ES_tradnl"/>
        </w:rPr>
        <w:t>11.32A</w:t>
      </w:r>
    </w:p>
    <w:p w14:paraId="681665E0" w14:textId="77777777"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14:paraId="3E4F3504" w14:textId="77777777" w:rsidR="00A60C28" w:rsidRPr="003667EC" w:rsidRDefault="00A60C28" w:rsidP="00DA47A4">
      <w:pPr>
        <w:pStyle w:val="Heading8"/>
        <w:spacing w:before="240"/>
        <w:rPr>
          <w:color w:val="000000"/>
          <w:lang w:val="es-ES_tradnl"/>
        </w:rPr>
      </w:pPr>
      <w:r w:rsidRPr="003667EC">
        <w:rPr>
          <w:color w:val="000000"/>
          <w:lang w:val="es-ES_tradnl"/>
        </w:rPr>
        <w:t>11.34</w:t>
      </w:r>
    </w:p>
    <w:p w14:paraId="7FB1B0D8" w14:textId="77777777"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Bandas</w:t>
      </w:r>
      <w:proofErr w:type="gramEnd"/>
      <w:r w:rsidRPr="003667EC">
        <w:rPr>
          <w:color w:val="000000"/>
          <w:lang w:val="es-ES_tradnl"/>
        </w:rPr>
        <w:t xml:space="preserve"> regidas por el Apéndice </w:t>
      </w:r>
      <w:r w:rsidRPr="003667EC">
        <w:rPr>
          <w:rStyle w:val="Appref"/>
          <w:color w:val="000000"/>
          <w:lang w:val="es-ES_tradnl"/>
        </w:rPr>
        <w:t>25</w:t>
      </w:r>
    </w:p>
    <w:p w14:paraId="5EDA38DE" w14:textId="77777777"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14:paraId="74C473CA" w14:textId="77777777"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14:paraId="2F9AEFBD" w14:textId="77777777" w:rsidR="00D70EFE" w:rsidRDefault="00D70EFE" w:rsidP="00D70EFE">
      <w:pPr>
        <w:spacing w:before="120"/>
        <w:rPr>
          <w:color w:val="000000"/>
          <w:lang w:val="es-ES_tradnl"/>
        </w:rPr>
      </w:pPr>
      <w:r>
        <w:rPr>
          <w:color w:val="000000"/>
          <w:lang w:val="es-ES_tradnl"/>
        </w:rPr>
        <w:br w:type="page"/>
      </w:r>
    </w:p>
    <w:p w14:paraId="65EBFA1A" w14:textId="7B9CD5EE"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Las actualizaciones del Plan, a través de la aplicación del procedimiento del antiguo Artículo 16 del Reglamento de Radiocomunicaciones (edición de 1990, revisada en</w:t>
      </w:r>
      <w:r w:rsidR="00290328">
        <w:rPr>
          <w:color w:val="000000"/>
          <w:lang w:val="es-ES_tradnl"/>
        </w:rPr>
        <w:t> </w:t>
      </w:r>
      <w:r w:rsidRPr="003667EC">
        <w:rPr>
          <w:color w:val="000000"/>
          <w:lang w:val="es-ES_tradnl"/>
        </w:rPr>
        <w:t xml:space="preserve">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14:paraId="28E6AC7C" w14:textId="77777777"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1"/>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14:paraId="3473E03F" w14:textId="77777777"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14:paraId="5C6EAA80" w14:textId="77777777"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14:paraId="1C8FD3A2" w14:textId="7E853F0F"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Las características de las notificaciones de asignación de frecuencia, que corresponden a las adjudicaciones del Plan «original» del Apéndice</w:t>
      </w:r>
      <w:r w:rsidR="00290328">
        <w:rPr>
          <w:color w:val="000000"/>
          <w:lang w:val="es-ES_tradnl"/>
        </w:rPr>
        <w:t>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de conformidad con los números</w:t>
      </w:r>
      <w:r w:rsidR="00290328">
        <w:rPr>
          <w:color w:val="000000"/>
          <w:lang w:val="es-ES_tradnl"/>
        </w:rPr>
        <w:t>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14:paraId="54B6AD3D" w14:textId="77777777" w:rsidR="00D01428" w:rsidRDefault="00D01428" w:rsidP="00BF0573">
      <w:pPr>
        <w:spacing w:before="120"/>
        <w:rPr>
          <w:color w:val="000000"/>
          <w:lang w:val="es-ES_tradnl"/>
        </w:rPr>
      </w:pPr>
      <w:r>
        <w:rPr>
          <w:color w:val="000000"/>
          <w:lang w:val="es-ES_tradnl"/>
        </w:rPr>
        <w:br w:type="page"/>
      </w:r>
    </w:p>
    <w:p w14:paraId="7F20F09F" w14:textId="77777777"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14:paraId="2DBC0072" w14:textId="77777777"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2"/>
      </w:r>
    </w:p>
    <w:p w14:paraId="2069D27C" w14:textId="77777777"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Bandas</w:t>
      </w:r>
      <w:proofErr w:type="gramEnd"/>
      <w:r w:rsidRPr="003667EC">
        <w:rPr>
          <w:color w:val="000000"/>
          <w:lang w:val="es-ES_tradnl"/>
        </w:rPr>
        <w:t xml:space="preserve"> regidas por los Planes regionales de asignación o adjudicación</w:t>
      </w:r>
    </w:p>
    <w:p w14:paraId="16BC93F3" w14:textId="77777777"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14:paraId="5B848DE5" w14:textId="77777777"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14:paraId="07446203" w14:textId="77777777"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14:paraId="6570BC11" w14:textId="77777777"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14:paraId="30EBD41C" w14:textId="77777777"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14:paraId="6234FA48" w14:textId="77777777"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14:paraId="25727A45" w14:textId="77777777" w:rsidR="00D01428" w:rsidRDefault="00D01428" w:rsidP="005A408A">
      <w:pPr>
        <w:spacing w:before="120"/>
        <w:rPr>
          <w:color w:val="000000"/>
          <w:lang w:val="es-ES_tradnl"/>
        </w:rPr>
      </w:pPr>
      <w:r>
        <w:rPr>
          <w:color w:val="000000"/>
          <w:lang w:val="es-ES_tradnl"/>
        </w:rPr>
        <w:br w:type="page"/>
      </w:r>
    </w:p>
    <w:p w14:paraId="33C961F0" w14:textId="77777777"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14:paraId="4FBF08DB" w14:textId="77777777"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14:paraId="6EC39D23" w14:textId="77777777" w:rsidR="00A60C28" w:rsidRPr="003667EC" w:rsidRDefault="00A60C28" w:rsidP="004C44AE">
      <w:pPr>
        <w:pStyle w:val="Heading8"/>
        <w:rPr>
          <w:color w:val="000000"/>
          <w:lang w:val="es-ES_tradnl"/>
        </w:rPr>
      </w:pPr>
      <w:r w:rsidRPr="003667EC">
        <w:rPr>
          <w:color w:val="000000"/>
          <w:lang w:val="es-ES_tradnl"/>
        </w:rPr>
        <w:t>11.36</w:t>
      </w:r>
    </w:p>
    <w:p w14:paraId="617030EA" w14:textId="77777777"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14:paraId="28115BBF" w14:textId="77777777" w:rsidR="00A60C28" w:rsidRPr="003667EC" w:rsidRDefault="00A60C28" w:rsidP="004C44AE">
      <w:pPr>
        <w:pStyle w:val="Heading8"/>
        <w:rPr>
          <w:color w:val="000000"/>
          <w:lang w:val="es-ES_tradnl"/>
        </w:rPr>
      </w:pPr>
      <w:r w:rsidRPr="003667EC">
        <w:rPr>
          <w:color w:val="000000"/>
          <w:lang w:val="es-ES_tradnl"/>
        </w:rPr>
        <w:t>11.37</w:t>
      </w:r>
    </w:p>
    <w:p w14:paraId="3CF986F4" w14:textId="543538F9"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90328">
        <w:rPr>
          <w:color w:val="000000"/>
          <w:lang w:val="es-ES_tradnl"/>
        </w:rPr>
        <w:t xml:space="preserve"> </w:t>
      </w:r>
      <w:r w:rsidRPr="003667EC">
        <w:rPr>
          <w:color w:val="000000"/>
          <w:lang w:val="es-ES_tradnl"/>
        </w:rPr>
        <w:t xml:space="preserve">Cuadro de atribución de bandas de </w:t>
      </w:r>
      <w:proofErr w:type="gramStart"/>
      <w:r w:rsidRPr="003667EC">
        <w:rPr>
          <w:color w:val="000000"/>
          <w:lang w:val="es-ES_tradnl"/>
        </w:rPr>
        <w:t>frecuencias</w:t>
      </w:r>
      <w:proofErr w:type="gramEnd"/>
      <w:r w:rsidRPr="003667EC">
        <w:rPr>
          <w:color w:val="000000"/>
          <w:lang w:val="es-ES_tradnl"/>
        </w:rPr>
        <w:t xml:space="preserve"> pero para la que no se ha completado el</w:t>
      </w:r>
      <w:r w:rsidR="00290328">
        <w:rPr>
          <w:color w:val="000000"/>
          <w:lang w:val="es-ES_tradnl"/>
        </w:rPr>
        <w:t xml:space="preserve"> </w:t>
      </w:r>
      <w:r w:rsidRPr="003667EC">
        <w:rPr>
          <w:color w:val="000000"/>
          <w:lang w:val="es-ES_tradnl"/>
        </w:rPr>
        <w:t>procedimiento de coordinación correspondiente (por ejemplo, los números</w:t>
      </w:r>
      <w:r w:rsidR="00290328">
        <w:rPr>
          <w:color w:val="000000"/>
          <w:lang w:val="es-ES_tradnl"/>
        </w:rPr>
        <w:t>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14:paraId="1788F16A" w14:textId="77777777" w:rsidR="00F17FBF" w:rsidRDefault="00F17FBF"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rFonts w:ascii="Times New Roman Bold" w:hAnsi="Times New Roman Bold" w:cs="Times New Roman Bold"/>
          <w:b/>
          <w:color w:val="000000"/>
          <w:spacing w:val="-6"/>
          <w:lang w:val="es-ES_tradnl"/>
        </w:rPr>
        <w:sectPr w:rsidR="00F17FBF" w:rsidSect="00007AA8">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61EC4C45" w14:textId="50563DAD"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p>
    <w:p w14:paraId="4136E149" w14:textId="77777777"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14:paraId="716D8EC6" w14:textId="77777777" w:rsidR="00A60C28" w:rsidRPr="003667EC" w:rsidRDefault="00A60C28" w:rsidP="00514FDE">
      <w:pPr>
        <w:pStyle w:val="Heading8"/>
        <w:spacing w:before="240" w:line="250" w:lineRule="exact"/>
        <w:rPr>
          <w:lang w:val="es-ES_tradnl"/>
        </w:rPr>
      </w:pPr>
      <w:r w:rsidRPr="003667EC">
        <w:rPr>
          <w:lang w:val="es-ES_tradnl"/>
        </w:rPr>
        <w:t>11.43A</w:t>
      </w:r>
    </w:p>
    <w:p w14:paraId="130B394B" w14:textId="537EDE27" w:rsidR="00A60C28" w:rsidRPr="003667EC" w:rsidRDefault="00A60C28" w:rsidP="00514FDE">
      <w:pPr>
        <w:spacing w:before="120" w:line="250" w:lineRule="exact"/>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La</w:t>
      </w:r>
      <w:proofErr w:type="gramEnd"/>
      <w:r w:rsidRPr="003667EC">
        <w:rPr>
          <w:color w:val="000000"/>
          <w:lang w:val="es-ES_tradnl"/>
        </w:rPr>
        <w:t xml:space="preserve"> modificación de una red espacial puede efectuarse durante el proceso de coor</w:t>
      </w:r>
      <w:r w:rsidRPr="003667EC">
        <w:rPr>
          <w:color w:val="000000"/>
          <w:lang w:val="es-ES_tradnl"/>
        </w:rPr>
        <w:softHyphen/>
        <w:t>dinación; este caso queda contemplado en los comentarios de las Reglas de Procedimiento referentes a los números </w:t>
      </w:r>
      <w:r w:rsidRPr="003667EC">
        <w:rPr>
          <w:rStyle w:val="Artref"/>
          <w:b/>
          <w:color w:val="000000"/>
          <w:lang w:val="es-ES_tradnl"/>
        </w:rPr>
        <w:t>9.27</w:t>
      </w:r>
      <w:r w:rsidRPr="003667EC">
        <w:rPr>
          <w:color w:val="000000"/>
          <w:lang w:val="es-ES_tradnl"/>
        </w:rPr>
        <w:t xml:space="preserve"> (§ </w:t>
      </w:r>
      <w:r w:rsidR="00437321">
        <w:rPr>
          <w:color w:val="000000"/>
          <w:lang w:val="es-ES_tradnl"/>
        </w:rPr>
        <w:t>2</w:t>
      </w:r>
      <w:r w:rsidRPr="003667EC">
        <w:rPr>
          <w:color w:val="000000"/>
          <w:lang w:val="es-ES_tradnl"/>
        </w:rPr>
        <w:t xml:space="preserve">), </w:t>
      </w:r>
      <w:r w:rsidRPr="003667EC">
        <w:rPr>
          <w:rStyle w:val="Artref"/>
          <w:b/>
          <w:color w:val="000000"/>
          <w:lang w:val="es-ES_tradnl"/>
        </w:rPr>
        <w:t>9.58</w:t>
      </w:r>
      <w:r w:rsidRPr="003667EC">
        <w:rPr>
          <w:color w:val="000000"/>
          <w:lang w:val="es-ES_tradnl"/>
        </w:rPr>
        <w:t xml:space="preserve">, </w:t>
      </w:r>
      <w:r w:rsidRPr="003667EC">
        <w:rPr>
          <w:rStyle w:val="Artref"/>
          <w:b/>
          <w:color w:val="000000"/>
          <w:lang w:val="es-ES_tradnl"/>
        </w:rPr>
        <w:t>11.28</w:t>
      </w:r>
      <w:r w:rsidRPr="003667EC">
        <w:rPr>
          <w:color w:val="000000"/>
          <w:lang w:val="es-ES_tradnl"/>
        </w:rPr>
        <w:t xml:space="preserve"> y </w:t>
      </w:r>
      <w:r w:rsidRPr="003667EC">
        <w:rPr>
          <w:rStyle w:val="Artref"/>
          <w:b/>
          <w:color w:val="000000"/>
          <w:lang w:val="es-ES_tradnl"/>
        </w:rPr>
        <w:t>11.32</w:t>
      </w:r>
      <w:r w:rsidRPr="003667EC">
        <w:rPr>
          <w:color w:val="000000"/>
          <w:lang w:val="es-ES_tradnl"/>
        </w:rPr>
        <w:t>.</w:t>
      </w:r>
      <w:r w:rsidR="00437321" w:rsidRPr="00437321">
        <w:rPr>
          <w:sz w:val="16"/>
          <w:szCs w:val="16"/>
          <w:lang w:val="es-ES"/>
        </w:rPr>
        <w:t>     (MOD RRB22/484)</w:t>
      </w:r>
    </w:p>
    <w:p w14:paraId="30A1B35C" w14:textId="2DFF43E4" w:rsidR="009056FF" w:rsidRPr="009056FF" w:rsidRDefault="009056FF" w:rsidP="009243FB">
      <w:pPr>
        <w:rPr>
          <w:rFonts w:asciiTheme="majorBidi" w:hAnsiTheme="majorBidi" w:cstheme="majorBidi"/>
          <w:lang w:val="es-ES_tradnl"/>
        </w:rPr>
      </w:pPr>
      <w:r w:rsidRPr="009056FF">
        <w:rPr>
          <w:rFonts w:asciiTheme="majorBidi" w:hAnsiTheme="majorBidi" w:cstheme="majorBidi"/>
          <w:lang w:val="es-ES_tradnl"/>
        </w:rPr>
        <w:t>2</w:t>
      </w:r>
      <w:r w:rsidRPr="009056FF">
        <w:rPr>
          <w:rFonts w:asciiTheme="majorBidi" w:hAnsiTheme="majorBidi" w:cstheme="majorBidi"/>
          <w:lang w:val="es-ES_tradnl"/>
        </w:rPr>
        <w:tab/>
      </w:r>
      <w:proofErr w:type="gramStart"/>
      <w:r w:rsidRPr="009056FF">
        <w:rPr>
          <w:rFonts w:asciiTheme="majorBidi" w:hAnsiTheme="majorBidi" w:cstheme="majorBidi"/>
          <w:lang w:val="es-ES_tradnl"/>
        </w:rPr>
        <w:t>Si</w:t>
      </w:r>
      <w:proofErr w:type="gramEnd"/>
      <w:r w:rsidRPr="009056FF">
        <w:rPr>
          <w:rFonts w:asciiTheme="majorBidi" w:hAnsiTheme="majorBidi" w:cstheme="majorBidi"/>
          <w:lang w:val="es-ES_tradnl"/>
        </w:rPr>
        <w:t xml:space="preserve"> la modificación se refiere a la notificación de la asignación o asignaciones en las bandas de frecuencias no utilizadas por otras asignaciones ya inscritas en el Registro,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no se aplica y la tramitación se efectuará con arreglo a los números </w:t>
      </w:r>
      <w:r w:rsidRPr="009056FF">
        <w:rPr>
          <w:rFonts w:asciiTheme="majorBidi" w:hAnsiTheme="majorBidi" w:cstheme="majorBidi"/>
          <w:b/>
          <w:bCs/>
          <w:lang w:val="es-ES_tradnl"/>
        </w:rPr>
        <w:t>11.2</w:t>
      </w:r>
      <w:r w:rsidRPr="009056FF">
        <w:rPr>
          <w:rFonts w:asciiTheme="majorBidi" w:hAnsiTheme="majorBidi" w:cstheme="majorBidi"/>
          <w:lang w:val="es-ES_tradnl"/>
        </w:rPr>
        <w:t xml:space="preserve"> u </w:t>
      </w:r>
      <w:r w:rsidRPr="009056FF">
        <w:rPr>
          <w:rFonts w:asciiTheme="majorBidi" w:hAnsiTheme="majorBidi" w:cstheme="majorBidi"/>
          <w:b/>
          <w:bCs/>
          <w:lang w:val="es-ES_tradnl"/>
        </w:rPr>
        <w:t>11.9</w:t>
      </w:r>
      <w:r w:rsidRPr="009056FF">
        <w:rPr>
          <w:rFonts w:asciiTheme="majorBidi" w:hAnsiTheme="majorBidi" w:cstheme="majorBidi"/>
          <w:lang w:val="es-ES_tradnl"/>
        </w:rPr>
        <w:t>, según el caso.</w:t>
      </w:r>
    </w:p>
    <w:p w14:paraId="466AA457" w14:textId="21A8BCF7" w:rsidR="009056FF" w:rsidRPr="00AE5F97" w:rsidRDefault="009056FF" w:rsidP="009056FF">
      <w:pPr>
        <w:rPr>
          <w:rFonts w:asciiTheme="majorBidi" w:hAnsiTheme="majorBidi" w:cstheme="majorBidi"/>
          <w:lang w:val="es-ES"/>
        </w:rPr>
      </w:pPr>
      <w:r w:rsidRPr="009056FF">
        <w:rPr>
          <w:rFonts w:asciiTheme="majorBidi" w:hAnsiTheme="majorBidi" w:cstheme="majorBidi"/>
          <w:lang w:val="es-ES_tradnl"/>
        </w:rPr>
        <w:t xml:space="preserve">El objetivo del examen según lo dispuesto en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es determinar si los requisitos de coordinación permanecen invariables o, llegado el caso, si la probabilidad de interferencia perjudicial no aumenta (véanse también las Reglas de Procedimiento correspondientes a los números </w:t>
      </w:r>
      <w:r w:rsidRPr="009056FF">
        <w:rPr>
          <w:rFonts w:asciiTheme="majorBidi" w:hAnsiTheme="majorBidi" w:cstheme="majorBidi"/>
          <w:b/>
          <w:bCs/>
          <w:lang w:val="es-ES_tradnl"/>
        </w:rPr>
        <w:t>11.28</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En estos casos, se aplican las disposiciones del número </w:t>
      </w:r>
      <w:r w:rsidRPr="009056FF">
        <w:rPr>
          <w:rFonts w:asciiTheme="majorBidi" w:hAnsiTheme="majorBidi" w:cstheme="majorBidi"/>
          <w:b/>
          <w:bCs/>
          <w:lang w:val="es-ES_tradnl"/>
        </w:rPr>
        <w:t>11.43B</w:t>
      </w:r>
      <w:r w:rsidRPr="009056FF">
        <w:rPr>
          <w:rFonts w:asciiTheme="majorBidi" w:hAnsiTheme="majorBidi" w:cstheme="majorBidi"/>
          <w:lang w:val="es-ES_tradnl"/>
        </w:rPr>
        <w:t xml:space="preserve"> cuyo efecto es mantener sin cambios el estatuto (Conclusiones) y la fecha de recepción de la asignación. Si debido a las modificaciones se identifican nuevos requisitos de coordinación, al comparar el nivel de interferencia (como </w:t>
      </w:r>
      <w:r w:rsidRPr="009056FF">
        <w:rPr>
          <w:rFonts w:asciiTheme="majorBidi" w:hAnsiTheme="majorBidi" w:cstheme="majorBidi"/>
        </w:rPr>
        <w:t>Δ</w:t>
      </w:r>
      <w:r w:rsidRPr="009056FF">
        <w:rPr>
          <w:rFonts w:asciiTheme="majorBidi" w:hAnsiTheme="majorBidi" w:cstheme="majorBidi"/>
          <w:lang w:val="es-ES_tradnl"/>
        </w:rPr>
        <w:t xml:space="preserve">T/T)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Las conclusiones respecto al número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se determinan sobre la base de los Acuerdos de coordinación alcanzados para satisfacer los nuevos requisitos de coordinación. En el caso en que sean aplicables las disposiciones de los números </w:t>
      </w:r>
      <w:r w:rsidRPr="009056FF">
        <w:rPr>
          <w:rFonts w:asciiTheme="majorBidi" w:hAnsiTheme="majorBidi" w:cstheme="majorBidi"/>
          <w:b/>
          <w:bCs/>
          <w:lang w:val="es-ES_tradnl"/>
        </w:rPr>
        <w:t>11.32A</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11.33</w:t>
      </w:r>
      <w:r w:rsidRPr="009056FF">
        <w:rPr>
          <w:rFonts w:asciiTheme="majorBidi" w:hAnsiTheme="majorBidi" w:cstheme="majorBidi"/>
          <w:lang w:val="es-ES_tradnl"/>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w:t>
      </w:r>
      <w:r w:rsidR="00290328">
        <w:rPr>
          <w:rFonts w:asciiTheme="majorBidi" w:hAnsiTheme="majorBidi" w:cstheme="majorBidi"/>
          <w:lang w:val="es-ES_tradnl"/>
        </w:rPr>
        <w:t> </w:t>
      </w:r>
      <w:r w:rsidRPr="009056FF">
        <w:rPr>
          <w:rFonts w:asciiTheme="majorBidi" w:hAnsiTheme="majorBidi" w:cstheme="majorBidi"/>
          <w:b/>
          <w:bCs/>
          <w:lang w:val="es-ES_tradnl"/>
        </w:rPr>
        <w:t>11.38</w:t>
      </w:r>
      <w:r w:rsidRPr="009056FF">
        <w:rPr>
          <w:rFonts w:asciiTheme="majorBidi" w:hAnsiTheme="majorBidi" w:cstheme="majorBidi"/>
          <w:lang w:val="es-ES_tradnl"/>
        </w:rPr>
        <w:t xml:space="preserve">. Véanse las Reglas de Procedimiento correspondientes al número </w:t>
      </w:r>
      <w:r w:rsidRPr="009056FF">
        <w:rPr>
          <w:rFonts w:asciiTheme="majorBidi" w:hAnsiTheme="majorBidi" w:cstheme="majorBidi"/>
          <w:b/>
          <w:bCs/>
          <w:lang w:val="es-ES_tradnl"/>
        </w:rPr>
        <w:t>11.43B</w:t>
      </w:r>
      <w:r w:rsidRPr="009056FF">
        <w:rPr>
          <w:rFonts w:asciiTheme="majorBidi" w:hAnsiTheme="majorBidi" w:cstheme="majorBidi"/>
          <w:lang w:val="es-ES_tradnl"/>
        </w:rPr>
        <w:t>.</w:t>
      </w:r>
      <w:r w:rsidR="00AE5F97" w:rsidRPr="00AE5F97">
        <w:rPr>
          <w:sz w:val="16"/>
          <w:szCs w:val="16"/>
          <w:lang w:val="es-ES"/>
        </w:rPr>
        <w:t>     (MOD RRB22/484)</w:t>
      </w:r>
    </w:p>
    <w:p w14:paraId="042F883B" w14:textId="77777777" w:rsidR="00D01428" w:rsidRDefault="00D01428" w:rsidP="006D45DA">
      <w:pPr>
        <w:spacing w:before="60" w:line="250" w:lineRule="exact"/>
        <w:rPr>
          <w:color w:val="000000"/>
          <w:lang w:val="es-ES_tradnl"/>
        </w:rPr>
      </w:pPr>
      <w:r>
        <w:rPr>
          <w:color w:val="000000"/>
          <w:lang w:val="es-ES_tradnl"/>
        </w:rPr>
        <w:br w:type="page"/>
      </w:r>
    </w:p>
    <w:p w14:paraId="2E8A051E" w14:textId="490ED473"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proofErr w:type="gramStart"/>
      <w:r w:rsidR="005A408A" w:rsidRPr="005A408A">
        <w:rPr>
          <w:lang w:val="es-ES_tradnl"/>
        </w:rPr>
        <w:t>La</w:t>
      </w:r>
      <w:proofErr w:type="gramEnd"/>
      <w:r w:rsidR="005A408A" w:rsidRPr="005A408A">
        <w:rPr>
          <w:lang w:val="es-ES_tradnl"/>
        </w:rPr>
        <w:t xml:space="preserve">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290328">
        <w:rPr>
          <w:rStyle w:val="Artref"/>
          <w:color w:val="000000"/>
          <w:sz w:val="22"/>
          <w:szCs w:val="22"/>
          <w:lang w:val="es-ES_tradnl"/>
        </w:rPr>
        <w:t>.</w:t>
      </w:r>
    </w:p>
    <w:p w14:paraId="7FF326E3" w14:textId="48F90C43"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proofErr w:type="gramStart"/>
      <w:r w:rsidR="00C30B0F" w:rsidRPr="003667EC">
        <w:rPr>
          <w:color w:val="000000"/>
          <w:lang w:val="es-ES_tradnl"/>
        </w:rPr>
        <w:t>La</w:t>
      </w:r>
      <w:proofErr w:type="gramEnd"/>
      <w:r w:rsidR="00C30B0F" w:rsidRPr="003667EC">
        <w:rPr>
          <w:color w:val="000000"/>
          <w:lang w:val="es-ES_tradnl"/>
        </w:rPr>
        <w:t xml:space="preserve">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p>
    <w:p w14:paraId="2E27CE3F" w14:textId="6CA38998" w:rsidR="00C30B0F" w:rsidRPr="003667EC" w:rsidRDefault="00C30B0F" w:rsidP="00290328">
      <w:pPr>
        <w:spacing w:before="60" w:line="250" w:lineRule="exact"/>
        <w:rPr>
          <w:color w:val="000000"/>
          <w:lang w:val="es-ES_tradnl"/>
        </w:rPr>
      </w:pPr>
      <w:r>
        <w:rPr>
          <w:color w:val="000000"/>
          <w:lang w:val="es-ES_tradnl"/>
        </w:rPr>
        <w:t>5</w:t>
      </w:r>
      <w:r>
        <w:rPr>
          <w:color w:val="000000"/>
          <w:lang w:val="es-ES_tradnl"/>
        </w:rPr>
        <w:tab/>
      </w:r>
      <w:proofErr w:type="gramStart"/>
      <w:r w:rsidRPr="003667EC">
        <w:rPr>
          <w:color w:val="000000"/>
          <w:lang w:val="es-ES_tradnl"/>
        </w:rPr>
        <w:t>Cuando</w:t>
      </w:r>
      <w:proofErr w:type="gramEnd"/>
      <w:r w:rsidRPr="003667EC">
        <w:rPr>
          <w:color w:val="000000"/>
          <w:lang w:val="es-ES_tradnl"/>
        </w:rPr>
        <w:t xml:space="preserve">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p>
    <w:p w14:paraId="4820236C" w14:textId="77777777"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14:paraId="13FBCC97" w14:textId="77777777" w:rsidR="00A60C28" w:rsidRPr="003667EC" w:rsidRDefault="00A60C28" w:rsidP="004270DD">
      <w:pPr>
        <w:pStyle w:val="Heading8"/>
        <w:pBdr>
          <w:top w:val="double" w:sz="4" w:space="1" w:color="auto"/>
          <w:left w:val="double" w:sz="4" w:space="4" w:color="auto"/>
          <w:bottom w:val="double" w:sz="4" w:space="1" w:color="auto"/>
          <w:right w:val="double" w:sz="4" w:space="4" w:color="auto"/>
        </w:pBdr>
        <w:spacing w:line="250" w:lineRule="exact"/>
        <w:rPr>
          <w:color w:val="000000"/>
          <w:lang w:val="es-ES_tradnl"/>
        </w:rPr>
      </w:pPr>
      <w:r w:rsidRPr="003667EC">
        <w:rPr>
          <w:color w:val="000000"/>
          <w:lang w:val="es-ES_tradnl"/>
        </w:rPr>
        <w:t>11.43B</w:t>
      </w:r>
    </w:p>
    <w:p w14:paraId="3DE474FA" w14:textId="77777777"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En</w:t>
      </w:r>
      <w:proofErr w:type="gramEnd"/>
      <w:r w:rsidRPr="003667EC">
        <w:rPr>
          <w:color w:val="000000"/>
          <w:lang w:val="es-ES_tradnl"/>
        </w:rPr>
        <w:t xml:space="preserve">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14:paraId="00687689" w14:textId="03C68747" w:rsidR="00A60C28" w:rsidRPr="002611BA" w:rsidRDefault="00A60C28" w:rsidP="004C6036">
      <w:pPr>
        <w:spacing w:line="250" w:lineRule="exact"/>
        <w:rPr>
          <w:lang w:val="es-ES"/>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xml:space="preserve">, los comentarios que figuran </w:t>
      </w:r>
      <w:r w:rsidR="00437321">
        <w:rPr>
          <w:color w:val="000000"/>
          <w:lang w:val="es-ES_tradnl"/>
        </w:rPr>
        <w:t xml:space="preserve">en </w:t>
      </w:r>
      <w:r w:rsidR="00437321" w:rsidRPr="00437321">
        <w:rPr>
          <w:lang w:val="es-ES"/>
        </w:rPr>
        <w:t xml:space="preserve">la Regla de Procedimiento relativa al </w:t>
      </w:r>
      <w:r w:rsidRPr="003667EC">
        <w:rPr>
          <w:color w:val="000000"/>
          <w:lang w:val="es-ES_tradnl"/>
        </w:rPr>
        <w:t>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w:t>
      </w:r>
      <w:r w:rsidR="00437321" w:rsidRPr="00437321">
        <w:rPr>
          <w:lang w:val="es-ES"/>
        </w:rPr>
        <w:t>(véanse asimismo los § 2.3 y 2.4 c) de la Regla de Procedimiento relativa al número </w:t>
      </w:r>
      <w:r w:rsidR="00437321" w:rsidRPr="00437321">
        <w:rPr>
          <w:rStyle w:val="Artref"/>
          <w:b/>
          <w:bCs/>
          <w:color w:val="auto"/>
          <w:lang w:val="es-ES"/>
        </w:rPr>
        <w:t>9.27</w:t>
      </w:r>
      <w:r w:rsidR="00437321" w:rsidRPr="00437321">
        <w:rPr>
          <w:rStyle w:val="Appref"/>
          <w:color w:val="000000"/>
          <w:szCs w:val="24"/>
          <w:lang w:val="es-ES"/>
        </w:rPr>
        <w:t>)</w:t>
      </w:r>
      <w:r w:rsidR="00437321">
        <w:rPr>
          <w:rStyle w:val="Appref"/>
          <w:color w:val="000000"/>
          <w:szCs w:val="24"/>
          <w:lang w:val="es-ES"/>
        </w:rPr>
        <w:t xml:space="preserve">. </w:t>
      </w:r>
      <w:r w:rsidRPr="003667EC">
        <w:rPr>
          <w:color w:val="000000"/>
          <w:lang w:val="es-ES_tradnl"/>
        </w:rPr>
        <w:t>En los casos en los que no hay método de cálculo y/o criterio para comprobar la aplicación de esas disposiciones,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proofErr w:type="gramStart"/>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w:t>
      </w:r>
      <w:proofErr w:type="gramEnd"/>
      <w:r w:rsidRPr="003667EC">
        <w:rPr>
          <w:color w:val="000000"/>
          <w:lang w:val="es-ES_tradnl"/>
        </w:rPr>
        <w:t xml:space="preserve">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w:t>
      </w:r>
      <w:proofErr w:type="gramStart"/>
      <w:r w:rsidRPr="003667EC">
        <w:rPr>
          <w:color w:val="000000"/>
          <w:lang w:val="es-ES_tradnl"/>
        </w:rPr>
        <w:t>umbral especificada</w:t>
      </w:r>
      <w:proofErr w:type="gramEnd"/>
      <w:r w:rsidRPr="003667EC">
        <w:rPr>
          <w:color w:val="000000"/>
          <w:lang w:val="es-ES_tradnl"/>
        </w:rPr>
        <w:t xml:space="preserve"> en el Apéndice </w:t>
      </w:r>
      <w:r w:rsidRPr="003667EC">
        <w:rPr>
          <w:rStyle w:val="Appref"/>
          <w:b/>
          <w:color w:val="000000"/>
          <w:lang w:val="es-ES_tradnl"/>
        </w:rPr>
        <w:t>5</w:t>
      </w:r>
      <w:r w:rsidRPr="003667EC">
        <w:rPr>
          <w:color w:val="000000"/>
          <w:lang w:val="es-ES_tradnl"/>
        </w:rPr>
        <w:t>.</w:t>
      </w:r>
      <w:r w:rsidR="002611BA">
        <w:rPr>
          <w:color w:val="000000"/>
          <w:lang w:val="es-ES_tradnl"/>
        </w:rPr>
        <w:t xml:space="preserve"> </w:t>
      </w:r>
      <w:r w:rsidR="002611BA" w:rsidRPr="002611BA">
        <w:rPr>
          <w:lang w:val="es-ES"/>
        </w:rPr>
        <w:t>Cuando no haya criterios técnicos en la condición/</w:t>
      </w:r>
      <w:proofErr w:type="gramStart"/>
      <w:r w:rsidR="002611BA" w:rsidRPr="002611BA">
        <w:rPr>
          <w:lang w:val="es-ES"/>
        </w:rPr>
        <w:t>umbral especificada</w:t>
      </w:r>
      <w:proofErr w:type="gramEnd"/>
      <w:r w:rsidR="002611BA" w:rsidRPr="002611BA">
        <w:rPr>
          <w:lang w:val="es-ES"/>
        </w:rPr>
        <w:t xml:space="preserve"> en el Apéndice </w:t>
      </w:r>
      <w:r w:rsidR="002611BA" w:rsidRPr="002611BA">
        <w:rPr>
          <w:rStyle w:val="Appref"/>
          <w:b/>
          <w:bCs/>
          <w:color w:val="auto"/>
          <w:lang w:val="es-ES"/>
        </w:rPr>
        <w:t>5</w:t>
      </w:r>
      <w:r w:rsidR="002611BA" w:rsidRPr="002611BA">
        <w:rPr>
          <w:lang w:val="es-ES"/>
        </w:rPr>
        <w:t xml:space="preserve">, las administraciones podrán presentar un análisis realizado utilizando los métodos de cálculo y/o criterios adecuados (incluidos los elaborados por el UIT-R) a la Oficina para la verificación de la aplicabilidad de los § 6 </w:t>
      </w:r>
      <w:r w:rsidR="002611BA" w:rsidRPr="002611BA">
        <w:rPr>
          <w:i/>
          <w:iCs/>
          <w:lang w:val="es-ES"/>
        </w:rPr>
        <w:t>a)</w:t>
      </w:r>
      <w:r w:rsidR="002611BA" w:rsidRPr="002611BA">
        <w:rPr>
          <w:lang w:val="es-ES"/>
        </w:rPr>
        <w:t xml:space="preserve"> a 6 </w:t>
      </w:r>
      <w:r w:rsidR="002611BA" w:rsidRPr="002611BA">
        <w:rPr>
          <w:i/>
          <w:iCs/>
          <w:lang w:val="es-ES"/>
        </w:rPr>
        <w:t>c)</w:t>
      </w:r>
      <w:r w:rsidR="002611BA" w:rsidRPr="002611BA">
        <w:rPr>
          <w:lang w:val="es-ES"/>
        </w:rPr>
        <w:t xml:space="preserve"> del Apéndice</w:t>
      </w:r>
      <w:r w:rsidR="002611BA">
        <w:rPr>
          <w:lang w:val="es-ES"/>
        </w:rPr>
        <w:t> </w:t>
      </w:r>
      <w:r w:rsidR="002611BA" w:rsidRPr="002611BA">
        <w:rPr>
          <w:rStyle w:val="Appref"/>
          <w:b/>
          <w:bCs/>
          <w:color w:val="auto"/>
          <w:lang w:val="es-ES"/>
        </w:rPr>
        <w:t>5</w:t>
      </w:r>
      <w:r w:rsidR="002611BA" w:rsidRPr="002611BA">
        <w:rPr>
          <w:lang w:val="es-ES"/>
        </w:rPr>
        <w:t xml:space="preserve"> al examen en virtud del número </w:t>
      </w:r>
      <w:r w:rsidR="002611BA" w:rsidRPr="002611BA">
        <w:rPr>
          <w:rStyle w:val="Artref"/>
          <w:b/>
          <w:bCs/>
          <w:color w:val="auto"/>
          <w:lang w:val="es-ES"/>
        </w:rPr>
        <w:t>11.32</w:t>
      </w:r>
      <w:r w:rsidR="002611BA" w:rsidRPr="002611BA">
        <w:rPr>
          <w:lang w:val="es-ES"/>
        </w:rPr>
        <w:t>.</w:t>
      </w:r>
      <w:r w:rsidR="002611BA" w:rsidRPr="002611BA">
        <w:rPr>
          <w:sz w:val="16"/>
          <w:szCs w:val="16"/>
          <w:lang w:val="es-ES"/>
        </w:rPr>
        <w:t>    </w:t>
      </w:r>
      <w:r w:rsidR="002611BA" w:rsidRPr="00510FE2">
        <w:rPr>
          <w:sz w:val="16"/>
          <w:szCs w:val="16"/>
          <w:lang w:val="es-ES"/>
        </w:rPr>
        <w:t>(MOD RRB22/484)</w:t>
      </w:r>
    </w:p>
    <w:p w14:paraId="429825D5" w14:textId="512E1DAA"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se tomarán en cuenta las asignaciones publicadas con arreglo a</w:t>
      </w:r>
      <w:r w:rsidR="00D26314">
        <w:rPr>
          <w:color w:val="000000"/>
          <w:lang w:val="es-ES_tradnl"/>
        </w:rPr>
        <w:t xml:space="preserve"> </w:t>
      </w:r>
      <w:r w:rsidRPr="003667EC">
        <w:rPr>
          <w:color w:val="000000"/>
          <w:lang w:val="es-ES_tradnl"/>
        </w:rPr>
        <w:t>los número</w:t>
      </w:r>
      <w:r w:rsidR="00AC3017">
        <w:rPr>
          <w:color w:val="000000"/>
          <w:lang w:val="es-ES_tradnl"/>
        </w:rPr>
        <w:t>s</w:t>
      </w:r>
      <w:r w:rsidRPr="003667EC">
        <w:rPr>
          <w:color w:val="000000"/>
          <w:lang w:val="es-ES_tradnl"/>
        </w:rPr>
        <w:t xml:space="preserve"> </w:t>
      </w:r>
      <w:r w:rsidRPr="003667EC">
        <w:rPr>
          <w:rStyle w:val="Artref"/>
          <w:b/>
          <w:color w:val="000000"/>
          <w:lang w:val="es-ES_tradnl"/>
        </w:rPr>
        <w:t>9.38</w:t>
      </w:r>
      <w:r w:rsidRPr="003667EC">
        <w:rPr>
          <w:color w:val="000000"/>
          <w:lang w:val="es-ES_tradnl"/>
        </w:rPr>
        <w:t xml:space="preserve"> </w:t>
      </w:r>
      <w:r w:rsidR="00AC3017">
        <w:rPr>
          <w:color w:val="000000"/>
          <w:lang w:val="es-ES_tradnl"/>
        </w:rPr>
        <w:t>ó</w:t>
      </w:r>
      <w:r w:rsidRPr="003667EC">
        <w:rPr>
          <w:color w:val="000000"/>
          <w:lang w:val="es-ES_tradnl"/>
        </w:rPr>
        <w:t xml:space="preserve">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14:paraId="61F041D5" w14:textId="47E7DFFD" w:rsidR="00D01428" w:rsidRDefault="00D01428" w:rsidP="004C6036">
      <w:pPr>
        <w:spacing w:line="250" w:lineRule="exact"/>
        <w:rPr>
          <w:color w:val="000000"/>
          <w:lang w:val="es-ES_tradnl"/>
        </w:rPr>
      </w:pPr>
    </w:p>
    <w:p w14:paraId="425A9FF9" w14:textId="77777777" w:rsidR="005E5EFE" w:rsidRDefault="005E5EFE" w:rsidP="004C6036">
      <w:pPr>
        <w:spacing w:line="250" w:lineRule="exact"/>
        <w:rPr>
          <w:color w:val="000000"/>
          <w:lang w:val="es-ES_tradnl"/>
        </w:rPr>
        <w:sectPr w:rsidR="005E5EFE" w:rsidSect="00007AA8">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591A6E5B" w14:textId="5EB434CE"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hace referencia a la </w:t>
      </w:r>
      <w:r w:rsidRPr="00402C5C">
        <w:rPr>
          <w:i/>
          <w:iCs/>
          <w:color w:val="000000"/>
          <w:lang w:val="es-ES_tradnl"/>
        </w:rPr>
        <w:t>«fecha original de inscripción en el Registro»</w:t>
      </w:r>
      <w:r w:rsidRPr="003667EC">
        <w:rPr>
          <w:color w:val="000000"/>
          <w:lang w:val="es-ES_tradnl"/>
        </w:rPr>
        <w:t>.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14:paraId="66087B10" w14:textId="77777777" w:rsidR="00A60C28" w:rsidRPr="003667EC" w:rsidRDefault="00A60C28">
      <w:pPr>
        <w:pStyle w:val="Heading8"/>
        <w:rPr>
          <w:color w:val="000000"/>
          <w:lang w:val="es-ES_tradnl"/>
        </w:rPr>
      </w:pPr>
      <w:r w:rsidRPr="003667EC">
        <w:rPr>
          <w:color w:val="000000"/>
          <w:lang w:val="es-ES_tradnl"/>
        </w:rPr>
        <w:t>11.43C</w:t>
      </w:r>
    </w:p>
    <w:p w14:paraId="6E660521" w14:textId="77777777"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14:paraId="5ADFA78A" w14:textId="2F3C4173" w:rsidR="00D70EFE" w:rsidRPr="003667EC" w:rsidRDefault="00D70EFE" w:rsidP="00D70EFE">
      <w:pPr>
        <w:pStyle w:val="Heading8"/>
        <w:spacing w:before="120" w:line="240" w:lineRule="exact"/>
        <w:rPr>
          <w:lang w:val="es-ES_tradnl"/>
        </w:rPr>
      </w:pPr>
      <w:r>
        <w:rPr>
          <w:lang w:val="es-ES_tradnl"/>
        </w:rPr>
        <w:t>11.44</w:t>
      </w:r>
    </w:p>
    <w:p w14:paraId="512B5058" w14:textId="59B7C748" w:rsidR="00D70EFE" w:rsidRPr="005E5EFE" w:rsidRDefault="00D70EFE" w:rsidP="00D70EFE">
      <w:pPr>
        <w:spacing w:line="240" w:lineRule="exact"/>
        <w:rPr>
          <w:lang w:val="es-ES_tradnl"/>
        </w:rPr>
      </w:pPr>
      <w:r w:rsidRPr="00D561C2">
        <w:rPr>
          <w:lang w:val="es-ES_tradnl"/>
        </w:rPr>
        <w:t>La información relativa a la fecha de entrada en servicio se facilitará en los siguientes casos:</w:t>
      </w:r>
    </w:p>
    <w:p w14:paraId="05B61970"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14:paraId="35FA8C85" w14:textId="3CE37785"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r>
      <w:r w:rsidR="005E5EFE" w:rsidRPr="005E5EFE">
        <w:rPr>
          <w:lang w:val="es-ES_tradnl"/>
        </w:rPr>
        <w:t>en la confirmación de las fechas de entrada en servicio, en aplicación de los números </w:t>
      </w:r>
      <w:r w:rsidR="005E5EFE" w:rsidRPr="005E5EFE">
        <w:rPr>
          <w:b/>
          <w:bCs/>
          <w:lang w:val="es-ES_tradnl"/>
        </w:rPr>
        <w:t>11.44.2</w:t>
      </w:r>
      <w:r w:rsidR="005E5EFE" w:rsidRPr="005E5EFE">
        <w:rPr>
          <w:lang w:val="es-ES_tradnl"/>
        </w:rPr>
        <w:t>, </w:t>
      </w:r>
      <w:r w:rsidR="005E5EFE" w:rsidRPr="005E5EFE">
        <w:rPr>
          <w:rStyle w:val="Artref"/>
          <w:b/>
          <w:color w:val="000000"/>
          <w:lang w:val="es-ES_tradnl"/>
        </w:rPr>
        <w:t>11.47</w:t>
      </w:r>
      <w:r w:rsidR="005E5EFE" w:rsidRPr="005E5EFE">
        <w:rPr>
          <w:lang w:val="es-ES_tradnl"/>
        </w:rPr>
        <w:t xml:space="preserve">, </w:t>
      </w:r>
      <w:r w:rsidR="005E5EFE" w:rsidRPr="005E5EFE">
        <w:rPr>
          <w:rStyle w:val="Artref"/>
          <w:b/>
          <w:color w:val="000000"/>
          <w:lang w:val="es-ES_tradnl"/>
        </w:rPr>
        <w:t>11.44B</w:t>
      </w:r>
      <w:r w:rsidR="005E5EFE" w:rsidRPr="005E5EFE">
        <w:rPr>
          <w:lang w:val="es-ES_tradnl"/>
        </w:rPr>
        <w:t>,</w:t>
      </w:r>
      <w:r w:rsidR="005E5EFE" w:rsidRPr="005E5EFE">
        <w:rPr>
          <w:color w:val="000000"/>
          <w:lang w:val="es-ES_tradnl"/>
        </w:rPr>
        <w:t xml:space="preserve"> </w:t>
      </w:r>
      <w:r w:rsidR="005E5EFE" w:rsidRPr="005E5EFE">
        <w:rPr>
          <w:b/>
          <w:bCs/>
          <w:color w:val="000000"/>
          <w:lang w:val="es-ES_tradnl"/>
        </w:rPr>
        <w:t>11.44C</w:t>
      </w:r>
      <w:r w:rsidR="005E5EFE" w:rsidRPr="005E5EFE">
        <w:rPr>
          <w:bCs/>
          <w:color w:val="000000"/>
          <w:lang w:val="es-ES_tradnl"/>
        </w:rPr>
        <w:t>,</w:t>
      </w:r>
      <w:r w:rsidR="005E5EFE" w:rsidRPr="005E5EFE">
        <w:rPr>
          <w:lang w:val="es-ES_tradnl"/>
        </w:rPr>
        <w:t xml:space="preserve"> </w:t>
      </w:r>
      <w:r w:rsidR="005E5EFE" w:rsidRPr="005E5EFE">
        <w:rPr>
          <w:b/>
          <w:bCs/>
          <w:color w:val="000000"/>
          <w:lang w:val="es-ES_tradnl"/>
        </w:rPr>
        <w:t>11.44D</w:t>
      </w:r>
      <w:r w:rsidR="005E5EFE" w:rsidRPr="005E5EFE">
        <w:rPr>
          <w:lang w:val="es-ES_tradnl"/>
        </w:rPr>
        <w:t xml:space="preserve"> y </w:t>
      </w:r>
      <w:r w:rsidR="005E5EFE" w:rsidRPr="005E5EFE">
        <w:rPr>
          <w:b/>
          <w:bCs/>
          <w:color w:val="000000"/>
          <w:lang w:val="es-ES_tradnl"/>
        </w:rPr>
        <w:t>11.44E</w:t>
      </w:r>
      <w:r w:rsidRPr="00D561C2">
        <w:rPr>
          <w:lang w:val="es-ES_tradnl"/>
        </w:rPr>
        <w:t>.</w:t>
      </w:r>
    </w:p>
    <w:p w14:paraId="67ED91F2" w14:textId="236197E8" w:rsidR="00D70EFE" w:rsidRDefault="005E5EFE" w:rsidP="00D70EFE">
      <w:pPr>
        <w:spacing w:line="240" w:lineRule="exact"/>
        <w:rPr>
          <w:lang w:val="es-ES_tradnl"/>
        </w:rPr>
      </w:pPr>
      <w:r w:rsidRPr="005E5EFE">
        <w:rPr>
          <w:lang w:val="es-ES_tradnl"/>
        </w:rPr>
        <w:t xml:space="preserve">Conviene observar que se proporcionará la información relativa a la fecha de entrada en servicio para cada asignación o grupo de asignaciones. (Véanse las Reglas de Procedimiento relacionadas con los números </w:t>
      </w:r>
      <w:r w:rsidRPr="005E5EFE">
        <w:rPr>
          <w:b/>
          <w:bCs/>
          <w:lang w:val="es-ES_tradnl"/>
        </w:rPr>
        <w:t>11.44B</w:t>
      </w:r>
      <w:r w:rsidRPr="005E5EFE">
        <w:rPr>
          <w:lang w:val="es-ES_tradnl"/>
        </w:rPr>
        <w:t xml:space="preserve">, </w:t>
      </w:r>
      <w:r w:rsidRPr="005E5EFE">
        <w:rPr>
          <w:b/>
          <w:bCs/>
          <w:lang w:val="es-ES_tradnl"/>
        </w:rPr>
        <w:t>11.44C</w:t>
      </w:r>
      <w:r w:rsidRPr="005E5EFE">
        <w:rPr>
          <w:bCs/>
          <w:lang w:val="es-ES_tradnl"/>
        </w:rPr>
        <w:t xml:space="preserve">, </w:t>
      </w:r>
      <w:r w:rsidRPr="005E5EFE">
        <w:rPr>
          <w:b/>
          <w:bCs/>
          <w:lang w:val="es-ES_tradnl"/>
        </w:rPr>
        <w:t>11.44D</w:t>
      </w:r>
      <w:r w:rsidRPr="005E5EFE">
        <w:rPr>
          <w:bCs/>
          <w:lang w:val="es-ES_tradnl"/>
        </w:rPr>
        <w:t xml:space="preserve"> y </w:t>
      </w:r>
      <w:r w:rsidRPr="005E5EFE">
        <w:rPr>
          <w:b/>
          <w:bCs/>
          <w:lang w:val="es-ES_tradnl"/>
        </w:rPr>
        <w:t>11.44E</w:t>
      </w:r>
      <w:r w:rsidR="00D70EFE" w:rsidRPr="00D561C2">
        <w:rPr>
          <w:lang w:val="es-ES_tradnl"/>
        </w:rPr>
        <w:t>)</w:t>
      </w:r>
      <w:r w:rsidR="00D70EFE">
        <w:rPr>
          <w:lang w:val="es-ES_tradnl"/>
        </w:rPr>
        <w:t>.</w:t>
      </w:r>
    </w:p>
    <w:p w14:paraId="2D8094EF" w14:textId="0B97AF17" w:rsidR="005E5EFE" w:rsidRPr="005E5EFE" w:rsidRDefault="005E5EFE" w:rsidP="005E5EFE">
      <w:pPr>
        <w:pStyle w:val="Heading8"/>
        <w:pBdr>
          <w:right w:val="double" w:sz="6" w:space="31" w:color="auto"/>
        </w:pBdr>
        <w:tabs>
          <w:tab w:val="left" w:pos="4820"/>
        </w:tabs>
        <w:ind w:right="5330"/>
        <w:rPr>
          <w:color w:val="000000"/>
          <w:lang w:val="es-ES_tradnl"/>
        </w:rPr>
      </w:pPr>
      <w:r w:rsidRPr="005E5EFE">
        <w:rPr>
          <w:color w:val="000000"/>
          <w:lang w:val="es-ES_tradnl"/>
        </w:rPr>
        <w:t xml:space="preserve">11.44B, </w:t>
      </w:r>
      <w:r w:rsidRPr="005E5EFE">
        <w:rPr>
          <w:bCs/>
          <w:lang w:val="es-ES_tradnl"/>
        </w:rPr>
        <w:t>11.44C</w:t>
      </w:r>
      <w:r w:rsidRPr="005E5EFE">
        <w:rPr>
          <w:lang w:val="es-ES_tradnl"/>
        </w:rPr>
        <w:t xml:space="preserve">, </w:t>
      </w:r>
      <w:r w:rsidRPr="005E5EFE">
        <w:rPr>
          <w:bCs/>
          <w:lang w:val="es-ES_tradnl"/>
        </w:rPr>
        <w:t xml:space="preserve">11.44D </w:t>
      </w:r>
      <w:r>
        <w:rPr>
          <w:bCs/>
          <w:lang w:val="es-ES_tradnl"/>
        </w:rPr>
        <w:t>y</w:t>
      </w:r>
      <w:r w:rsidRPr="005E5EFE">
        <w:rPr>
          <w:bCs/>
          <w:lang w:val="es-ES_tradnl"/>
        </w:rPr>
        <w:t xml:space="preserve"> 11.44E</w:t>
      </w:r>
    </w:p>
    <w:p w14:paraId="71A61046" w14:textId="13B52E86" w:rsidR="005E5EFE" w:rsidRPr="005E5EFE" w:rsidRDefault="005E5EFE" w:rsidP="005E5EFE">
      <w:pPr>
        <w:rPr>
          <w:color w:val="000000"/>
          <w:lang w:val="es-ES_tradnl"/>
        </w:rPr>
      </w:pPr>
      <w:r w:rsidRPr="005E5EFE">
        <w:rPr>
          <w:lang w:val="es-ES_tradnl"/>
        </w:rPr>
        <w:t>1</w:t>
      </w:r>
      <w:r w:rsidRPr="005E5EFE">
        <w:rPr>
          <w:lang w:val="es-ES_tradnl"/>
        </w:rPr>
        <w:tab/>
      </w:r>
      <w:proofErr w:type="gramStart"/>
      <w:r w:rsidRPr="005E5EFE">
        <w:rPr>
          <w:lang w:val="es-ES_tradnl"/>
        </w:rPr>
        <w:t>Estas</w:t>
      </w:r>
      <w:proofErr w:type="gramEnd"/>
      <w:r w:rsidRPr="005E5EFE">
        <w:rPr>
          <w:lang w:val="es-ES_tradnl"/>
        </w:rPr>
        <w:t xml:space="preserve"> disposiciones se refieren a la puesta en servicio de una asignación de frecuencias a una estación espacial. Para considerar que una asignación de frecuencias de esta índole se ha puesto en servicio, la administración notificante debe comunicar a la Oficina, dentro de un plazo de 30 días a partir del final del periodo de 90 días definido en los números</w:t>
      </w:r>
      <w:r w:rsidR="00DD0038">
        <w:rPr>
          <w:lang w:val="es-ES_tradnl"/>
        </w:rPr>
        <w:t> </w:t>
      </w:r>
      <w:r w:rsidRPr="005E5EFE">
        <w:rPr>
          <w:b/>
          <w:bCs/>
          <w:lang w:val="es-ES_tradnl"/>
        </w:rPr>
        <w:t>11.44B</w:t>
      </w:r>
      <w:r w:rsidRPr="005E5EFE">
        <w:rPr>
          <w:lang w:val="es-ES_tradnl"/>
        </w:rPr>
        <w:t xml:space="preserve"> u </w:t>
      </w:r>
      <w:r w:rsidRPr="005E5EFE">
        <w:rPr>
          <w:b/>
          <w:bCs/>
          <w:lang w:val="es-ES_tradnl"/>
        </w:rPr>
        <w:t>11.44C</w:t>
      </w:r>
      <w:r w:rsidRPr="005E5EFE">
        <w:rPr>
          <w:lang w:val="es-ES_tradnl"/>
        </w:rPr>
        <w:t xml:space="preserve">, o del final del periodo indicado en el número </w:t>
      </w:r>
      <w:r w:rsidRPr="005E5EFE">
        <w:rPr>
          <w:b/>
          <w:bCs/>
          <w:lang w:val="es-ES_tradnl"/>
        </w:rPr>
        <w:t xml:space="preserve">11.44 </w:t>
      </w:r>
      <w:r w:rsidRPr="005E5EFE">
        <w:rPr>
          <w:lang w:val="es-ES_tradnl"/>
        </w:rPr>
        <w:t>para los casos relacionados con los números</w:t>
      </w:r>
      <w:r w:rsidR="00DD0038">
        <w:rPr>
          <w:lang w:val="es-ES_tradnl"/>
        </w:rPr>
        <w:t> </w:t>
      </w:r>
      <w:r w:rsidRPr="005E5EFE">
        <w:rPr>
          <w:b/>
          <w:bCs/>
          <w:lang w:val="es-ES_tradnl"/>
        </w:rPr>
        <w:t>11.44D</w:t>
      </w:r>
      <w:r w:rsidRPr="005E5EFE">
        <w:rPr>
          <w:lang w:val="es-ES_tradnl"/>
        </w:rPr>
        <w:t xml:space="preserve"> u </w:t>
      </w:r>
      <w:r w:rsidRPr="005E5EFE">
        <w:rPr>
          <w:b/>
          <w:bCs/>
          <w:lang w:val="es-ES_tradnl"/>
        </w:rPr>
        <w:t>11.44E</w:t>
      </w:r>
      <w:r w:rsidRPr="005E5EFE">
        <w:rPr>
          <w:lang w:val="es-ES_tradnl"/>
        </w:rPr>
        <w:t>, la información sobre el despliegue especificada en las presentes disposiciones</w:t>
      </w:r>
      <w:r w:rsidRPr="005E5EFE">
        <w:rPr>
          <w:color w:val="000000"/>
          <w:lang w:val="es-ES_tradnl"/>
        </w:rPr>
        <w:t>.</w:t>
      </w:r>
    </w:p>
    <w:p w14:paraId="0ACB2F84" w14:textId="77C775A9" w:rsidR="005E5EFE" w:rsidRDefault="005E5EFE" w:rsidP="005E5EFE">
      <w:pPr>
        <w:rPr>
          <w:lang w:val="es-ES_tradnl"/>
        </w:rPr>
      </w:pPr>
      <w:r w:rsidRPr="005E5EFE">
        <w:rPr>
          <w:lang w:val="es-ES_tradnl"/>
        </w:rPr>
        <w:t>2</w:t>
      </w:r>
      <w:r w:rsidRPr="005E5EFE">
        <w:rPr>
          <w:lang w:val="es-ES_tradnl"/>
        </w:rPr>
        <w:tab/>
        <w:t>La Junta estudió detenidamente la relación entre las diversas disposiciones relacionadas con la entrada en servicio de asignaciones de frecuencias para una red o un sistema de satélites conforme a lo dispuesto en los números.</w:t>
      </w:r>
      <w:r w:rsidRPr="005E5EFE">
        <w:rPr>
          <w:b/>
          <w:bCs/>
          <w:lang w:val="es-ES_tradnl"/>
        </w:rPr>
        <w:t>11.43A</w:t>
      </w:r>
      <w:r w:rsidRPr="005E5EFE">
        <w:rPr>
          <w:lang w:val="es-ES_tradnl"/>
        </w:rPr>
        <w:t xml:space="preserve">, </w:t>
      </w:r>
      <w:r w:rsidRPr="005E5EFE">
        <w:rPr>
          <w:rStyle w:val="Artref"/>
          <w:b/>
          <w:bCs/>
          <w:color w:val="000000"/>
          <w:lang w:val="es-ES_tradnl"/>
        </w:rPr>
        <w:t>11.44</w:t>
      </w:r>
      <w:r w:rsidRPr="005E5EFE">
        <w:rPr>
          <w:rStyle w:val="Artref"/>
          <w:color w:val="000000"/>
          <w:lang w:val="es-ES_tradnl"/>
        </w:rPr>
        <w:t>,</w:t>
      </w:r>
      <w:r w:rsidRPr="005E5EFE">
        <w:rPr>
          <w:rStyle w:val="Artref"/>
          <w:b/>
          <w:bCs/>
          <w:color w:val="000000"/>
          <w:lang w:val="es-ES_tradnl"/>
        </w:rPr>
        <w:t xml:space="preserve"> 11.44.2</w:t>
      </w:r>
      <w:r w:rsidRPr="005E5EFE">
        <w:rPr>
          <w:rStyle w:val="Artref"/>
          <w:color w:val="000000"/>
          <w:lang w:val="es-ES_tradnl"/>
        </w:rPr>
        <w:t xml:space="preserve">, </w:t>
      </w:r>
      <w:r w:rsidRPr="005E5EFE">
        <w:rPr>
          <w:rStyle w:val="Artref"/>
          <w:b/>
          <w:color w:val="000000"/>
          <w:lang w:val="es-ES_tradnl"/>
        </w:rPr>
        <w:t>11.44.3</w:t>
      </w:r>
      <w:r w:rsidRPr="005E5EFE">
        <w:rPr>
          <w:rStyle w:val="Artref"/>
          <w:color w:val="000000"/>
          <w:lang w:val="es-ES_tradnl"/>
        </w:rPr>
        <w:t xml:space="preserve">, </w:t>
      </w:r>
      <w:r w:rsidRPr="005E5EFE">
        <w:rPr>
          <w:rStyle w:val="Artref"/>
          <w:b/>
          <w:bCs/>
          <w:color w:val="000000"/>
          <w:lang w:val="es-ES_tradnl"/>
        </w:rPr>
        <w:t>11.44B</w:t>
      </w:r>
      <w:r w:rsidRPr="005E5EFE">
        <w:rPr>
          <w:rStyle w:val="Artref"/>
          <w:color w:val="000000"/>
          <w:lang w:val="es-ES_tradnl"/>
        </w:rPr>
        <w:t>,</w:t>
      </w:r>
      <w:r w:rsidRPr="005E5EFE">
        <w:rPr>
          <w:rStyle w:val="Artref"/>
          <w:b/>
          <w:bCs/>
          <w:color w:val="000000"/>
          <w:lang w:val="es-ES_tradnl"/>
        </w:rPr>
        <w:t xml:space="preserve"> 11.44B.1</w:t>
      </w:r>
      <w:r w:rsidRPr="005E5EFE">
        <w:rPr>
          <w:rStyle w:val="Artref"/>
          <w:color w:val="000000"/>
          <w:lang w:val="es-ES_tradnl"/>
        </w:rPr>
        <w:t xml:space="preserve">, </w:t>
      </w:r>
      <w:r w:rsidRPr="005E5EFE">
        <w:rPr>
          <w:rStyle w:val="Artref"/>
          <w:b/>
          <w:bCs/>
          <w:color w:val="000000"/>
          <w:lang w:val="es-ES_tradnl"/>
        </w:rPr>
        <w:t>11.44B.2</w:t>
      </w:r>
      <w:r w:rsidRPr="005E5EFE">
        <w:rPr>
          <w:color w:val="000000"/>
          <w:lang w:val="es-ES_tradnl"/>
        </w:rPr>
        <w:t xml:space="preserve">, </w:t>
      </w:r>
      <w:r w:rsidRPr="005E5EFE">
        <w:rPr>
          <w:b/>
          <w:bCs/>
          <w:color w:val="000000"/>
          <w:lang w:val="es-ES_tradnl"/>
        </w:rPr>
        <w:t>11.44C</w:t>
      </w:r>
      <w:r w:rsidRPr="005E5EFE">
        <w:rPr>
          <w:color w:val="000000"/>
          <w:lang w:val="es-ES_tradnl"/>
        </w:rPr>
        <w:t xml:space="preserve">, </w:t>
      </w:r>
      <w:r w:rsidRPr="005E5EFE">
        <w:rPr>
          <w:b/>
          <w:bCs/>
          <w:color w:val="000000"/>
          <w:lang w:val="es-ES_tradnl"/>
        </w:rPr>
        <w:t>11.44C.1</w:t>
      </w:r>
      <w:r w:rsidRPr="005E5EFE">
        <w:rPr>
          <w:color w:val="000000"/>
          <w:lang w:val="es-ES_tradnl"/>
        </w:rPr>
        <w:t xml:space="preserve">, </w:t>
      </w:r>
      <w:r w:rsidRPr="005E5EFE">
        <w:rPr>
          <w:b/>
          <w:bCs/>
          <w:color w:val="000000"/>
          <w:lang w:val="es-ES_tradnl"/>
        </w:rPr>
        <w:t>11.44C.2</w:t>
      </w:r>
      <w:r w:rsidRPr="005E5EFE">
        <w:rPr>
          <w:color w:val="000000"/>
          <w:lang w:val="es-ES_tradnl"/>
        </w:rPr>
        <w:t xml:space="preserve">, </w:t>
      </w:r>
      <w:r w:rsidRPr="005E5EFE">
        <w:rPr>
          <w:b/>
          <w:bCs/>
          <w:color w:val="000000"/>
          <w:lang w:val="es-ES_tradnl"/>
        </w:rPr>
        <w:t>11.44C.3</w:t>
      </w:r>
      <w:r w:rsidRPr="005E5EFE">
        <w:rPr>
          <w:color w:val="000000"/>
          <w:lang w:val="es-ES_tradnl"/>
        </w:rPr>
        <w:t xml:space="preserve">, </w:t>
      </w:r>
      <w:r w:rsidRPr="005E5EFE">
        <w:rPr>
          <w:b/>
          <w:bCs/>
          <w:color w:val="000000"/>
          <w:lang w:val="es-ES_tradnl"/>
        </w:rPr>
        <w:t>11.44C.4</w:t>
      </w:r>
      <w:r w:rsidRPr="005E5EFE">
        <w:rPr>
          <w:color w:val="000000"/>
          <w:lang w:val="es-ES_tradnl"/>
        </w:rPr>
        <w:t xml:space="preserve">, </w:t>
      </w:r>
      <w:r w:rsidRPr="005E5EFE">
        <w:rPr>
          <w:b/>
          <w:bCs/>
          <w:color w:val="000000"/>
          <w:lang w:val="es-ES_tradnl"/>
        </w:rPr>
        <w:t>11.44D</w:t>
      </w:r>
      <w:r w:rsidRPr="005E5EFE">
        <w:rPr>
          <w:color w:val="000000"/>
          <w:lang w:val="es-ES_tradnl"/>
        </w:rPr>
        <w:t xml:space="preserve">, </w:t>
      </w:r>
      <w:r w:rsidRPr="005E5EFE">
        <w:rPr>
          <w:b/>
          <w:bCs/>
          <w:color w:val="000000"/>
          <w:lang w:val="es-ES_tradnl"/>
        </w:rPr>
        <w:t>11.44D.1</w:t>
      </w:r>
      <w:r w:rsidRPr="005E5EFE">
        <w:rPr>
          <w:color w:val="000000"/>
          <w:lang w:val="es-ES_tradnl"/>
        </w:rPr>
        <w:t xml:space="preserve">, </w:t>
      </w:r>
      <w:r w:rsidRPr="005E5EFE">
        <w:rPr>
          <w:b/>
          <w:bCs/>
          <w:color w:val="000000"/>
          <w:lang w:val="es-ES_tradnl"/>
        </w:rPr>
        <w:t>11.44D.2</w:t>
      </w:r>
      <w:r w:rsidRPr="005E5EFE">
        <w:rPr>
          <w:color w:val="000000"/>
          <w:lang w:val="es-ES_tradnl"/>
        </w:rPr>
        <w:t xml:space="preserve">, </w:t>
      </w:r>
      <w:r w:rsidRPr="005E5EFE">
        <w:rPr>
          <w:b/>
          <w:bCs/>
          <w:color w:val="000000"/>
          <w:lang w:val="es-ES_tradnl"/>
        </w:rPr>
        <w:t>11.44D.3</w:t>
      </w:r>
      <w:r w:rsidRPr="005E5EFE">
        <w:rPr>
          <w:color w:val="000000"/>
          <w:lang w:val="es-ES_tradnl"/>
        </w:rPr>
        <w:t xml:space="preserve">, </w:t>
      </w:r>
      <w:r w:rsidRPr="005E5EFE">
        <w:rPr>
          <w:b/>
          <w:bCs/>
          <w:color w:val="000000"/>
          <w:lang w:val="es-ES_tradnl"/>
        </w:rPr>
        <w:t>11.44E</w:t>
      </w:r>
      <w:r w:rsidRPr="005E5EFE">
        <w:rPr>
          <w:color w:val="000000"/>
          <w:lang w:val="es-ES_tradnl"/>
        </w:rPr>
        <w:t xml:space="preserve">, </w:t>
      </w:r>
      <w:r w:rsidRPr="005E5EFE">
        <w:rPr>
          <w:b/>
          <w:bCs/>
          <w:color w:val="000000"/>
          <w:lang w:val="es-ES_tradnl"/>
        </w:rPr>
        <w:t>11.44E.1</w:t>
      </w:r>
      <w:r w:rsidRPr="005E5EFE">
        <w:rPr>
          <w:lang w:val="es-ES_tradnl"/>
        </w:rPr>
        <w:t xml:space="preserve"> y </w:t>
      </w:r>
      <w:r w:rsidRPr="005E5EFE">
        <w:rPr>
          <w:rStyle w:val="Artref"/>
          <w:b/>
          <w:bCs/>
          <w:color w:val="000000"/>
          <w:lang w:val="es-ES_tradnl"/>
        </w:rPr>
        <w:t>11.47</w:t>
      </w:r>
      <w:r w:rsidRPr="005E5EFE">
        <w:rPr>
          <w:rStyle w:val="Artref"/>
          <w:color w:val="000000"/>
          <w:lang w:val="es-ES_tradnl"/>
        </w:rPr>
        <w:t>, y llegó a la conclusión de que la Oficina aplicará el procedimiento que se describe a continuación</w:t>
      </w:r>
      <w:r w:rsidRPr="005E5EFE">
        <w:rPr>
          <w:lang w:val="es-ES_tradnl"/>
        </w:rPr>
        <w:t>.</w:t>
      </w:r>
    </w:p>
    <w:p w14:paraId="4C29B132" w14:textId="02971959" w:rsidR="00290328" w:rsidRDefault="00290328" w:rsidP="005E5EFE">
      <w:pPr>
        <w:rPr>
          <w:lang w:val="es-ES_tradnl"/>
        </w:rPr>
      </w:pPr>
      <w:r>
        <w:rPr>
          <w:lang w:val="es-ES_tradnl"/>
        </w:rPr>
        <w:br w:type="page"/>
      </w:r>
    </w:p>
    <w:p w14:paraId="2FEA8597" w14:textId="79A375D0" w:rsidR="005E5EFE" w:rsidRPr="005E5EFE" w:rsidRDefault="005E5EFE" w:rsidP="005E5EFE">
      <w:pPr>
        <w:rPr>
          <w:lang w:val="es-ES_tradnl"/>
        </w:rPr>
      </w:pPr>
      <w:r w:rsidRPr="005E5EFE">
        <w:rPr>
          <w:lang w:val="es-ES_tradnl"/>
        </w:rPr>
        <w:lastRenderedPageBreak/>
        <w:t>3</w:t>
      </w:r>
      <w:r w:rsidRPr="005E5EFE">
        <w:rPr>
          <w:lang w:val="es-ES_tradnl"/>
        </w:rPr>
        <w:tab/>
      </w:r>
      <w:proofErr w:type="gramStart"/>
      <w:r w:rsidRPr="005E5EFE">
        <w:rPr>
          <w:lang w:val="es-ES_tradnl"/>
        </w:rPr>
        <w:t>El</w:t>
      </w:r>
      <w:proofErr w:type="gramEnd"/>
      <w:r w:rsidRPr="005E5EFE">
        <w:rPr>
          <w:lang w:val="es-ES_tradnl"/>
        </w:rPr>
        <w:t xml:space="preserve"> número </w:t>
      </w:r>
      <w:r w:rsidRPr="005E5EFE">
        <w:rPr>
          <w:rStyle w:val="Artref"/>
          <w:b/>
          <w:color w:val="000000"/>
          <w:lang w:val="es-ES_tradnl"/>
        </w:rPr>
        <w:t>11.44</w:t>
      </w:r>
      <w:r w:rsidR="003421C9">
        <w:rPr>
          <w:rStyle w:val="FootnoteReference"/>
          <w:lang w:val="es-ES_tradnl"/>
        </w:rPr>
        <w:footnoteReference w:customMarkFollows="1" w:id="13"/>
        <w:t>11</w:t>
      </w:r>
      <w:r w:rsidRPr="005E5EFE">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r w:rsidRPr="005E5EFE">
        <w:rPr>
          <w:b/>
          <w:bCs/>
          <w:lang w:val="es-ES_tradnl"/>
        </w:rPr>
        <w:t xml:space="preserve"> </w:t>
      </w:r>
      <w:r w:rsidRPr="005E5EFE">
        <w:rPr>
          <w:lang w:val="es-ES_tradnl"/>
        </w:rPr>
        <w:t>así como en los números</w:t>
      </w:r>
      <w:r w:rsidR="00DD0038">
        <w:rPr>
          <w:lang w:val="es-ES_tradnl"/>
        </w:rPr>
        <w:t>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 xml:space="preserve">, se estipulan las condiciones en virtud de las cuales se considerará que una asignación de frecuencias a una estación espacial ha sido puesta en servicio. La Oficina inscribirá como fecha de puesta en servicio notificada la fecha de comienzo del periodo de 90 días definido en los números </w:t>
      </w:r>
      <w:r w:rsidRPr="005E5EFE">
        <w:rPr>
          <w:b/>
          <w:lang w:val="es-ES_tradnl"/>
        </w:rPr>
        <w:t>11.44B</w:t>
      </w:r>
      <w:r w:rsidRPr="005E5EFE">
        <w:rPr>
          <w:lang w:val="es-ES_tradnl"/>
        </w:rPr>
        <w:t xml:space="preserve"> </w:t>
      </w:r>
      <w:r w:rsidRPr="005E5EFE">
        <w:rPr>
          <w:bCs/>
          <w:lang w:val="es-ES_tradnl"/>
        </w:rPr>
        <w:t xml:space="preserve">u </w:t>
      </w:r>
      <w:r w:rsidRPr="005E5EFE">
        <w:rPr>
          <w:b/>
          <w:bCs/>
          <w:lang w:val="es-ES_tradnl"/>
        </w:rPr>
        <w:t>11.44C</w:t>
      </w:r>
      <w:r w:rsidRPr="005E5EFE">
        <w:rPr>
          <w:lang w:val="es-ES_tradnl"/>
        </w:rPr>
        <w:t>, o la fecha de despliegue definida en los números</w:t>
      </w:r>
      <w:r w:rsidR="00DD0038">
        <w:rPr>
          <w:lang w:val="es-ES_tradnl"/>
        </w:rPr>
        <w:t> </w:t>
      </w:r>
      <w:r w:rsidRPr="005E5EFE">
        <w:rPr>
          <w:b/>
          <w:bCs/>
          <w:lang w:val="es-ES_tradnl"/>
        </w:rPr>
        <w:t xml:space="preserve">11.44D </w:t>
      </w:r>
      <w:r w:rsidRPr="005E5EFE">
        <w:rPr>
          <w:lang w:val="es-ES_tradnl"/>
        </w:rPr>
        <w:t xml:space="preserve">u </w:t>
      </w:r>
      <w:r w:rsidRPr="005E5EFE">
        <w:rPr>
          <w:b/>
          <w:bCs/>
          <w:lang w:val="es-ES_tradnl"/>
        </w:rPr>
        <w:t>11.44E</w:t>
      </w:r>
      <w:r w:rsidRPr="005E5EFE">
        <w:rPr>
          <w:lang w:val="es-ES_tradnl"/>
        </w:rPr>
        <w:t>,</w:t>
      </w:r>
      <w:r w:rsidRPr="005E5EFE">
        <w:rPr>
          <w:bCs/>
          <w:lang w:val="es-ES_tradnl"/>
        </w:rPr>
        <w:t xml:space="preserve"> o la fecha proporcionada por la administración de conformidad con los números</w:t>
      </w:r>
      <w:r w:rsidR="00DD0038">
        <w:rPr>
          <w:bCs/>
          <w:lang w:val="es-ES_tradnl"/>
        </w:rPr>
        <w:t> </w:t>
      </w:r>
      <w:r w:rsidRPr="005E5EFE">
        <w:rPr>
          <w:b/>
          <w:lang w:val="es-ES_tradnl"/>
        </w:rPr>
        <w:t xml:space="preserve">11.44B.2 </w:t>
      </w:r>
      <w:r w:rsidRPr="005E5EFE">
        <w:rPr>
          <w:bCs/>
          <w:lang w:val="es-ES_tradnl"/>
        </w:rPr>
        <w:t xml:space="preserve">u </w:t>
      </w:r>
      <w:r w:rsidRPr="005E5EFE">
        <w:rPr>
          <w:b/>
          <w:bCs/>
          <w:lang w:val="es-ES_tradnl"/>
        </w:rPr>
        <w:t>11.44C.3</w:t>
      </w:r>
      <w:r w:rsidRPr="005E5EFE">
        <w:rPr>
          <w:b/>
          <w:lang w:val="es-ES_tradnl"/>
        </w:rPr>
        <w:t xml:space="preserve"> </w:t>
      </w:r>
      <w:r w:rsidRPr="005E5EFE">
        <w:rPr>
          <w:lang w:val="es-ES_tradnl"/>
        </w:rPr>
        <w:t>(véase el número</w:t>
      </w:r>
      <w:r w:rsidR="00DD0038">
        <w:rPr>
          <w:lang w:val="es-ES_tradnl"/>
        </w:rPr>
        <w:t> </w:t>
      </w:r>
      <w:r w:rsidRPr="005E5EFE">
        <w:rPr>
          <w:b/>
          <w:lang w:val="es-ES_tradnl"/>
        </w:rPr>
        <w:t>11.44.2</w:t>
      </w:r>
      <w:r w:rsidRPr="005E5EFE">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5E5EFE">
        <w:rPr>
          <w:b/>
          <w:bCs/>
          <w:lang w:val="es-ES_tradnl"/>
        </w:rPr>
        <w:t>11.44B, 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xml:space="preserve">, así como de los números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w:t>
      </w:r>
      <w:r w:rsidRPr="005E5EFE">
        <w:rPr>
          <w:b/>
          <w:bCs/>
          <w:lang w:val="es-ES_tradnl"/>
        </w:rPr>
        <w:t> </w:t>
      </w:r>
      <w:r w:rsidRPr="005E5EFE">
        <w:rPr>
          <w:lang w:val="es-ES_tradnl"/>
        </w:rPr>
        <w:t>la Oficina anulará las asignaciones inscritas provisionalmente en el Registro con arreglo al número </w:t>
      </w:r>
      <w:r w:rsidRPr="005E5EFE">
        <w:rPr>
          <w:b/>
          <w:bCs/>
          <w:lang w:val="es-ES_tradnl"/>
        </w:rPr>
        <w:t>11.44</w:t>
      </w:r>
      <w:r w:rsidR="003421C9">
        <w:rPr>
          <w:rStyle w:val="FootnoteReference"/>
          <w:lang w:val="es-ES_tradnl"/>
        </w:rPr>
        <w:footnoteReference w:customMarkFollows="1" w:id="14"/>
        <w:t>12</w:t>
      </w:r>
      <w:r w:rsidRPr="005E5EFE">
        <w:rPr>
          <w:lang w:val="es-ES_tradnl"/>
        </w:rPr>
        <w:t xml:space="preserve"> y/o suprimirá las correspondientes secciones especiales conforme al número </w:t>
      </w:r>
      <w:r w:rsidRPr="005E5EFE">
        <w:rPr>
          <w:b/>
          <w:bCs/>
          <w:lang w:val="es-ES_tradnl"/>
        </w:rPr>
        <w:t>11.48</w:t>
      </w:r>
      <w:r w:rsidR="003421C9">
        <w:rPr>
          <w:rStyle w:val="FootnoteReference"/>
          <w:lang w:val="es-ES_tradnl"/>
        </w:rPr>
        <w:footnoteReference w:customMarkFollows="1" w:id="15"/>
        <w:t>13</w:t>
      </w:r>
      <w:r w:rsidRPr="005E5EFE">
        <w:rPr>
          <w:lang w:val="es-ES_tradnl"/>
        </w:rPr>
        <w:t>, según proceda.</w:t>
      </w:r>
    </w:p>
    <w:p w14:paraId="5313B2E4" w14:textId="26725873" w:rsidR="005E5EFE" w:rsidRPr="005E5EFE" w:rsidRDefault="005E5EFE" w:rsidP="005E5EFE">
      <w:pPr>
        <w:rPr>
          <w:lang w:val="es-ES_tradnl"/>
        </w:rPr>
      </w:pPr>
      <w:r w:rsidRPr="005E5EFE">
        <w:rPr>
          <w:lang w:val="es-ES_tradnl"/>
        </w:rPr>
        <w:t>4</w:t>
      </w:r>
      <w:r w:rsidRPr="005E5EFE">
        <w:rPr>
          <w:lang w:val="es-ES_tradnl"/>
        </w:rPr>
        <w:tab/>
      </w:r>
      <w:proofErr w:type="gramStart"/>
      <w:r w:rsidRPr="005E5EFE">
        <w:rPr>
          <w:lang w:val="es-ES_tradnl"/>
        </w:rPr>
        <w:t>Las</w:t>
      </w:r>
      <w:proofErr w:type="gramEnd"/>
      <w:r w:rsidRPr="005E5EFE">
        <w:rPr>
          <w:lang w:val="es-ES_tradnl"/>
        </w:rPr>
        <w:t xml:space="preserve"> asignaciones de frecuencias respecto de las cuales una administración haya presentado información sobre la notificación para su inscripción en el Registro sin presentar la información obligatoria requerida a tenor de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se inscribirá provisionalmente en el Registro. De ahí en adelante, al final del periodo proporcionado conforme al número </w:t>
      </w:r>
      <w:r w:rsidRPr="005E5EFE">
        <w:rPr>
          <w:b/>
          <w:bCs/>
          <w:lang w:val="es-ES_tradnl"/>
        </w:rPr>
        <w:t>11.44</w:t>
      </w:r>
      <w:r w:rsidRPr="005E5EFE">
        <w:rPr>
          <w:lang w:val="es-ES_tradnl"/>
        </w:rPr>
        <w:t xml:space="preserve">, la Oficina actuará de conformidad con lo dispuesto en el número </w:t>
      </w:r>
      <w:r w:rsidRPr="005E5EFE">
        <w:rPr>
          <w:b/>
          <w:bCs/>
          <w:lang w:val="es-ES_tradnl"/>
        </w:rPr>
        <w:t xml:space="preserve">11.47 </w:t>
      </w:r>
      <w:r w:rsidRPr="005E5EFE">
        <w:rPr>
          <w:lang w:val="es-ES_tradnl"/>
        </w:rPr>
        <w:t>y/o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p>
    <w:p w14:paraId="7C508A3C" w14:textId="77777777" w:rsidR="00290328" w:rsidRPr="00290328" w:rsidRDefault="00290328" w:rsidP="00290328">
      <w:pPr>
        <w:pStyle w:val="Heading8"/>
        <w:tabs>
          <w:tab w:val="clear" w:pos="1871"/>
          <w:tab w:val="left" w:pos="1588"/>
        </w:tabs>
        <w:spacing w:before="0"/>
        <w:rPr>
          <w:lang w:val="es-ES"/>
        </w:rPr>
      </w:pPr>
      <w:r w:rsidRPr="00CA2E46">
        <w:rPr>
          <w:color w:val="000000"/>
          <w:lang w:val="es-ES_tradnl"/>
        </w:rPr>
        <w:t>11.46</w:t>
      </w:r>
    </w:p>
    <w:p w14:paraId="38D413B6" w14:textId="77777777" w:rsidR="00290328" w:rsidRPr="00CA2E46" w:rsidRDefault="00290328" w:rsidP="00290328">
      <w:pPr>
        <w:rPr>
          <w:lang w:val="es-ES_tradnl"/>
        </w:rPr>
      </w:pPr>
      <w:r w:rsidRPr="00CA2E46">
        <w:rPr>
          <w:lang w:val="es-ES_tradnl"/>
        </w:rPr>
        <w:t xml:space="preserve">En esta disposición se describen las medidas adoptadas por la Oficina con respecto a toda </w:t>
      </w:r>
      <w:bookmarkStart w:id="0" w:name="_Hlk47620747"/>
      <w:r w:rsidRPr="00CA2E46">
        <w:rPr>
          <w:lang w:val="es-ES_tradnl"/>
        </w:rPr>
        <w:t xml:space="preserve">notificación presentada de nuevo </w:t>
      </w:r>
      <w:bookmarkEnd w:id="0"/>
      <w:r w:rsidRPr="00CA2E46">
        <w:rPr>
          <w:lang w:val="es-ES_tradnl"/>
        </w:rPr>
        <w:t>que se reciba más de seis meses después de la fecha en que se devolvió la notificación original. La Junta estudió su aplicabilidad a las notificaciones espaciales y terrenales y llegó a las siguientes conclusiones:</w:t>
      </w:r>
    </w:p>
    <w:p w14:paraId="3B0506F5" w14:textId="77777777" w:rsidR="00290328" w:rsidRPr="00CA2E46" w:rsidRDefault="00290328" w:rsidP="00290328">
      <w:pPr>
        <w:pStyle w:val="enumlev1"/>
        <w:rPr>
          <w:lang w:val="es-ES_tradnl"/>
        </w:rPr>
      </w:pPr>
      <w:r w:rsidRPr="00CA2E46">
        <w:rPr>
          <w:lang w:val="es-ES_tradnl"/>
        </w:rPr>
        <w:t>a)</w:t>
      </w:r>
      <w:r w:rsidRPr="00CA2E46">
        <w:rPr>
          <w:lang w:val="es-ES_tradnl"/>
        </w:rPr>
        <w:tab/>
        <w:t>el requisito previsto en la primera frase de esta disposición, en virtud del cual toda notificación presentada de nuevo que se reciba más de seis meses después de la fecha en que se devolvió la notificación original será considerada como una nueva notificación, se aplicará a las asignaciones de frecuencias a estaciones espaciales y terrenales;</w:t>
      </w:r>
    </w:p>
    <w:p w14:paraId="4AE8B6AD" w14:textId="33CA3C3E" w:rsidR="00290328" w:rsidRDefault="00290328" w:rsidP="00290328">
      <w:pPr>
        <w:pStyle w:val="enumlev1"/>
        <w:rPr>
          <w:lang w:val="es-ES_tradnl"/>
        </w:rPr>
      </w:pPr>
      <w:r w:rsidRPr="00CA2E46">
        <w:rPr>
          <w:lang w:val="es-ES_tradnl"/>
        </w:rPr>
        <w:t>b)</w:t>
      </w:r>
      <w:r w:rsidRPr="00CA2E46">
        <w:rPr>
          <w:lang w:val="es-ES_tradnl"/>
        </w:rPr>
        <w:tab/>
        <w:t>los demás requisitos del número </w:t>
      </w:r>
      <w:r w:rsidRPr="00CA2E46">
        <w:rPr>
          <w:b/>
          <w:bCs/>
          <w:lang w:val="es-ES_tradnl"/>
        </w:rPr>
        <w:t>11.46</w:t>
      </w:r>
      <w:r w:rsidRPr="00CA2E46">
        <w:rPr>
          <w:lang w:val="es-ES_tradnl"/>
        </w:rPr>
        <w:t>, así como del número </w:t>
      </w:r>
      <w:r w:rsidRPr="00CA2E46">
        <w:rPr>
          <w:b/>
          <w:bCs/>
          <w:lang w:val="es-ES_tradnl"/>
        </w:rPr>
        <w:t>11.46.1</w:t>
      </w:r>
      <w:r w:rsidRPr="00CA2E46">
        <w:rPr>
          <w:lang w:val="es-ES_tradnl"/>
        </w:rPr>
        <w:t>, se aplicarán únicamente a las asignaciones de frecuencias a estaciones espaciales.</w:t>
      </w:r>
    </w:p>
    <w:p w14:paraId="7075E007" w14:textId="77777777" w:rsidR="00243B84" w:rsidRDefault="00243B84" w:rsidP="00290328">
      <w:pPr>
        <w:pStyle w:val="enumlev1"/>
        <w:rPr>
          <w:lang w:val="es-ES_tradnl"/>
        </w:rPr>
      </w:pPr>
    </w:p>
    <w:p w14:paraId="3D785C3F" w14:textId="77777777" w:rsidR="00243B84" w:rsidRDefault="00243B84" w:rsidP="00290328">
      <w:pPr>
        <w:pStyle w:val="enumlev1"/>
        <w:rPr>
          <w:lang w:val="es-ES_tradnl"/>
        </w:rPr>
        <w:sectPr w:rsidR="00243B84" w:rsidSect="00243C1F">
          <w:headerReference w:type="even" r:id="rId18"/>
          <w:headerReference w:type="default" r:id="rId19"/>
          <w:footnotePr>
            <w:pos w:val="beneathText"/>
            <w:numFmt w:val="chicago"/>
          </w:footnotePr>
          <w:pgSz w:w="11907" w:h="16840" w:code="9"/>
          <w:pgMar w:top="1701" w:right="851" w:bottom="1134" w:left="1985" w:header="720" w:footer="482" w:gutter="0"/>
          <w:cols w:space="720"/>
          <w:vAlign w:val="both"/>
        </w:sectPr>
      </w:pPr>
    </w:p>
    <w:p w14:paraId="74952BD9" w14:textId="269F69DE"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14:paraId="19C00F95" w14:textId="03A1D00E" w:rsidR="001A29BD" w:rsidRDefault="001A29BD" w:rsidP="00157BE3">
      <w:pPr>
        <w:spacing w:before="60" w:line="250" w:lineRule="exact"/>
        <w:rPr>
          <w:rStyle w:val="Artref"/>
          <w:bCs/>
          <w:color w:val="000000"/>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14:paraId="393F4780" w14:textId="5890A3E5" w:rsidR="00CA2E46" w:rsidRPr="00CA2E46" w:rsidRDefault="00CA2E46" w:rsidP="00157BE3">
      <w:pPr>
        <w:spacing w:before="60"/>
        <w:rPr>
          <w:b/>
          <w:lang w:val="es-ES_tradnl"/>
        </w:rPr>
      </w:pPr>
      <w:r w:rsidRPr="00CA2E46">
        <w:rPr>
          <w:b/>
          <w:lang w:val="es-ES_tradnl"/>
        </w:rPr>
        <w:t>Nota</w:t>
      </w:r>
      <w:r w:rsidR="00FB02FE">
        <w:rPr>
          <w:lang w:val="es-ES_tradnl"/>
        </w:rPr>
        <w:t> </w:t>
      </w:r>
      <w:r w:rsidR="00FB02FE" w:rsidRPr="008254E1">
        <w:rPr>
          <w:lang w:val="es-ES_tradnl"/>
        </w:rPr>
        <w:t>–</w:t>
      </w:r>
      <w:r w:rsidR="00FB02FE">
        <w:rPr>
          <w:lang w:val="es-ES_tradnl"/>
        </w:rPr>
        <w:t> </w:t>
      </w:r>
      <w:r w:rsidRPr="00CA2E46">
        <w:rPr>
          <w:bCs/>
          <w:lang w:val="es-ES_tradnl"/>
        </w:rPr>
        <w:t>En su 8ª</w:t>
      </w:r>
      <w:r w:rsidR="00290328">
        <w:rPr>
          <w:bCs/>
          <w:lang w:val="es-ES_tradnl"/>
        </w:rPr>
        <w:t> </w:t>
      </w:r>
      <w:r w:rsidRPr="00CA2E46">
        <w:rPr>
          <w:bCs/>
          <w:lang w:val="es-ES_tradnl"/>
        </w:rPr>
        <w:t xml:space="preserve">Sesión Plenaria la CMR-19 tomó la siguiente decisión en cuanto a la aplicación del número </w:t>
      </w:r>
      <w:r w:rsidRPr="00CA2E46">
        <w:rPr>
          <w:b/>
          <w:lang w:val="es-ES_tradnl"/>
        </w:rPr>
        <w:t>11.47</w:t>
      </w:r>
      <w:r w:rsidRPr="00CA2E46">
        <w:rPr>
          <w:bCs/>
          <w:lang w:val="es-ES_tradnl"/>
        </w:rPr>
        <w:t xml:space="preserve"> del RR con respecto a las inscripciones provisionales; véanse los apartados 3.11 a 3.15 del Documento CMR19/569, aprobación del Documento CMR19/451 relativo al apartado 3.1.4.3 del Documento CMR19/4(Add.2)</w:t>
      </w:r>
      <w:r w:rsidRPr="00CA2E46">
        <w:rPr>
          <w:lang w:val="es-ES_tradnl"/>
        </w:rPr>
        <w:t>:</w:t>
      </w:r>
    </w:p>
    <w:p w14:paraId="4BA6D570" w14:textId="77777777" w:rsidR="00CA2E46" w:rsidRPr="00316036" w:rsidRDefault="00CA2E46" w:rsidP="00157BE3">
      <w:pPr>
        <w:spacing w:before="60"/>
        <w:rPr>
          <w:i/>
          <w:iCs/>
          <w:lang w:val="es-ES_tradnl"/>
        </w:rPr>
      </w:pPr>
      <w:r w:rsidRPr="00CA2E46">
        <w:rPr>
          <w:lang w:val="es-ES_tradnl"/>
        </w:rPr>
        <w:t>«</w:t>
      </w:r>
      <w:bookmarkStart w:id="1" w:name="lt_pId383"/>
      <w:r w:rsidRPr="00316036">
        <w:rPr>
          <w:i/>
          <w:iCs/>
          <w:lang w:val="es-ES_tradnl"/>
        </w:rPr>
        <w:t xml:space="preserve">Al examinar la sección 3.1.4.3 sobre la «Posible revisión de la aplicación del número </w:t>
      </w:r>
      <w:r w:rsidRPr="00316036">
        <w:rPr>
          <w:b/>
          <w:bCs/>
          <w:i/>
          <w:iCs/>
          <w:lang w:val="es-ES_tradnl"/>
        </w:rPr>
        <w:t>11.47</w:t>
      </w:r>
      <w:r w:rsidRPr="00316036">
        <w:rPr>
          <w:i/>
          <w:iCs/>
          <w:lang w:val="es-ES_tradnl"/>
        </w:rPr>
        <w:t xml:space="preserve"> del RR con respecto a las inscripciones provisionales», de las dos opciones presentadas en esta sección para resolver las dificultades planteadas, la CMR-19 eligió la segunda opción de la forma que se indica a continuación:</w:t>
      </w:r>
      <w:bookmarkEnd w:id="1"/>
    </w:p>
    <w:p w14:paraId="71B76D45" w14:textId="0282DF67" w:rsidR="00CA2E46" w:rsidRDefault="00CA2E46" w:rsidP="00157BE3">
      <w:pPr>
        <w:spacing w:before="60" w:line="250" w:lineRule="exact"/>
        <w:rPr>
          <w:lang w:val="es-ES_tradnl"/>
        </w:rPr>
      </w:pPr>
      <w:r w:rsidRPr="00316036">
        <w:rPr>
          <w:i/>
          <w:iCs/>
          <w:lang w:val="es-ES_tradnl"/>
        </w:rPr>
        <w:t>Se encarga a la Oficina la prórroga automática de las fechas de puesta en servicio previstas en la base de datos hasta el final del periodo reglamentario determinado en el número </w:t>
      </w:r>
      <w:r w:rsidRPr="00316036">
        <w:rPr>
          <w:b/>
          <w:bCs/>
          <w:i/>
          <w:iCs/>
          <w:lang w:val="es-ES_tradnl"/>
        </w:rPr>
        <w:t>11.44</w:t>
      </w:r>
      <w:r w:rsidRPr="00316036">
        <w:rPr>
          <w:i/>
          <w:iCs/>
          <w:lang w:val="es-ES_tradnl"/>
        </w:rPr>
        <w:t xml:space="preserve"> del RR si la Oficina no recibe confirmación durante los cuatro meses anteriores a la fecha prevista de puesta en servicio: no se publicará esta revisión de la fecha de puesta en servicio, pero la información podrá consultarse en el sitio web de la BR. Esta opción no exige modificación alguna del Reglamento de Radiocomunicaciones</w:t>
      </w:r>
      <w:r w:rsidRPr="00CA2E46">
        <w:rPr>
          <w:lang w:val="es-ES_tradnl"/>
        </w:rPr>
        <w:t>».</w:t>
      </w:r>
    </w:p>
    <w:p w14:paraId="3CB5E87B" w14:textId="69132054" w:rsidR="00510FE2" w:rsidRPr="00510FE2" w:rsidRDefault="00510FE2" w:rsidP="00243B84">
      <w:pPr>
        <w:keepNext/>
        <w:keepLines/>
        <w:pBdr>
          <w:top w:val="double" w:sz="6" w:space="1" w:color="auto"/>
          <w:left w:val="double" w:sz="6" w:space="1" w:color="auto"/>
          <w:bottom w:val="double" w:sz="6" w:space="1" w:color="auto"/>
          <w:right w:val="double" w:sz="6" w:space="1" w:color="auto"/>
        </w:pBdr>
        <w:spacing w:before="120"/>
        <w:ind w:left="85" w:right="7938"/>
        <w:outlineLvl w:val="7"/>
        <w:rPr>
          <w:rFonts w:asciiTheme="minorHAnsi" w:hAnsiTheme="minorHAnsi" w:cstheme="minorHAnsi"/>
          <w:b/>
          <w:color w:val="000000"/>
          <w:lang w:val="es-ES"/>
        </w:rPr>
      </w:pPr>
      <w:r w:rsidRPr="00243B84">
        <w:rPr>
          <w:b/>
          <w:color w:val="000000"/>
          <w:lang w:val="es-ES_tradnl"/>
        </w:rPr>
        <w:t>11.48 y 11.48.1</w:t>
      </w:r>
      <w:r w:rsidRPr="00243B84">
        <w:rPr>
          <w:b/>
          <w:color w:val="000000"/>
          <w:lang w:val="es-ES_tradnl"/>
        </w:rPr>
        <w:tab/>
      </w:r>
      <w:r>
        <w:rPr>
          <w:rFonts w:asciiTheme="minorHAnsi" w:hAnsiTheme="minorHAnsi" w:cstheme="minorHAnsi"/>
          <w:b/>
          <w:color w:val="000000"/>
          <w:lang w:val="es-ES"/>
        </w:rPr>
        <w:tab/>
      </w:r>
      <w:r w:rsidRPr="00B57DC8">
        <w:rPr>
          <w:bCs/>
          <w:sz w:val="16"/>
          <w:szCs w:val="16"/>
        </w:rPr>
        <w:t>(MOD RRB23/498)</w:t>
      </w:r>
    </w:p>
    <w:p w14:paraId="29A4898E" w14:textId="77777777" w:rsidR="00510FE2" w:rsidRPr="00243B84" w:rsidRDefault="00510FE2" w:rsidP="00157BE3">
      <w:pPr>
        <w:spacing w:before="60"/>
        <w:rPr>
          <w:spacing w:val="-6"/>
          <w:lang w:val="es-ES"/>
        </w:rPr>
      </w:pPr>
      <w:r w:rsidRPr="00243B84">
        <w:rPr>
          <w:b/>
          <w:bCs/>
          <w:spacing w:val="-6"/>
          <w:lang w:val="es-ES"/>
        </w:rPr>
        <w:t>Medidas adoptadas por la Oficina a raíz de la decisión de la Junta de conceder una prórroga para la puesta en servicio de las asignaciones de frecuencias a una red de satélites</w:t>
      </w:r>
    </w:p>
    <w:p w14:paraId="283DE261" w14:textId="38D07BA7" w:rsidR="00510FE2" w:rsidRPr="00243B84" w:rsidRDefault="00510FE2" w:rsidP="00157BE3">
      <w:pPr>
        <w:spacing w:before="60" w:after="60" w:line="260" w:lineRule="exact"/>
        <w:rPr>
          <w:lang w:val="es-ES"/>
        </w:rPr>
      </w:pPr>
      <w:r w:rsidRPr="00243B84">
        <w:rPr>
          <w:lang w:val="es-ES"/>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 plazo para la presentación de la información de notificación, de la Resolución </w:t>
      </w:r>
      <w:r w:rsidRPr="00243B84">
        <w:rPr>
          <w:b/>
          <w:bCs/>
          <w:lang w:val="es-ES"/>
        </w:rPr>
        <w:t xml:space="preserve">49 (Rev.CMR-19) </w:t>
      </w:r>
      <w:r w:rsidRPr="00243B84">
        <w:rPr>
          <w:lang w:val="es-ES"/>
        </w:rPr>
        <w:t>y de la Resolución</w:t>
      </w:r>
      <w:r w:rsidRPr="00243B84">
        <w:rPr>
          <w:b/>
          <w:bCs/>
          <w:lang w:val="es-ES"/>
        </w:rPr>
        <w:t xml:space="preserve"> 552 (Rev.CMR-19)</w:t>
      </w:r>
      <w:r w:rsidRPr="00243B84">
        <w:rPr>
          <w:lang w:val="es-ES"/>
        </w:rPr>
        <w:t>. En los números </w:t>
      </w:r>
      <w:r w:rsidRPr="00243B84">
        <w:rPr>
          <w:b/>
          <w:bCs/>
          <w:lang w:val="es-ES"/>
        </w:rPr>
        <w:t>11.48</w:t>
      </w:r>
      <w:r w:rsidRPr="00243B84">
        <w:rPr>
          <w:lang w:val="es-ES"/>
        </w:rPr>
        <w:t xml:space="preserve"> y </w:t>
      </w:r>
      <w:r w:rsidRPr="00243B84">
        <w:rPr>
          <w:b/>
          <w:bCs/>
          <w:lang w:val="es-ES"/>
        </w:rPr>
        <w:t>11.48.1</w:t>
      </w:r>
      <w:r w:rsidRPr="00243B84">
        <w:rPr>
          <w:lang w:val="es-ES"/>
        </w:rPr>
        <w:t xml:space="preserve"> no se alude únicamente a la puesta en servicio, sino que en virtud de los mismos se exige que la Oficina de Radiocomunicaciones reciba la primera notificación para inscribir las asignaciones de frecuencias con arreglo al número </w:t>
      </w:r>
      <w:r w:rsidRPr="00243B84">
        <w:rPr>
          <w:b/>
          <w:bCs/>
          <w:lang w:val="es-ES"/>
        </w:rPr>
        <w:t>11.15</w:t>
      </w:r>
      <w:r w:rsidRPr="00243B84">
        <w:rPr>
          <w:lang w:val="es-ES"/>
        </w:rPr>
        <w:t xml:space="preserve"> antes de que expire el plazo reglamentario de siete años y la información de debida diligencia con arreglo a la Resolución </w:t>
      </w:r>
      <w:r w:rsidRPr="00243B84">
        <w:rPr>
          <w:b/>
          <w:bCs/>
          <w:lang w:val="es-ES"/>
        </w:rPr>
        <w:t>49 (Rev.CMR-19)</w:t>
      </w:r>
      <w:r w:rsidRPr="00243B84">
        <w:rPr>
          <w:lang w:val="es-ES"/>
        </w:rPr>
        <w:t xml:space="preserve"> y/o la Resolución </w:t>
      </w:r>
      <w:r w:rsidRPr="00243B84">
        <w:rPr>
          <w:b/>
          <w:bCs/>
          <w:lang w:val="es-ES"/>
        </w:rPr>
        <w:t>552 (Rev.CMR-19)</w:t>
      </w:r>
      <w:r w:rsidRPr="00243B84">
        <w:rPr>
          <w:lang w:val="es-ES"/>
        </w:rPr>
        <w:t xml:space="preserve"> a más tardar 30 días después del final del plazo reglamentario de siete años.</w:t>
      </w:r>
    </w:p>
    <w:p w14:paraId="69227C40" w14:textId="09924833" w:rsidR="00510FE2" w:rsidRPr="00243B84" w:rsidRDefault="00510FE2" w:rsidP="00157BE3">
      <w:pPr>
        <w:spacing w:before="60" w:after="60" w:line="260" w:lineRule="exact"/>
        <w:rPr>
          <w:lang w:val="es-ES"/>
        </w:rPr>
      </w:pPr>
      <w:r w:rsidRPr="00243B84">
        <w:rPr>
          <w:lang w:val="es-ES"/>
        </w:rPr>
        <w:t xml:space="preserve">A menos que la Junta decida explícitamente lo contrario, la ampliación del plazo para la puesta en servicio de las asignaciones de frecuencias a una red de satélites no conlleva la prórroga del plazo reglamentario para la presentación de la información de notificación, de la Resolución </w:t>
      </w:r>
      <w:r w:rsidRPr="00243B84">
        <w:rPr>
          <w:b/>
          <w:bCs/>
          <w:lang w:val="es-ES"/>
        </w:rPr>
        <w:t>49 (Rev.CMR-19)</w:t>
      </w:r>
      <w:r w:rsidRPr="00243B84">
        <w:rPr>
          <w:lang w:val="es-ES"/>
        </w:rPr>
        <w:t xml:space="preserve"> y/o de la Resolución</w:t>
      </w:r>
      <w:r w:rsidRPr="00243B84">
        <w:rPr>
          <w:b/>
          <w:bCs/>
          <w:lang w:val="es-ES"/>
        </w:rPr>
        <w:t xml:space="preserve"> 552 (Rev.CMR-19)</w:t>
      </w:r>
      <w:r w:rsidRPr="00243B84">
        <w:rPr>
          <w:lang w:val="es-ES"/>
        </w:rPr>
        <w:t xml:space="preserve"> en virtud de lo establecido en los números </w:t>
      </w:r>
      <w:r w:rsidRPr="00243B84">
        <w:rPr>
          <w:b/>
          <w:bCs/>
          <w:lang w:val="es-ES"/>
        </w:rPr>
        <w:t>11.48 y 11.48.1</w:t>
      </w:r>
      <w:r w:rsidRPr="00243B84">
        <w:rPr>
          <w:lang w:val="es-ES"/>
        </w:rPr>
        <w:t xml:space="preserve">, puesto que esa información sobre la utilización prevista de frecuencias y la situación de coordinación sería útil para otras administraciones a los efectos de planificación de sus proyectos de satélite y actividades de coordinación. En consecuencia, en </w:t>
      </w:r>
      <w:r w:rsidRPr="00243B84">
        <w:t>los casos</w:t>
      </w:r>
      <w:r w:rsidRPr="00243B84">
        <w:rPr>
          <w:lang w:val="es-ES"/>
        </w:rPr>
        <w:t xml:space="preserve"> en los que no se haya proporcionado dicha información antes de que la Junta haya decidido conceder una prórroga del plazo para la puesta en servicio, la Oficina comunicará a la administración notificante, después de la decisión de la Junta, que aún debe proporcionar, de conformidad con lo establecido en los números </w:t>
      </w:r>
      <w:r w:rsidRPr="00243B84">
        <w:rPr>
          <w:b/>
          <w:bCs/>
          <w:lang w:val="es-ES"/>
        </w:rPr>
        <w:t xml:space="preserve">11.48 </w:t>
      </w:r>
      <w:r w:rsidRPr="00243B84">
        <w:rPr>
          <w:lang w:val="es-ES"/>
        </w:rPr>
        <w:t>y</w:t>
      </w:r>
      <w:r w:rsidRPr="00243B84">
        <w:rPr>
          <w:b/>
          <w:bCs/>
          <w:lang w:val="es-ES"/>
        </w:rPr>
        <w:t xml:space="preserve"> 11.48.1</w:t>
      </w:r>
      <w:r w:rsidRPr="00243B84">
        <w:rPr>
          <w:lang w:val="es-ES"/>
        </w:rPr>
        <w:t>, la información de notificación en el plazo de siete años, así como la información de la Resolución </w:t>
      </w:r>
      <w:r w:rsidRPr="00243B84">
        <w:rPr>
          <w:b/>
          <w:bCs/>
          <w:lang w:val="es-ES"/>
        </w:rPr>
        <w:t>49 (Rev.CMR-19)</w:t>
      </w:r>
      <w:r w:rsidRPr="00243B84">
        <w:rPr>
          <w:lang w:val="es-ES"/>
        </w:rPr>
        <w:t xml:space="preserve"> y de la Resolución</w:t>
      </w:r>
      <w:r w:rsidRPr="00243B84">
        <w:rPr>
          <w:b/>
          <w:bCs/>
          <w:lang w:val="es-ES"/>
        </w:rPr>
        <w:t xml:space="preserve"> 552 (Rev.CMR-19) </w:t>
      </w:r>
      <w:r w:rsidRPr="00243B84">
        <w:rPr>
          <w:lang w:val="es-ES"/>
        </w:rPr>
        <w:t>sobre el satélite respecto del que se haya producido un caso de fuerza mayor o de retraso de un lanzamiento colectivo a más tardar 30 días después del final del plazo de siete años.</w:t>
      </w:r>
    </w:p>
    <w:p w14:paraId="6B059B5C" w14:textId="083E7B91" w:rsidR="00510FE2" w:rsidRPr="00243B84" w:rsidRDefault="00510FE2" w:rsidP="00510FE2">
      <w:pPr>
        <w:rPr>
          <w:lang w:val="es-ES"/>
        </w:rPr>
      </w:pPr>
      <w:r w:rsidRPr="00243B84">
        <w:rPr>
          <w:lang w:val="es-ES"/>
        </w:rPr>
        <w:lastRenderedPageBreak/>
        <w:t xml:space="preserve">Cuando la información de la Resolución </w:t>
      </w:r>
      <w:r w:rsidRPr="00243B84">
        <w:rPr>
          <w:b/>
          <w:bCs/>
          <w:lang w:val="es-ES"/>
        </w:rPr>
        <w:t>49 (Rev.CMR-19)</w:t>
      </w:r>
      <w:r w:rsidRPr="00243B84">
        <w:rPr>
          <w:lang w:val="es-ES"/>
        </w:rPr>
        <w:t xml:space="preserve"> y/o de la </w:t>
      </w:r>
      <w:r w:rsidRPr="00243B84">
        <w:rPr>
          <w:b/>
          <w:bCs/>
          <w:lang w:val="es-ES"/>
        </w:rPr>
        <w:t>Resolución 552 (Rev.CMR</w:t>
      </w:r>
      <w:r w:rsidRPr="00243B84">
        <w:rPr>
          <w:b/>
          <w:bCs/>
          <w:lang w:val="es-ES"/>
        </w:rPr>
        <w:noBreakHyphen/>
        <w:t>19)</w:t>
      </w:r>
      <w:r w:rsidRPr="00243B84">
        <w:rPr>
          <w:lang w:val="es-ES"/>
        </w:rPr>
        <w:t xml:space="preserve"> se haya presentado a la Oficina antes de que la Junta tomara la decisión de conceder una prórroga del plazo para la puesta en servicio, la administración notificante proporcionará a la Oficina información actualizada de la Resolución </w:t>
      </w:r>
      <w:r w:rsidRPr="00243B84">
        <w:rPr>
          <w:b/>
          <w:bCs/>
          <w:lang w:val="es-ES"/>
        </w:rPr>
        <w:t>49 (Rev.CMR-19)</w:t>
      </w:r>
      <w:r w:rsidRPr="00243B84">
        <w:rPr>
          <w:lang w:val="es-ES"/>
        </w:rPr>
        <w:t xml:space="preserve"> y/o de la </w:t>
      </w:r>
      <w:r w:rsidRPr="00243B84">
        <w:rPr>
          <w:b/>
          <w:bCs/>
          <w:lang w:val="es-ES"/>
        </w:rPr>
        <w:t>Resolución 552 (Rev.CMR-19)</w:t>
      </w:r>
      <w:r w:rsidRPr="00243B84">
        <w:rPr>
          <w:lang w:val="es-ES"/>
        </w:rPr>
        <w:t>. Si, 30 días después de la finalización del periodo de extensión la administración notificante no ha facilitado a la Oficina dicha información actualizada de la Resolución </w:t>
      </w:r>
      <w:r w:rsidRPr="00243B84">
        <w:rPr>
          <w:b/>
          <w:lang w:val="es-ES"/>
        </w:rPr>
        <w:t>49 (Rev.CMR-19)</w:t>
      </w:r>
      <w:r w:rsidRPr="00243B84">
        <w:rPr>
          <w:lang w:val="es-ES"/>
        </w:rPr>
        <w:t xml:space="preserve"> y/o de la </w:t>
      </w:r>
      <w:r w:rsidRPr="00243B84">
        <w:rPr>
          <w:b/>
          <w:bCs/>
          <w:lang w:val="es-ES"/>
        </w:rPr>
        <w:t>Resolución 552 (Rev.CMR</w:t>
      </w:r>
      <w:r w:rsidRPr="00243B84">
        <w:rPr>
          <w:b/>
          <w:bCs/>
          <w:lang w:val="es-ES"/>
        </w:rPr>
        <w:noBreakHyphen/>
        <w:t>19)</w:t>
      </w:r>
      <w:r w:rsidRPr="00243B84">
        <w:rPr>
          <w:lang w:val="es-ES"/>
        </w:rPr>
        <w:t>, las asignaciones de frecuencias correspondientes expirarán y la correspondiente información publicada con arreglo a los números </w:t>
      </w:r>
      <w:r w:rsidRPr="00243B84">
        <w:rPr>
          <w:b/>
          <w:bCs/>
          <w:lang w:val="es-ES"/>
        </w:rPr>
        <w:t>9.1A</w:t>
      </w:r>
      <w:r w:rsidRPr="00243B84">
        <w:rPr>
          <w:lang w:val="es-ES"/>
        </w:rPr>
        <w:t xml:space="preserve">, </w:t>
      </w:r>
      <w:r w:rsidRPr="00243B84">
        <w:rPr>
          <w:b/>
          <w:bCs/>
          <w:lang w:val="es-ES"/>
        </w:rPr>
        <w:t>9.2B</w:t>
      </w:r>
      <w:r w:rsidRPr="00243B84">
        <w:rPr>
          <w:lang w:val="es-ES"/>
        </w:rPr>
        <w:t xml:space="preserve"> y </w:t>
      </w:r>
      <w:r w:rsidRPr="00243B84">
        <w:rPr>
          <w:b/>
          <w:bCs/>
          <w:lang w:val="es-ES"/>
        </w:rPr>
        <w:t xml:space="preserve">9.38 </w:t>
      </w:r>
      <w:r w:rsidRPr="00243B84">
        <w:rPr>
          <w:lang w:val="es-ES"/>
        </w:rPr>
        <w:t>quedará anulada. Si, un mes antes de la finalización de los plazos indicados anteriormente, la administración notificante no ha facilitado a la Oficina la información actualizada de la Resolución </w:t>
      </w:r>
      <w:r w:rsidRPr="00243B84">
        <w:rPr>
          <w:b/>
          <w:lang w:val="es-ES"/>
        </w:rPr>
        <w:t>49 (Rev.CMR-19)</w:t>
      </w:r>
      <w:r w:rsidRPr="00243B84">
        <w:rPr>
          <w:bCs/>
          <w:lang w:val="es-ES"/>
        </w:rPr>
        <w:t xml:space="preserve"> </w:t>
      </w:r>
      <w:r w:rsidRPr="00243B84">
        <w:rPr>
          <w:lang w:val="es-ES"/>
        </w:rPr>
        <w:t xml:space="preserve">y/o de la </w:t>
      </w:r>
      <w:r w:rsidRPr="00243B84">
        <w:rPr>
          <w:b/>
          <w:bCs/>
          <w:lang w:val="es-ES"/>
        </w:rPr>
        <w:t>Resolución 552 (Rev.CMR-19)</w:t>
      </w:r>
      <w:r w:rsidRPr="00243B84">
        <w:rPr>
          <w:lang w:val="es-ES"/>
        </w:rPr>
        <w:t>, la Oficina enviará inmediatamente un recordatorio a la administración notificante.</w:t>
      </w:r>
    </w:p>
    <w:p w14:paraId="13C6A9A6" w14:textId="537D305D"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421C9">
        <w:rPr>
          <w:rStyle w:val="FootnoteReference"/>
          <w:color w:val="000000"/>
          <w:lang w:val="es-ES_tradnl"/>
        </w:rPr>
        <w:footnoteReference w:customMarkFollows="1" w:id="16"/>
        <w:t>14</w:t>
      </w:r>
    </w:p>
    <w:p w14:paraId="4766FEB3" w14:textId="77777777" w:rsidR="00653B0A" w:rsidRPr="003C601A" w:rsidRDefault="00653B0A" w:rsidP="003F7F87">
      <w:pPr>
        <w:pStyle w:val="Heading1"/>
        <w:spacing w:before="360"/>
        <w:rPr>
          <w:lang w:val="es-ES_tradnl"/>
        </w:rPr>
      </w:pPr>
      <w:r w:rsidRPr="003C601A">
        <w:rPr>
          <w:lang w:val="es-ES_tradnl"/>
        </w:rPr>
        <w:t>1</w:t>
      </w:r>
      <w:r w:rsidRPr="003C601A">
        <w:rPr>
          <w:lang w:val="es-ES_tradnl"/>
        </w:rPr>
        <w:tab/>
      </w:r>
      <w:proofErr w:type="gramStart"/>
      <w:r w:rsidRPr="003C601A">
        <w:rPr>
          <w:lang w:val="es-ES_tradnl"/>
        </w:rPr>
        <w:t>Asignaciones</w:t>
      </w:r>
      <w:proofErr w:type="gramEnd"/>
      <w:r w:rsidRPr="003C601A">
        <w:rPr>
          <w:lang w:val="es-ES_tradnl"/>
        </w:rPr>
        <w:t xml:space="preserve"> cuyo uso se ha abandonado</w:t>
      </w:r>
    </w:p>
    <w:p w14:paraId="5545F81C" w14:textId="77777777"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14:paraId="784C3744" w14:textId="429C769F"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14:paraId="4DE4ABA4" w14:textId="77777777" w:rsidR="00E90A91" w:rsidRPr="00E90A91" w:rsidRDefault="00E90A91" w:rsidP="003F7F87">
      <w:pPr>
        <w:pStyle w:val="Heading1"/>
        <w:spacing w:before="360"/>
        <w:rPr>
          <w:lang w:val="es-ES_tradnl"/>
        </w:rPr>
      </w:pPr>
      <w:r w:rsidRPr="00E90A91">
        <w:rPr>
          <w:lang w:val="es-ES_tradnl"/>
        </w:rPr>
        <w:t>2</w:t>
      </w:r>
      <w:r w:rsidRPr="00E90A91">
        <w:rPr>
          <w:lang w:val="es-ES_tradnl"/>
        </w:rPr>
        <w:tab/>
      </w:r>
      <w:proofErr w:type="gramStart"/>
      <w:r w:rsidRPr="00E90A91">
        <w:rPr>
          <w:lang w:val="es-ES_tradnl"/>
        </w:rPr>
        <w:t>Registro</w:t>
      </w:r>
      <w:proofErr w:type="gramEnd"/>
      <w:r w:rsidRPr="00E90A91">
        <w:rPr>
          <w:lang w:val="es-ES_tradnl"/>
        </w:rPr>
        <w:t xml:space="preserve"> de un abandono de uso</w:t>
      </w:r>
    </w:p>
    <w:p w14:paraId="589989DE" w14:textId="77777777"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14:paraId="154AFAF1" w14:textId="4C29D7B2" w:rsidR="003F7F87"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14:paraId="47B8AE4F" w14:textId="77777777" w:rsidR="00243B84" w:rsidRDefault="00243B84" w:rsidP="003F7F87">
      <w:pPr>
        <w:rPr>
          <w:lang w:val="es-ES_tradnl"/>
        </w:rPr>
        <w:sectPr w:rsidR="00243B84" w:rsidSect="00243C1F">
          <w:headerReference w:type="even" r:id="rId20"/>
          <w:headerReference w:type="default" r:id="rId21"/>
          <w:footnotePr>
            <w:pos w:val="beneathText"/>
            <w:numFmt w:val="chicago"/>
          </w:footnotePr>
          <w:pgSz w:w="11907" w:h="16840" w:code="9"/>
          <w:pgMar w:top="1701" w:right="851" w:bottom="1134" w:left="1985" w:header="720" w:footer="482" w:gutter="0"/>
          <w:cols w:space="720"/>
          <w:vAlign w:val="both"/>
        </w:sectPr>
      </w:pPr>
    </w:p>
    <w:p w14:paraId="7889BB9A" w14:textId="04214E56" w:rsidR="003F7F87" w:rsidRPr="00E90A91" w:rsidRDefault="003F7F87" w:rsidP="003F7F87">
      <w:pPr>
        <w:rPr>
          <w:lang w:val="es-ES_tradnl"/>
        </w:rPr>
      </w:pPr>
      <w:r w:rsidRPr="00E90A91">
        <w:rPr>
          <w:lang w:val="es-ES_tradnl"/>
        </w:rPr>
        <w:lastRenderedPageBreak/>
        <w:t>2.3</w:t>
      </w:r>
      <w:r w:rsidRPr="00E90A91">
        <w:rPr>
          <w:lang w:val="es-ES_tradnl"/>
        </w:rPr>
        <w:tab/>
        <w:t>Las asignaciones de frecuencia a estaciones espaciales cuya suspensión se notifique para un periodo de más de tres años no serán tenidas en cuenta a efectos de los exámenes de otras asignaciones, de conformidad con los números</w:t>
      </w:r>
      <w:r w:rsidR="00312F2B">
        <w:rPr>
          <w:lang w:val="es-ES_tradnl"/>
        </w:rPr>
        <w:t>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14:paraId="56EEEACB" w14:textId="77777777"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14:paraId="26B264A9" w14:textId="77777777"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14:paraId="24CC64FD" w14:textId="35D7AD8B"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w:t>
      </w:r>
      <w:r w:rsidR="0064339D">
        <w:rPr>
          <w:b/>
          <w:bCs/>
          <w:lang w:val="es-ES_tradnl"/>
        </w:rPr>
        <w:t>Rev.</w:t>
      </w:r>
      <w:r w:rsidR="00033BEB" w:rsidRPr="00033BEB">
        <w:rPr>
          <w:b/>
          <w:bCs/>
          <w:lang w:val="es-ES_tradnl"/>
        </w:rPr>
        <w:t>CMR-1</w:t>
      </w:r>
      <w:r w:rsidR="00771F68">
        <w:rPr>
          <w:b/>
          <w:bCs/>
          <w:lang w:val="es-ES_tradnl"/>
        </w:rPr>
        <w:t>9</w:t>
      </w:r>
      <w:r w:rsidR="00033BEB" w:rsidRPr="00033BEB">
        <w:rPr>
          <w:b/>
          <w:bCs/>
          <w:lang w:val="es-ES_tradnl"/>
        </w:rPr>
        <w:t>)</w:t>
      </w:r>
      <w:r w:rsidR="00033BEB" w:rsidRPr="00033BEB">
        <w:rPr>
          <w:lang w:val="es-ES_tradnl"/>
        </w:rPr>
        <w:t>.</w:t>
      </w:r>
    </w:p>
    <w:p w14:paraId="504AFD39" w14:textId="77777777"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14:paraId="4C348554" w14:textId="4A47115B" w:rsidR="00DE1E30" w:rsidRPr="00DE1E30" w:rsidRDefault="00DE1E30" w:rsidP="00A00B06">
      <w:pPr>
        <w:spacing w:before="120"/>
        <w:rPr>
          <w:lang w:val="es-ES_tradnl"/>
        </w:rPr>
      </w:pPr>
      <w:r w:rsidRPr="00DE1E30">
        <w:rPr>
          <w:b/>
          <w:lang w:val="es-ES_tradnl"/>
        </w:rPr>
        <w:t>Nota</w:t>
      </w:r>
      <w:r w:rsidR="00FB02FE">
        <w:rPr>
          <w:lang w:val="es-ES_tradnl"/>
        </w:rPr>
        <w:t> </w:t>
      </w:r>
      <w:r w:rsidRPr="00DE1E30">
        <w:rPr>
          <w:lang w:val="es-ES_tradnl"/>
        </w:rPr>
        <w:t>–</w:t>
      </w:r>
      <w:r w:rsidR="00FB02FE">
        <w:rPr>
          <w:lang w:val="es-ES_tradnl"/>
        </w:rPr>
        <w:t> </w:t>
      </w:r>
      <w:r w:rsidRPr="00DE1E30">
        <w:rPr>
          <w:lang w:val="es-ES_tradnl"/>
        </w:rPr>
        <w:t xml:space="preserve">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14:paraId="15EBCA93" w14:textId="52D26E42" w:rsidR="00873EF9" w:rsidRDefault="00DE1E30" w:rsidP="006D45DA">
      <w:pPr>
        <w:spacing w:before="60"/>
        <w:rPr>
          <w:i/>
          <w:iCs/>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p>
    <w:p w14:paraId="6DDCB1A4" w14:textId="2ADE6458" w:rsidR="00CD7CA4" w:rsidRPr="00D47A90" w:rsidRDefault="00CD7CA4" w:rsidP="006D45DA">
      <w:pPr>
        <w:spacing w:before="60"/>
        <w:rPr>
          <w:lang w:val="es-ES"/>
        </w:rPr>
      </w:pPr>
      <w:r w:rsidRPr="00D47A90">
        <w:rPr>
          <w:lang w:val="es-ES"/>
        </w:rPr>
        <w:br w:type="page"/>
      </w:r>
    </w:p>
    <w:p w14:paraId="11C721D4" w14:textId="77777777" w:rsidR="003011F9" w:rsidRPr="00FB6506" w:rsidRDefault="0066792B" w:rsidP="006D45DA">
      <w:pPr>
        <w:pStyle w:val="Heading8"/>
        <w:spacing w:before="240"/>
        <w:rPr>
          <w:color w:val="000000"/>
          <w:lang w:val="es-ES_tradnl"/>
        </w:rPr>
      </w:pPr>
      <w:r>
        <w:rPr>
          <w:lang w:val="es-ES_tradnl"/>
        </w:rPr>
        <w:lastRenderedPageBreak/>
        <w:t>11.50</w:t>
      </w:r>
    </w:p>
    <w:p w14:paraId="1F696CE0" w14:textId="77777777"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proofErr w:type="gramStart"/>
      <w:r w:rsidRPr="008A04C4">
        <w:rPr>
          <w:i/>
          <w:iCs/>
          <w:szCs w:val="24"/>
          <w:lang w:val="es-ES_tradnl"/>
        </w:rPr>
        <w:t>« …</w:t>
      </w:r>
      <w:proofErr w:type="gramEnd"/>
      <w:r w:rsidRPr="008A04C4">
        <w:rPr>
          <w:i/>
          <w:iCs/>
          <w:szCs w:val="24"/>
          <w:lang w:val="es-ES_tradnl"/>
        </w:rPr>
        <w:t xml:space="preserve"> prestando especial atención … »</w:t>
      </w:r>
      <w:r w:rsidRPr="00751400">
        <w:rPr>
          <w:szCs w:val="24"/>
          <w:lang w:val="es-ES_tradnl"/>
        </w:rPr>
        <w:t xml:space="preserve">,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14:paraId="2A82A352" w14:textId="77777777" w:rsidR="00353B4B" w:rsidRDefault="00353B4B" w:rsidP="00A00B06">
      <w:pPr>
        <w:spacing w:before="120"/>
        <w:rPr>
          <w:szCs w:val="24"/>
          <w:lang w:val="es-ES_tradnl"/>
        </w:rPr>
      </w:pPr>
      <w:r w:rsidRPr="00751400">
        <w:rPr>
          <w:szCs w:val="24"/>
          <w:lang w:val="es-ES_tradnl"/>
        </w:rPr>
        <w:t>1</w:t>
      </w:r>
      <w:r w:rsidRPr="00751400">
        <w:rPr>
          <w:szCs w:val="24"/>
          <w:lang w:val="es-ES_tradnl"/>
        </w:rPr>
        <w:tab/>
      </w:r>
      <w:proofErr w:type="gramStart"/>
      <w:r w:rsidRPr="00751400">
        <w:rPr>
          <w:szCs w:val="24"/>
          <w:lang w:val="es-ES_tradnl"/>
        </w:rPr>
        <w:t>Cuando</w:t>
      </w:r>
      <w:proofErr w:type="gramEnd"/>
      <w:r w:rsidRPr="00751400">
        <w:rPr>
          <w:szCs w:val="24"/>
          <w:lang w:val="es-ES_tradnl"/>
        </w:rPr>
        <w:t xml:space="preserve">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14:paraId="70C04160" w14:textId="321AE346"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r>
      <w:proofErr w:type="gramStart"/>
      <w:r w:rsidRPr="00751400">
        <w:rPr>
          <w:szCs w:val="24"/>
          <w:lang w:val="es-ES_tradnl"/>
        </w:rPr>
        <w:t>Antes</w:t>
      </w:r>
      <w:proofErr w:type="gramEnd"/>
      <w:r w:rsidRPr="00751400">
        <w:rPr>
          <w:szCs w:val="24"/>
          <w:lang w:val="es-ES_tradnl"/>
        </w:rPr>
        <w:t xml:space="preserve">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w:t>
      </w:r>
      <w:r w:rsidR="00312F2B">
        <w:rPr>
          <w:szCs w:val="24"/>
          <w:lang w:val="es-ES_tradnl"/>
        </w:rPr>
        <w:t> </w:t>
      </w:r>
      <w:r w:rsidRPr="00751400">
        <w:rPr>
          <w:szCs w:val="24"/>
          <w:lang w:val="es-ES_tradnl"/>
        </w:rPr>
        <w:t>3 a 6. Si no se recibe respuesta antes de que transcurra el plazo establecido por la Oficina (normalmente 30</w:t>
      </w:r>
      <w:r w:rsidR="00312F2B">
        <w:rPr>
          <w:szCs w:val="24"/>
          <w:lang w:val="es-ES_tradnl"/>
        </w:rPr>
        <w:t> </w:t>
      </w:r>
      <w:r w:rsidRPr="00751400">
        <w:rPr>
          <w:szCs w:val="24"/>
          <w:lang w:val="es-ES_tradnl"/>
        </w:rPr>
        <w:t xml:space="preserve">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Si no se recibe respuesta transcurridos 30</w:t>
      </w:r>
      <w:r w:rsidR="00312F2B">
        <w:rPr>
          <w:szCs w:val="24"/>
          <w:lang w:val="es-ES_tradnl"/>
        </w:rPr>
        <w:t> </w:t>
      </w:r>
      <w:r w:rsidRPr="00751400">
        <w:rPr>
          <w:szCs w:val="24"/>
          <w:lang w:val="es-ES_tradnl"/>
        </w:rPr>
        <w:t xml:space="preserve">días después de la fecha de envío del recordatorio, la </w:t>
      </w:r>
      <w:r>
        <w:rPr>
          <w:szCs w:val="24"/>
          <w:lang w:val="es-ES_tradnl"/>
        </w:rPr>
        <w:t>Oficina</w:t>
      </w:r>
      <w:r w:rsidRPr="00751400">
        <w:rPr>
          <w:szCs w:val="24"/>
          <w:lang w:val="es-ES_tradnl"/>
        </w:rPr>
        <w:t xml:space="preserve"> llevará a cabo las medidas propuestas.</w:t>
      </w:r>
    </w:p>
    <w:p w14:paraId="78322D34" w14:textId="67DF96D6" w:rsidR="00353B4B" w:rsidRPr="00751400" w:rsidRDefault="00353B4B" w:rsidP="00AF7287">
      <w:pPr>
        <w:rPr>
          <w:szCs w:val="24"/>
          <w:lang w:val="es-ES_tradnl"/>
        </w:rPr>
      </w:pPr>
      <w:r w:rsidRPr="00751400">
        <w:rPr>
          <w:szCs w:val="24"/>
          <w:lang w:val="es-ES_tradnl"/>
        </w:rPr>
        <w:t>3</w:t>
      </w:r>
      <w:r w:rsidRPr="00751400">
        <w:rPr>
          <w:szCs w:val="24"/>
          <w:lang w:val="es-ES_tradnl"/>
        </w:rPr>
        <w:tab/>
      </w:r>
      <w:proofErr w:type="gramStart"/>
      <w:r w:rsidRPr="00751400">
        <w:rPr>
          <w:szCs w:val="24"/>
          <w:lang w:val="es-ES_tradnl"/>
        </w:rPr>
        <w:t>Cuando</w:t>
      </w:r>
      <w:proofErr w:type="gramEnd"/>
      <w:r w:rsidRPr="00751400">
        <w:rPr>
          <w:szCs w:val="24"/>
          <w:lang w:val="es-ES_tradnl"/>
        </w:rPr>
        <w:t xml:space="preserve">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312F2B">
        <w:rPr>
          <w:i/>
          <w:iCs/>
          <w:lang w:val="es-ES_tradnl"/>
        </w:rPr>
        <w:t>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14:paraId="37FD1449" w14:textId="3A8AFBA0" w:rsidR="00353B4B"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14:paraId="00E40BCF" w14:textId="50D7B911" w:rsidR="00CD7CA4" w:rsidRDefault="00CD7CA4" w:rsidP="00353B4B">
      <w:pPr>
        <w:rPr>
          <w:szCs w:val="24"/>
          <w:lang w:val="es-ES_tradnl"/>
        </w:rPr>
      </w:pPr>
      <w:r>
        <w:rPr>
          <w:szCs w:val="24"/>
          <w:lang w:val="es-ES_tradnl"/>
        </w:rPr>
        <w:br w:type="page"/>
      </w:r>
    </w:p>
    <w:p w14:paraId="02FFF9AF" w14:textId="5A1C3C5F" w:rsidR="00353B4B" w:rsidRPr="00751400" w:rsidRDefault="00353B4B" w:rsidP="00AF7287">
      <w:pPr>
        <w:pStyle w:val="enumlev1"/>
        <w:tabs>
          <w:tab w:val="left" w:pos="567"/>
        </w:tabs>
        <w:ind w:left="0" w:firstLine="0"/>
        <w:rPr>
          <w:szCs w:val="24"/>
          <w:lang w:val="es-ES_tradnl"/>
        </w:rPr>
      </w:pPr>
      <w:r w:rsidRPr="00751400">
        <w:rPr>
          <w:szCs w:val="24"/>
          <w:lang w:val="es-ES_tradnl"/>
        </w:rPr>
        <w:lastRenderedPageBreak/>
        <w:t xml:space="preserve">Cuando la atribución degradada esté sujeta a condiciones adicionales y las condiciones relativas al examen reglamentario con arreglo al </w:t>
      </w:r>
      <w:r w:rsidR="00AF7287" w:rsidRPr="00AF7287">
        <w:rPr>
          <w:lang w:val="es-ES_tradnl"/>
        </w:rPr>
        <w:t>número</w:t>
      </w:r>
      <w:r w:rsidR="00B35150">
        <w:rPr>
          <w:i/>
          <w:iCs/>
          <w:lang w:val="es-ES_tradnl"/>
        </w:rPr>
        <w:t>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CD7CA4">
        <w:rPr>
          <w:i/>
          <w:iCs/>
          <w:lang w:val="es-ES_tradnl"/>
        </w:rPr>
        <w:t>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B35150">
        <w:rPr>
          <w:i/>
          <w:iCs/>
          <w:lang w:val="es-ES_tradnl"/>
        </w:rPr>
        <w:t>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B35150">
        <w:rPr>
          <w:i/>
          <w:iCs/>
          <w:lang w:val="es-ES_tradnl"/>
        </w:rPr>
        <w:t>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B35150">
        <w:rPr>
          <w:i/>
          <w:iCs/>
          <w:lang w:val="es-ES_tradnl"/>
        </w:rPr>
        <w:t>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14:paraId="311A54CA" w14:textId="5136E83F" w:rsidR="00E41FDD" w:rsidRDefault="00353B4B" w:rsidP="00171097">
      <w:pPr>
        <w:rPr>
          <w:lang w:val="es-ES_tradnl" w:eastAsia="zh-CN"/>
        </w:rPr>
      </w:pPr>
      <w:r w:rsidRPr="00751400">
        <w:rPr>
          <w:szCs w:val="24"/>
          <w:lang w:val="es-ES_tradnl" w:eastAsia="zh-CN"/>
        </w:rPr>
        <w:t>5</w:t>
      </w:r>
      <w:r w:rsidRPr="00751400">
        <w:rPr>
          <w:szCs w:val="24"/>
          <w:lang w:val="es-ES_tradnl"/>
        </w:rPr>
        <w:tab/>
      </w:r>
      <w:proofErr w:type="gramStart"/>
      <w:r w:rsidR="0062524A" w:rsidRPr="0062524A">
        <w:rPr>
          <w:lang w:val="es-ES_tradnl" w:eastAsia="zh-CN"/>
        </w:rPr>
        <w:t>Cuando</w:t>
      </w:r>
      <w:proofErr w:type="gramEnd"/>
      <w:r w:rsidR="0062524A" w:rsidRPr="0062524A">
        <w:rPr>
          <w:lang w:val="es-ES_tradnl" w:eastAsia="zh-CN"/>
        </w:rPr>
        <w:t xml:space="preserve">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w:t>
      </w:r>
      <w:r w:rsidR="00171097">
        <w:rPr>
          <w:lang w:val="es-ES_tradnl" w:eastAsia="zh-CN"/>
        </w:rPr>
        <w:t>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14:paraId="07F30271" w14:textId="5578D394"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t>Si además de resultar en una nueva atribución o en un incremento de la categoría de un servicio (S2), el cambio en el Artículo</w:t>
      </w:r>
      <w:r w:rsidR="00171097">
        <w:rPr>
          <w:lang w:val="es-ES_tradnl" w:eastAsia="zh-CN"/>
        </w:rPr>
        <w:t>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14:paraId="10B15244" w14:textId="49F97400" w:rsidR="00353B4B" w:rsidRDefault="00353B4B" w:rsidP="00171097">
      <w:pPr>
        <w:rPr>
          <w:lang w:val="es-ES_tradnl" w:eastAsia="zh-CN"/>
        </w:rPr>
      </w:pPr>
      <w:r w:rsidRPr="00751400">
        <w:rPr>
          <w:lang w:val="es-ES_tradnl" w:eastAsia="zh-CN"/>
        </w:rPr>
        <w:t>6</w:t>
      </w:r>
      <w:r w:rsidRPr="00751400">
        <w:rPr>
          <w:lang w:val="es-ES_tradnl" w:eastAsia="zh-CN"/>
        </w:rPr>
        <w:tab/>
      </w:r>
      <w:proofErr w:type="gramStart"/>
      <w:r w:rsidRPr="00751400">
        <w:rPr>
          <w:lang w:val="es-ES_tradnl" w:eastAsia="zh-CN"/>
        </w:rPr>
        <w:t>Cuando</w:t>
      </w:r>
      <w:proofErr w:type="gramEnd"/>
      <w:r w:rsidRPr="00751400">
        <w:rPr>
          <w:lang w:val="es-ES_tradnl" w:eastAsia="zh-CN"/>
        </w:rPr>
        <w:t xml:space="preserve"> un cambio en el Artículo </w:t>
      </w:r>
      <w:r w:rsidRPr="00A8003B">
        <w:rPr>
          <w:b/>
          <w:bCs/>
          <w:lang w:val="es-ES_tradnl" w:eastAsia="zh-CN"/>
        </w:rPr>
        <w:t xml:space="preserve">5 </w:t>
      </w:r>
      <w:r w:rsidRPr="00751400">
        <w:rPr>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lang w:val="es-ES_tradnl" w:eastAsia="zh-CN"/>
        </w:rPr>
        <w:t>En ese caso, la Oficina pedirá a la Administración notificante si las características de la asignación serán modificadas para cumplir las nuevas condiciones. Si la Administración notificante no responde al pedido de la Oficina (véase el apartado</w:t>
      </w:r>
      <w:r w:rsidR="00B35150">
        <w:rPr>
          <w:lang w:val="es-ES_tradnl" w:eastAsia="zh-CN"/>
        </w:rPr>
        <w:t> </w:t>
      </w:r>
      <w:r>
        <w:rPr>
          <w:lang w:val="es-ES_tradnl" w:eastAsia="zh-CN"/>
        </w:rPr>
        <w:t xml:space="preserve">2 </w:t>
      </w:r>
      <w:r w:rsidRPr="00C96384">
        <w:rPr>
          <w:lang w:val="es-ES_tradnl" w:eastAsia="zh-CN"/>
        </w:rPr>
        <w:t>supra</w:t>
      </w:r>
      <w:r>
        <w:rPr>
          <w:lang w:val="es-ES_tradnl" w:eastAsia="zh-CN"/>
        </w:rPr>
        <w:t>) o s</w:t>
      </w:r>
      <w:r w:rsidRPr="00C96384">
        <w:rPr>
          <w:lang w:val="es-ES_tradnl" w:eastAsia="zh-CN"/>
        </w:rPr>
        <w:t>i</w:t>
      </w:r>
      <w:r w:rsidRPr="00751400">
        <w:rPr>
          <w:lang w:val="es-ES_tradnl" w:eastAsia="zh-CN"/>
        </w:rPr>
        <w:t xml:space="preserve"> no se satisfacen las condiciones, la Oficina propondrá a la Administración notificante suprimir la asignación</w:t>
      </w:r>
      <w:r>
        <w:rPr>
          <w:lang w:val="es-ES_tradnl" w:eastAsia="zh-CN"/>
        </w:rPr>
        <w:t>.</w:t>
      </w:r>
      <w:r w:rsidRPr="00751400">
        <w:rPr>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lang w:val="es-ES_tradnl" w:eastAsia="zh-CN"/>
        </w:rPr>
        <w:t>4.4</w:t>
      </w:r>
      <w:r w:rsidRPr="00751400">
        <w:rPr>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lang w:val="es-ES_tradnl" w:eastAsia="zh-CN"/>
        </w:rPr>
        <w:t>8.5</w:t>
      </w:r>
      <w:r w:rsidRPr="00751400">
        <w:rPr>
          <w:lang w:val="es-ES_tradnl" w:eastAsia="zh-CN"/>
        </w:rPr>
        <w:t>.</w:t>
      </w:r>
    </w:p>
    <w:p w14:paraId="01E41213" w14:textId="2ADB7FB8" w:rsidR="00B35150" w:rsidRDefault="00B35150" w:rsidP="00B35150">
      <w:pPr>
        <w:tabs>
          <w:tab w:val="left" w:pos="0"/>
          <w:tab w:val="left" w:pos="709"/>
          <w:tab w:val="left" w:pos="993"/>
        </w:tabs>
        <w:overflowPunct/>
        <w:textAlignment w:val="auto"/>
        <w:rPr>
          <w:lang w:val="es-ES_tradnl" w:eastAsia="zh-CN"/>
        </w:rPr>
      </w:pPr>
      <w:r>
        <w:rPr>
          <w:lang w:val="es-ES_tradnl" w:eastAsia="zh-CN"/>
        </w:rPr>
        <w:br w:type="page"/>
      </w:r>
    </w:p>
    <w:p w14:paraId="7DADAA6E" w14:textId="77777777" w:rsidR="00353B4B" w:rsidRPr="00751400" w:rsidRDefault="00353B4B" w:rsidP="00AF7287">
      <w:pPr>
        <w:tabs>
          <w:tab w:val="left" w:pos="0"/>
          <w:tab w:val="left" w:pos="284"/>
        </w:tabs>
        <w:overflowPunct/>
        <w:textAlignment w:val="auto"/>
        <w:rPr>
          <w:szCs w:val="24"/>
          <w:lang w:val="es-ES_tradnl" w:eastAsia="zh-CN"/>
        </w:rPr>
      </w:pPr>
      <w:proofErr w:type="gramStart"/>
      <w:r w:rsidRPr="00751400">
        <w:rPr>
          <w:szCs w:val="24"/>
          <w:lang w:val="es-ES_tradnl" w:eastAsia="zh-CN"/>
        </w:rPr>
        <w:lastRenderedPageBreak/>
        <w:t>En relación al</w:t>
      </w:r>
      <w:proofErr w:type="gramEnd"/>
      <w:r w:rsidRPr="00751400">
        <w:rPr>
          <w:szCs w:val="24"/>
          <w:lang w:val="es-ES_tradnl" w:eastAsia="zh-CN"/>
        </w:rPr>
        <w:t xml:space="preserve">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14:paraId="0A7032DA" w14:textId="4D391A94" w:rsidR="00353B4B" w:rsidRPr="00751400" w:rsidRDefault="00353B4B" w:rsidP="00171097">
      <w:pPr>
        <w:rPr>
          <w:lang w:val="es-ES_tradnl" w:eastAsia="zh-CN"/>
        </w:rPr>
      </w:pPr>
      <w:r w:rsidRPr="00751400">
        <w:rPr>
          <w:lang w:val="es-ES_tradnl" w:eastAsia="zh-CN"/>
        </w:rPr>
        <w:t>7</w:t>
      </w:r>
      <w:r w:rsidRPr="00751400">
        <w:rPr>
          <w:lang w:val="es-ES_tradnl" w:eastAsia="zh-CN"/>
        </w:rPr>
        <w:tab/>
      </w:r>
      <w:proofErr w:type="gramStart"/>
      <w:r w:rsidRPr="00751400">
        <w:rPr>
          <w:lang w:val="es-ES_tradnl" w:eastAsia="zh-CN"/>
        </w:rPr>
        <w:t>La</w:t>
      </w:r>
      <w:proofErr w:type="gramEnd"/>
      <w:r w:rsidRPr="00751400">
        <w:rPr>
          <w:lang w:val="es-ES_tradnl" w:eastAsia="zh-CN"/>
        </w:rPr>
        <w:t xml:space="preserve"> Junta observó que el Artículo </w:t>
      </w:r>
      <w:r w:rsidRPr="00A8003B">
        <w:rPr>
          <w:b/>
          <w:bCs/>
          <w:lang w:val="es-ES_tradnl" w:eastAsia="zh-CN"/>
        </w:rPr>
        <w:t>5</w:t>
      </w:r>
      <w:r w:rsidRPr="00751400">
        <w:rPr>
          <w:lang w:val="es-ES_tradnl" w:eastAsia="zh-CN"/>
        </w:rPr>
        <w:t xml:space="preserve"> contiene un cierto número de disposiciones bajo las cuales una </w:t>
      </w:r>
      <w:r w:rsidRPr="006050D0">
        <w:rPr>
          <w:lang w:val="es-ES_tradnl" w:eastAsia="zh-CN"/>
        </w:rPr>
        <w:t>atribución</w:t>
      </w:r>
      <w:r w:rsidRPr="00751400">
        <w:rPr>
          <w:lang w:val="es-ES_tradnl" w:eastAsia="zh-CN"/>
        </w:rPr>
        <w:t xml:space="preserve"> a un servicio de radiocomunicaciones está sujeta a la obtención del acuerdo de las administraciones correspondientes, por ejemplo, </w:t>
      </w:r>
      <w:r w:rsidR="00AF7287" w:rsidRPr="00AF7287">
        <w:rPr>
          <w:lang w:val="es-ES_tradnl"/>
        </w:rPr>
        <w:t>número</w:t>
      </w:r>
      <w:r w:rsidR="00171097">
        <w:rPr>
          <w:i/>
          <w:iCs/>
          <w:lang w:val="es-ES_tradnl"/>
        </w:rPr>
        <w:t> </w:t>
      </w:r>
      <w:r w:rsidRPr="00A8003B">
        <w:rPr>
          <w:b/>
          <w:bCs/>
          <w:lang w:val="es-ES_tradnl" w:eastAsia="zh-CN"/>
        </w:rPr>
        <w:t>5.175</w:t>
      </w:r>
      <w:r w:rsidRPr="00751400">
        <w:rPr>
          <w:lang w:val="es-ES_tradnl" w:eastAsia="zh-CN"/>
        </w:rPr>
        <w:t xml:space="preserve">, </w:t>
      </w:r>
      <w:r w:rsidR="00AF7287" w:rsidRPr="00AF7287">
        <w:rPr>
          <w:lang w:val="es-ES_tradnl"/>
        </w:rPr>
        <w:t>número</w:t>
      </w:r>
      <w:r w:rsidR="00171097" w:rsidRPr="00171097">
        <w:rPr>
          <w:lang w:val="es-ES"/>
        </w:rPr>
        <w:t> </w:t>
      </w:r>
      <w:r w:rsidRPr="00A8003B">
        <w:rPr>
          <w:b/>
          <w:bCs/>
          <w:lang w:val="es-ES_tradnl" w:eastAsia="zh-CN"/>
        </w:rPr>
        <w:t>5.188</w:t>
      </w:r>
      <w:r w:rsidRPr="00751400">
        <w:rPr>
          <w:lang w:val="es-ES_tradnl" w:eastAsia="zh-CN"/>
        </w:rPr>
        <w:t xml:space="preserve">, etc., sin </w:t>
      </w:r>
      <w:r>
        <w:rPr>
          <w:lang w:val="es-ES_tradnl" w:eastAsia="zh-CN"/>
        </w:rPr>
        <w:t>que se haga mención al</w:t>
      </w:r>
      <w:r w:rsidRPr="00751400">
        <w:rPr>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lang w:val="es-ES_tradnl" w:eastAsia="zh-CN"/>
        </w:rPr>
        <w:t>9.21</w:t>
      </w:r>
      <w:r w:rsidRPr="00751400">
        <w:rPr>
          <w:lang w:val="es-ES_tradnl" w:eastAsia="zh-CN"/>
        </w:rPr>
        <w:t>. La obtención de dicho acuerdo no está regulada por los procedimientos del Artículo</w:t>
      </w:r>
      <w:r w:rsidR="00171097">
        <w:rPr>
          <w:lang w:val="es-ES_tradnl" w:eastAsia="zh-CN"/>
        </w:rPr>
        <w:t> </w:t>
      </w:r>
      <w:r w:rsidRPr="00A8003B">
        <w:rPr>
          <w:b/>
          <w:bCs/>
          <w:lang w:val="es-ES_tradnl" w:eastAsia="zh-CN"/>
        </w:rPr>
        <w:t>9</w:t>
      </w:r>
      <w:r w:rsidRPr="00751400">
        <w:rPr>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w:t>
      </w:r>
      <w:proofErr w:type="gramStart"/>
      <w:r w:rsidRPr="00751400">
        <w:rPr>
          <w:lang w:val="es-ES_tradnl" w:eastAsia="zh-CN"/>
        </w:rPr>
        <w:t>que</w:t>
      </w:r>
      <w:proofErr w:type="gramEnd"/>
      <w:r w:rsidRPr="00751400">
        <w:rPr>
          <w:lang w:val="es-ES_tradnl" w:eastAsia="zh-CN"/>
        </w:rPr>
        <w:t xml:space="preserve"> en el caso de un examen de las conclusiones sobre las asignaciones pertinentes, la Oficina no deberá tener en cuenta la presencia o ausencia de acuerdos de otras administraciones al formular nuevas conclusiones.</w:t>
      </w:r>
    </w:p>
    <w:p w14:paraId="0D5B9676" w14:textId="3CE51988" w:rsidR="00353B4B" w:rsidRPr="00751400" w:rsidRDefault="00353B4B" w:rsidP="00171097">
      <w:pPr>
        <w:rPr>
          <w:lang w:val="es-ES_tradnl" w:eastAsia="zh-CN"/>
        </w:rPr>
      </w:pPr>
      <w:r w:rsidRPr="00751400">
        <w:rPr>
          <w:lang w:val="es-ES_tradnl" w:eastAsia="zh-CN"/>
        </w:rPr>
        <w:t>8</w:t>
      </w:r>
      <w:r w:rsidRPr="00751400">
        <w:rPr>
          <w:lang w:val="es-ES_tradnl" w:eastAsia="zh-CN"/>
        </w:rPr>
        <w:tab/>
      </w:r>
      <w:proofErr w:type="gramStart"/>
      <w:r w:rsidRPr="00751400">
        <w:rPr>
          <w:lang w:val="es-ES_tradnl" w:eastAsia="zh-CN"/>
        </w:rPr>
        <w:t>Tras</w:t>
      </w:r>
      <w:proofErr w:type="gramEnd"/>
      <w:r w:rsidRPr="00751400">
        <w:rPr>
          <w:lang w:val="es-ES_tradnl" w:eastAsia="zh-CN"/>
        </w:rPr>
        <w:t xml:space="preserve">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14:paraId="0DA7E85D" w14:textId="66376767" w:rsidR="00A60C28" w:rsidRDefault="00A60C28" w:rsidP="00353B4B">
      <w:pPr>
        <w:jc w:val="center"/>
        <w:rPr>
          <w:lang w:val="es-ES_tradnl"/>
        </w:rPr>
      </w:pPr>
      <w:r w:rsidRPr="003667EC">
        <w:rPr>
          <w:lang w:val="es-ES_tradnl"/>
        </w:rPr>
        <w:t>_________________</w:t>
      </w:r>
    </w:p>
    <w:p w14:paraId="7686D320" w14:textId="5C216F22" w:rsidR="00171097" w:rsidRDefault="00171097" w:rsidP="00171097">
      <w:pPr>
        <w:rPr>
          <w:lang w:val="es-ES_tradnl"/>
        </w:rPr>
      </w:pPr>
    </w:p>
    <w:p w14:paraId="09B158AD" w14:textId="3196525A" w:rsidR="00171097" w:rsidRDefault="00171097" w:rsidP="00171097">
      <w:pPr>
        <w:rPr>
          <w:lang w:val="es-ES_tradnl"/>
        </w:rPr>
      </w:pPr>
    </w:p>
    <w:p w14:paraId="6EE21E82" w14:textId="0DE450C0" w:rsidR="00171097" w:rsidRDefault="00171097" w:rsidP="00171097">
      <w:pPr>
        <w:rPr>
          <w:lang w:val="es-ES_tradnl"/>
        </w:rPr>
      </w:pPr>
    </w:p>
    <w:p w14:paraId="0AFA9059" w14:textId="5466FCFF" w:rsidR="00171097" w:rsidRDefault="00171097" w:rsidP="00171097">
      <w:pPr>
        <w:rPr>
          <w:lang w:val="es-ES_tradnl"/>
        </w:rPr>
      </w:pPr>
    </w:p>
    <w:p w14:paraId="0E04991B" w14:textId="52A780DC" w:rsidR="00171097" w:rsidRDefault="00171097" w:rsidP="00171097">
      <w:pPr>
        <w:rPr>
          <w:lang w:val="es-ES_tradnl"/>
        </w:rPr>
      </w:pPr>
    </w:p>
    <w:p w14:paraId="7F0748C4" w14:textId="052B53D2" w:rsidR="00171097" w:rsidRDefault="00171097" w:rsidP="00171097">
      <w:pPr>
        <w:rPr>
          <w:lang w:val="es-ES_tradnl"/>
        </w:rPr>
      </w:pPr>
    </w:p>
    <w:p w14:paraId="4F127B6A" w14:textId="77777777" w:rsidR="00397807" w:rsidRDefault="00397807" w:rsidP="00171097">
      <w:pPr>
        <w:rPr>
          <w:lang w:val="es-ES_tradnl"/>
        </w:rPr>
      </w:pPr>
    </w:p>
    <w:p w14:paraId="130A80A2" w14:textId="3CF0686A" w:rsidR="00171097" w:rsidRDefault="00171097" w:rsidP="00171097">
      <w:pPr>
        <w:rPr>
          <w:lang w:val="es-ES_tradnl"/>
        </w:rPr>
      </w:pPr>
    </w:p>
    <w:p w14:paraId="6DE278CE" w14:textId="38721A1D" w:rsidR="00171097" w:rsidRDefault="00171097" w:rsidP="00171097">
      <w:pPr>
        <w:rPr>
          <w:lang w:val="es-ES_tradnl"/>
        </w:rPr>
      </w:pPr>
    </w:p>
    <w:p w14:paraId="0C609BB0" w14:textId="11071A08" w:rsidR="00171097" w:rsidRDefault="00171097" w:rsidP="00171097">
      <w:pPr>
        <w:rPr>
          <w:lang w:val="es-ES_tradnl"/>
        </w:rPr>
      </w:pPr>
    </w:p>
    <w:p w14:paraId="68E7D28C" w14:textId="77777777" w:rsidR="00171097" w:rsidRPr="003667EC" w:rsidRDefault="00171097" w:rsidP="00171097">
      <w:pPr>
        <w:rPr>
          <w:lang w:val="es-ES_tradnl"/>
        </w:rPr>
      </w:pPr>
    </w:p>
    <w:p w14:paraId="7D89F3CD" w14:textId="77777777" w:rsidR="003667EC" w:rsidRPr="003667EC" w:rsidRDefault="003667EC">
      <w:pPr>
        <w:rPr>
          <w:color w:val="000000"/>
          <w:lang w:val="es-ES_tradnl"/>
        </w:rPr>
      </w:pPr>
    </w:p>
    <w:p w14:paraId="305AEC45" w14:textId="77777777" w:rsidR="00A60C28" w:rsidRPr="003667EC" w:rsidRDefault="00A60C28">
      <w:pPr>
        <w:rPr>
          <w:color w:val="000000"/>
          <w:lang w:val="es-ES_tradnl"/>
        </w:rPr>
        <w:sectPr w:rsidR="00A60C28" w:rsidRPr="003667EC" w:rsidSect="00243C1F">
          <w:headerReference w:type="even" r:id="rId22"/>
          <w:headerReference w:type="default" r:id="rId23"/>
          <w:footnotePr>
            <w:pos w:val="beneathText"/>
            <w:numFmt w:val="chicago"/>
          </w:footnotePr>
          <w:pgSz w:w="11907" w:h="16840" w:code="9"/>
          <w:pgMar w:top="1701" w:right="851" w:bottom="1134" w:left="1985" w:header="720" w:footer="482" w:gutter="0"/>
          <w:cols w:space="720"/>
          <w:vAlign w:val="both"/>
        </w:sectPr>
      </w:pPr>
    </w:p>
    <w:p w14:paraId="2B26E304" w14:textId="77777777" w:rsidR="00A60C28" w:rsidRPr="003667EC" w:rsidRDefault="00A60C28">
      <w:pPr>
        <w:rPr>
          <w:lang w:val="es-ES_tradnl"/>
        </w:rPr>
      </w:pPr>
    </w:p>
    <w:sectPr w:rsidR="00A60C28" w:rsidRPr="003667EC" w:rsidSect="009C54F8">
      <w:headerReference w:type="even" r:id="rId24"/>
      <w:headerReference w:type="default" r:id="rId25"/>
      <w:headerReference w:type="first" r:id="rId2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2822" w14:textId="77777777" w:rsidR="007303BC" w:rsidRDefault="007303BC">
      <w:r>
        <w:separator/>
      </w:r>
    </w:p>
  </w:endnote>
  <w:endnote w:type="continuationSeparator" w:id="0">
    <w:p w14:paraId="4F280AA9" w14:textId="77777777" w:rsidR="007303BC" w:rsidRDefault="0073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FE307" w14:textId="77777777" w:rsidR="007303BC" w:rsidRDefault="007303BC">
      <w:r>
        <w:rPr>
          <w:b/>
        </w:rPr>
        <w:t>_______________</w:t>
      </w:r>
    </w:p>
  </w:footnote>
  <w:footnote w:type="continuationSeparator" w:id="0">
    <w:p w14:paraId="06E3C15F" w14:textId="77777777" w:rsidR="007303BC" w:rsidRDefault="007303BC">
      <w:r>
        <w:continuationSeparator/>
      </w:r>
    </w:p>
  </w:footnote>
  <w:footnote w:id="1">
    <w:p w14:paraId="3E0905F4" w14:textId="77777777" w:rsidR="007303BC" w:rsidRDefault="007303BC"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14:paraId="7B3631E3" w14:textId="77777777" w:rsidR="007303BC" w:rsidRDefault="007303BC"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14:paraId="6924BFE8" w14:textId="77777777" w:rsidR="007303BC" w:rsidRDefault="007303BC">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14:paraId="41E31D98" w14:textId="77777777" w:rsidR="007303BC" w:rsidRDefault="007303BC"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14:paraId="35BB6336" w14:textId="67963C7D" w:rsidR="00676A4C" w:rsidRPr="00594CF0" w:rsidRDefault="007303BC" w:rsidP="00594CF0">
      <w:pPr>
        <w:pStyle w:val="FootnoteText"/>
        <w:spacing w:before="0"/>
        <w:rPr>
          <w:color w:val="000000"/>
          <w:lang w:val="es-ES"/>
        </w:rPr>
      </w:pPr>
      <w:r>
        <w:rPr>
          <w:rStyle w:val="FootnoteReference"/>
          <w:lang w:val="es-ES"/>
        </w:rPr>
        <w:t>5</w:t>
      </w:r>
      <w:r>
        <w:rPr>
          <w:lang w:val="es-ES"/>
        </w:rPr>
        <w:tab/>
      </w:r>
      <w:r>
        <w:rPr>
          <w:color w:val="000000"/>
          <w:lang w:val="es-ES"/>
        </w:rPr>
        <w:t xml:space="preserve">Respecto a la aplicación de esta disposición a las asignaciones del SRS, véanse los comentarios de las Reglas de Procedimiento relativas a </w:t>
      </w:r>
      <w:r w:rsidR="001926B4">
        <w:rPr>
          <w:color w:val="000000"/>
          <w:lang w:val="es-ES"/>
        </w:rPr>
        <w:t xml:space="preserve">los </w:t>
      </w:r>
      <w:r>
        <w:rPr>
          <w:color w:val="000000"/>
          <w:lang w:val="es-ES"/>
        </w:rPr>
        <w:t>número</w:t>
      </w:r>
      <w:r w:rsidR="001926B4">
        <w:rPr>
          <w:color w:val="000000"/>
          <w:lang w:val="es-ES"/>
        </w:rPr>
        <w:t>s</w:t>
      </w:r>
      <w:r>
        <w:rPr>
          <w:color w:val="000000"/>
          <w:lang w:val="es-ES"/>
        </w:rPr>
        <w:t> </w:t>
      </w:r>
      <w:r>
        <w:rPr>
          <w:rStyle w:val="Artref"/>
          <w:b/>
          <w:bCs/>
          <w:color w:val="000000"/>
          <w:lang w:val="es-ES"/>
        </w:rPr>
        <w:t>23.13</w:t>
      </w:r>
      <w:r w:rsidR="001926B4">
        <w:rPr>
          <w:rStyle w:val="Artref"/>
          <w:b/>
          <w:bCs/>
          <w:color w:val="000000"/>
          <w:lang w:val="es-ES"/>
        </w:rPr>
        <w:t xml:space="preserve">B </w:t>
      </w:r>
      <w:r w:rsidR="001926B4" w:rsidRPr="001926B4">
        <w:rPr>
          <w:rStyle w:val="Artref"/>
          <w:color w:val="000000"/>
          <w:lang w:val="es-ES"/>
        </w:rPr>
        <w:t>y</w:t>
      </w:r>
      <w:r w:rsidR="001926B4">
        <w:rPr>
          <w:rStyle w:val="Artref"/>
          <w:b/>
          <w:bCs/>
          <w:color w:val="000000"/>
          <w:lang w:val="es-ES"/>
        </w:rPr>
        <w:t xml:space="preserve"> 23.13C</w:t>
      </w:r>
      <w:r>
        <w:rPr>
          <w:color w:val="000000"/>
          <w:lang w:val="es-ES"/>
        </w:rPr>
        <w:t>.</w:t>
      </w:r>
      <w:r w:rsidR="00594CF0" w:rsidRPr="00594CF0">
        <w:rPr>
          <w:color w:val="000000"/>
          <w:sz w:val="16"/>
          <w:szCs w:val="16"/>
          <w:lang w:val="es-ES"/>
        </w:rPr>
        <w:t xml:space="preserve">      </w:t>
      </w:r>
      <w:r w:rsidR="00594CF0" w:rsidRPr="00AC3017">
        <w:rPr>
          <w:color w:val="000000"/>
          <w:sz w:val="16"/>
          <w:szCs w:val="16"/>
          <w:lang w:val="es-ES"/>
        </w:rPr>
        <w:t>(MOD RRB21/479)</w:t>
      </w:r>
    </w:p>
  </w:footnote>
  <w:footnote w:id="6">
    <w:p w14:paraId="4A8A7FAA" w14:textId="77777777" w:rsidR="007303BC" w:rsidRDefault="007303BC"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14:paraId="3E508642"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7</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21.11</w:t>
      </w:r>
      <w:r w:rsidRPr="002C5784">
        <w:rPr>
          <w:color w:val="000000"/>
          <w:sz w:val="16"/>
          <w:szCs w:val="16"/>
          <w:lang w:val="es-ES"/>
        </w:rPr>
        <w:t>.</w:t>
      </w:r>
    </w:p>
  </w:footnote>
  <w:footnote w:id="8">
    <w:p w14:paraId="323B623A"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8</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21.14</w:t>
      </w:r>
      <w:r w:rsidRPr="002C5784">
        <w:rPr>
          <w:color w:val="000000"/>
          <w:sz w:val="16"/>
          <w:szCs w:val="16"/>
          <w:lang w:val="es-ES"/>
        </w:rPr>
        <w:t>.</w:t>
      </w:r>
    </w:p>
  </w:footnote>
  <w:footnote w:id="9">
    <w:p w14:paraId="4894D2EB" w14:textId="2C77BD6D" w:rsidR="00151019" w:rsidRPr="002C5784" w:rsidRDefault="00151019" w:rsidP="00E30F08">
      <w:pPr>
        <w:spacing w:before="20"/>
        <w:rPr>
          <w:sz w:val="16"/>
          <w:szCs w:val="16"/>
          <w:lang w:val="es-ES"/>
        </w:rPr>
      </w:pPr>
      <w:r w:rsidRPr="00151019">
        <w:rPr>
          <w:rStyle w:val="FootnoteReference"/>
          <w:lang w:val="es-ES"/>
        </w:rPr>
        <w:t>9</w:t>
      </w:r>
      <w:r w:rsidRPr="00E30F08">
        <w:rPr>
          <w:lang w:val="es-ES_tradnl"/>
        </w:rPr>
        <w:t xml:space="preserve"> </w:t>
      </w:r>
      <w:r w:rsidRPr="002C5784">
        <w:rPr>
          <w:b/>
          <w:bCs/>
          <w:sz w:val="16"/>
          <w:szCs w:val="16"/>
          <w:lang w:val="es-ES"/>
        </w:rPr>
        <w:t>Nota</w:t>
      </w:r>
      <w:r w:rsidRPr="002C5784">
        <w:rPr>
          <w:sz w:val="16"/>
          <w:szCs w:val="16"/>
          <w:lang w:val="es-ES"/>
        </w:rPr>
        <w:t>: En su 8ª Sesión Plenaria, la CMR-19 tomó la siguiente decisión con respecto a la adecuación de las asignaciones de frecuencias de los sistemas de satélites no OSG del SFS a los límites de dfp del Artículo </w:t>
      </w:r>
      <w:r w:rsidRPr="002C5784">
        <w:rPr>
          <w:b/>
          <w:bCs/>
          <w:sz w:val="16"/>
          <w:szCs w:val="16"/>
          <w:lang w:val="es-ES"/>
        </w:rPr>
        <w:t>21</w:t>
      </w:r>
      <w:r w:rsidRPr="002C5784">
        <w:rPr>
          <w:sz w:val="16"/>
          <w:szCs w:val="16"/>
          <w:lang w:val="es-ES"/>
        </w:rPr>
        <w:t xml:space="preserve"> del RR aplicables en la banda de frecuencias 17,7-19,3 GHz; véanse los apartados 3.11 a 3.15 del Documento CMR19/569, aprobación del Documento CMR19/451:</w:t>
      </w:r>
    </w:p>
    <w:p w14:paraId="106C6AA6" w14:textId="77777777" w:rsidR="00151019" w:rsidRPr="001926B4" w:rsidRDefault="00151019" w:rsidP="00E30F08">
      <w:pPr>
        <w:pStyle w:val="FootnoteText"/>
        <w:rPr>
          <w:lang w:val="es-ES"/>
        </w:rPr>
      </w:pPr>
      <w:r w:rsidRPr="002C5784">
        <w:rPr>
          <w:sz w:val="16"/>
          <w:szCs w:val="16"/>
          <w:lang w:val="es-ES"/>
        </w:rPr>
        <w:t>«</w:t>
      </w:r>
      <w:r w:rsidRPr="00316036">
        <w:rPr>
          <w:i/>
          <w:iCs/>
          <w:sz w:val="16"/>
          <w:szCs w:val="16"/>
          <w:lang w:val="es-ES"/>
        </w:rPr>
        <w:t>La CMR-19 (...) encarga a la Oficina de Radiocomunicaciones que publique conclusiones favorables cualificadas en virtud de los números </w:t>
      </w:r>
      <w:r w:rsidRPr="00316036">
        <w:rPr>
          <w:b/>
          <w:bCs/>
          <w:i/>
          <w:iCs/>
          <w:sz w:val="16"/>
          <w:szCs w:val="16"/>
          <w:lang w:val="es-ES"/>
        </w:rPr>
        <w:t>9.35/11.31</w:t>
      </w:r>
      <w:r w:rsidRPr="00316036">
        <w:rPr>
          <w:i/>
          <w:iCs/>
          <w:sz w:val="16"/>
          <w:szCs w:val="16"/>
          <w:lang w:val="es-ES"/>
        </w:rPr>
        <w:t xml:space="preserve"> del RR al examinar el cumplimiento de las asignaciones de frecuencias a los sistemas de satélites no OSG del SFS con los límites de dfp del Artículo </w:t>
      </w:r>
      <w:r w:rsidRPr="00316036">
        <w:rPr>
          <w:b/>
          <w:bCs/>
          <w:i/>
          <w:iCs/>
          <w:sz w:val="16"/>
          <w:szCs w:val="16"/>
          <w:lang w:val="es-ES"/>
        </w:rPr>
        <w:t>21</w:t>
      </w:r>
      <w:r w:rsidRPr="00316036">
        <w:rPr>
          <w:i/>
          <w:iCs/>
          <w:sz w:val="16"/>
          <w:szCs w:val="16"/>
          <w:lang w:val="es-ES"/>
        </w:rPr>
        <w:t xml:space="preserve"> del RR que se apliquen en la banda de frecuencias 17,7-19,3 GHz, si la administración notificante así lo solicita. Esta práctica se aplicará a los sistemas de satélites no OSG del SFS para los que se hayan recibido solicitudes de coordinación desde el 23 de noviembre de 2019 hasta el último día de la CMR</w:t>
      </w:r>
      <w:r w:rsidRPr="00316036">
        <w:rPr>
          <w:i/>
          <w:iCs/>
          <w:sz w:val="16"/>
          <w:szCs w:val="16"/>
          <w:lang w:val="es-ES"/>
        </w:rPr>
        <w:noBreakHyphen/>
        <w:t>23</w:t>
      </w:r>
      <w:r w:rsidRPr="002C5784">
        <w:rPr>
          <w:sz w:val="16"/>
          <w:szCs w:val="16"/>
          <w:lang w:val="es-ES"/>
        </w:rPr>
        <w:t>».</w:t>
      </w:r>
    </w:p>
  </w:footnote>
  <w:footnote w:id="10">
    <w:p w14:paraId="0D0E02A4" w14:textId="49832036" w:rsidR="003421C9" w:rsidRDefault="003421C9" w:rsidP="007E3FFE">
      <w:pPr>
        <w:pStyle w:val="FootnoteText"/>
        <w:rPr>
          <w:lang w:val="es-ES"/>
        </w:rPr>
      </w:pPr>
      <w:r w:rsidRPr="003421C9">
        <w:rPr>
          <w:rStyle w:val="FootnoteReference"/>
          <w:lang w:val="es-ES"/>
        </w:rPr>
        <w:t>10</w:t>
      </w:r>
      <w:r w:rsidRPr="003421C9">
        <w:rPr>
          <w:lang w:val="es-ES"/>
        </w:rPr>
        <w:t xml:space="preserve"> </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1">
    <w:p w14:paraId="07CF8EF8" w14:textId="77777777" w:rsidR="007303BC" w:rsidRPr="00C124BB" w:rsidRDefault="007303BC">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2">
    <w:p w14:paraId="40AC84BA" w14:textId="77777777" w:rsidR="007303BC" w:rsidRPr="00782C00" w:rsidRDefault="007303BC"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3">
    <w:p w14:paraId="0B7919F2" w14:textId="478AC73F" w:rsidR="003421C9" w:rsidRPr="005E5EFE" w:rsidRDefault="003421C9" w:rsidP="005E5EFE">
      <w:pPr>
        <w:pStyle w:val="FootnoteText"/>
        <w:rPr>
          <w:lang w:val="es-ES_tradnl"/>
        </w:rPr>
      </w:pPr>
      <w:r w:rsidRPr="003421C9">
        <w:rPr>
          <w:rStyle w:val="FootnoteReference"/>
          <w:lang w:val="es-ES"/>
        </w:rPr>
        <w:t>11</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ó 4.2.6 ó 4.2.6</w:t>
      </w:r>
      <w:r w:rsidRPr="005E5EFE">
        <w:rPr>
          <w:i/>
          <w:iCs/>
          <w:lang w:val="es-ES_tradnl"/>
        </w:rPr>
        <w:t>bis</w:t>
      </w:r>
      <w:r w:rsidRPr="005E5EFE">
        <w:rPr>
          <w:lang w:val="es-ES_tradnl"/>
        </w:rPr>
        <w:t xml:space="preserve"> del Artículo 4 de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6.1 ó 6.31</w:t>
      </w:r>
      <w:r w:rsidRPr="005E5EFE">
        <w:rPr>
          <w:i/>
          <w:iCs/>
          <w:lang w:val="es-ES_tradnl"/>
        </w:rPr>
        <w:t>bis</w:t>
      </w:r>
      <w:r w:rsidRPr="005E5EFE">
        <w:rPr>
          <w:lang w:val="es-ES_tradnl"/>
        </w:rPr>
        <w:t xml:space="preserve">, y 6.33 del Artículo 6 del Apéndice </w:t>
      </w:r>
      <w:r w:rsidRPr="005E5EFE">
        <w:rPr>
          <w:b/>
          <w:bCs/>
          <w:lang w:val="es-ES_tradnl"/>
        </w:rPr>
        <w:t>30B</w:t>
      </w:r>
      <w:r w:rsidRPr="005E5EFE">
        <w:rPr>
          <w:lang w:val="es-ES_tradnl"/>
        </w:rPr>
        <w:t>.</w:t>
      </w:r>
    </w:p>
  </w:footnote>
  <w:footnote w:id="14">
    <w:p w14:paraId="50B87F2D" w14:textId="7914C133" w:rsidR="003421C9" w:rsidRPr="005E5EFE" w:rsidRDefault="003421C9" w:rsidP="005E5EFE">
      <w:pPr>
        <w:pStyle w:val="FootnoteText"/>
        <w:rPr>
          <w:lang w:val="es-ES_tradnl"/>
        </w:rPr>
      </w:pPr>
      <w:r w:rsidRPr="003421C9">
        <w:rPr>
          <w:rStyle w:val="FootnoteReference"/>
          <w:lang w:val="es-ES"/>
        </w:rPr>
        <w:t>12</w:t>
      </w:r>
      <w:r w:rsidRPr="005E5EFE">
        <w:rPr>
          <w:lang w:val="es-ES_tradnl"/>
        </w:rPr>
        <w:t xml:space="preserve"> </w:t>
      </w:r>
      <w:r w:rsidRPr="005E5EFE">
        <w:rPr>
          <w:lang w:val="es-ES_tradnl"/>
        </w:rPr>
        <w:tab/>
        <w:t xml:space="preserve">Igualmente, aplicable al § 5.3.1 del Artículo 5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8.16 del Artículo 8 del Apéndice </w:t>
      </w:r>
      <w:r w:rsidRPr="005E5EFE">
        <w:rPr>
          <w:b/>
          <w:bCs/>
          <w:lang w:val="es-ES_tradnl"/>
        </w:rPr>
        <w:t>30B</w:t>
      </w:r>
      <w:r w:rsidRPr="005E5EFE">
        <w:rPr>
          <w:lang w:val="es-ES_tradnl"/>
        </w:rPr>
        <w:t>.</w:t>
      </w:r>
    </w:p>
  </w:footnote>
  <w:footnote w:id="15">
    <w:p w14:paraId="2F6CBD35" w14:textId="021BEF48" w:rsidR="003421C9" w:rsidRPr="005E5EFE" w:rsidRDefault="003421C9" w:rsidP="005E5EFE">
      <w:pPr>
        <w:pStyle w:val="FootnoteText"/>
        <w:rPr>
          <w:lang w:val="es-ES_tradnl"/>
        </w:rPr>
      </w:pPr>
      <w:r w:rsidRPr="003421C9">
        <w:rPr>
          <w:rStyle w:val="FootnoteReference"/>
          <w:lang w:val="es-ES"/>
        </w:rPr>
        <w:t>13</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o 4.2.6 ó 4.2.6</w:t>
      </w:r>
      <w:r w:rsidRPr="005E5EFE">
        <w:rPr>
          <w:i/>
          <w:iCs/>
          <w:lang w:val="es-ES_tradnl"/>
        </w:rPr>
        <w:t>bis</w:t>
      </w:r>
      <w:r w:rsidRPr="005E5EFE">
        <w:rPr>
          <w:lang w:val="es-ES_tradnl"/>
        </w:rPr>
        <w:t xml:space="preserve"> del Artículo 4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6.33 del Artículo 6 del Apéndice </w:t>
      </w:r>
      <w:r w:rsidRPr="005E5EFE">
        <w:rPr>
          <w:b/>
          <w:bCs/>
          <w:lang w:val="es-ES_tradnl"/>
        </w:rPr>
        <w:t>30B</w:t>
      </w:r>
      <w:r w:rsidRPr="005E5EFE">
        <w:rPr>
          <w:lang w:val="es-ES_tradnl"/>
        </w:rPr>
        <w:t>.</w:t>
      </w:r>
    </w:p>
  </w:footnote>
  <w:footnote w:id="16">
    <w:p w14:paraId="1E483746" w14:textId="37FBEA7D" w:rsidR="003421C9" w:rsidRPr="00653B0A" w:rsidRDefault="003421C9" w:rsidP="00653B0A">
      <w:pPr>
        <w:pStyle w:val="FootnoteText"/>
        <w:rPr>
          <w:lang w:val="es-ES_tradnl"/>
        </w:rPr>
      </w:pPr>
      <w:r w:rsidRPr="003421C9">
        <w:rPr>
          <w:rStyle w:val="FootnoteReference"/>
          <w:lang w:val="es-ES"/>
        </w:rPr>
        <w:t>14</w:t>
      </w:r>
      <w:r w:rsidRPr="00653B0A">
        <w:rPr>
          <w:lang w:val="es-ES_tradnl"/>
        </w:rPr>
        <w:t xml:space="preserve"> </w:t>
      </w:r>
      <w:r w:rsidRPr="00653B0A">
        <w:rPr>
          <w:lang w:val="es-ES_tradnl"/>
        </w:rPr>
        <w:tab/>
      </w:r>
      <w:proofErr w:type="gramStart"/>
      <w:r w:rsidRPr="00653B0A">
        <w:rPr>
          <w:lang w:val="es-ES_tradnl"/>
        </w:rPr>
        <w:t>Igualmente</w:t>
      </w:r>
      <w:proofErr w:type="gramEnd"/>
      <w:r w:rsidRPr="00653B0A">
        <w:rPr>
          <w:lang w:val="es-ES_tradnl"/>
        </w:rPr>
        <w:t xml:space="preserv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A4F1EF9"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51B2C88F"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2C4E599" w14:textId="6EDA915C"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43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A8FBA4"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AB358" w14:textId="77777777" w:rsidR="007303BC" w:rsidRDefault="007303BC" w:rsidP="00E41FDD">
          <w:pPr>
            <w:pStyle w:val="HeaderRegProc"/>
            <w:rPr>
              <w:color w:val="000000"/>
              <w:lang w:val="fr-CH"/>
            </w:rPr>
          </w:pPr>
          <w:proofErr w:type="gramStart"/>
          <w:r>
            <w:rPr>
              <w:color w:val="000000"/>
              <w:lang w:val="fr-CH"/>
            </w:rPr>
            <w:t>rev</w:t>
          </w:r>
          <w:proofErr w:type="gramEnd"/>
          <w:r>
            <w:rPr>
              <w:color w:val="000000"/>
              <w:lang w:val="fr-CH"/>
            </w:rPr>
            <w:t>. -</w:t>
          </w:r>
        </w:p>
      </w:tc>
    </w:tr>
  </w:tbl>
  <w:p w14:paraId="3863EE6E" w14:textId="77777777" w:rsidR="007303BC" w:rsidRDefault="007303B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1E2BCBB"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DEFBEA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0172B16B" w14:textId="10FB014A"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80CFCB0" w14:textId="77777777" w:rsidR="00F17FBF" w:rsidRDefault="00F17FBF" w:rsidP="00007AA8">
          <w:pPr>
            <w:pStyle w:val="HeaderRegProc"/>
            <w:rPr>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46A2DD" w14:textId="663E5CE3" w:rsidR="00F17FBF" w:rsidRDefault="00F17FBF" w:rsidP="00007AA8">
          <w:pPr>
            <w:pStyle w:val="HeaderRegProc"/>
            <w:rPr>
              <w:lang w:val="fr-CH"/>
            </w:rPr>
          </w:pPr>
          <w:proofErr w:type="gramStart"/>
          <w:r>
            <w:rPr>
              <w:lang w:val="fr-CH"/>
            </w:rPr>
            <w:t>rev</w:t>
          </w:r>
          <w:proofErr w:type="gramEnd"/>
          <w:r>
            <w:rPr>
              <w:lang w:val="fr-CH"/>
            </w:rPr>
            <w:t>. 2</w:t>
          </w:r>
        </w:p>
      </w:tc>
    </w:tr>
  </w:tbl>
  <w:p w14:paraId="026F3C39" w14:textId="77777777" w:rsidR="00F17FBF" w:rsidRDefault="00F17FB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60A538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321D0EC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1FCD6C99" w14:textId="794D9406"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243B8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6CBDDCF" w14:textId="77777777" w:rsidR="00F17FBF" w:rsidRDefault="00F17FBF"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0918D3" w14:textId="0DB40203" w:rsidR="00F17FBF" w:rsidRDefault="00F17FBF" w:rsidP="00007AA8">
          <w:pPr>
            <w:pStyle w:val="HeaderRegProc"/>
            <w:rPr>
              <w:lang w:val="fr-CH"/>
            </w:rPr>
          </w:pPr>
          <w:proofErr w:type="gramStart"/>
          <w:r>
            <w:rPr>
              <w:lang w:val="fr-CH"/>
            </w:rPr>
            <w:t>rev</w:t>
          </w:r>
          <w:proofErr w:type="gramEnd"/>
          <w:r>
            <w:rPr>
              <w:lang w:val="fr-CH"/>
            </w:rPr>
            <w:t xml:space="preserve">. </w:t>
          </w:r>
          <w:r>
            <w:t>2</w:t>
          </w:r>
        </w:p>
      </w:tc>
    </w:tr>
  </w:tbl>
  <w:p w14:paraId="653466FE" w14:textId="77777777" w:rsidR="00F17FBF" w:rsidRDefault="00F17FB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65021FB3"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4DC851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AEB3D9D" w14:textId="6C854549"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43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A7A3F4" w14:textId="7EF495B2" w:rsidR="007303BC" w:rsidRPr="0062524A" w:rsidRDefault="007303BC" w:rsidP="00E41FDD">
          <w:pPr>
            <w:pStyle w:val="HeaderRegProc"/>
            <w:rPr>
              <w:i/>
              <w:iCs/>
              <w:color w:val="000000"/>
              <w:lang w:val="fr-CH"/>
            </w:rPr>
          </w:pPr>
          <w:proofErr w:type="gramStart"/>
          <w:r>
            <w:rPr>
              <w:lang w:val="fr-CH"/>
            </w:rPr>
            <w:t>p</w:t>
          </w:r>
          <w:r w:rsidR="009E52D0">
            <w:rPr>
              <w:lang w:val="fr-CH"/>
            </w:rPr>
            <w:t>á</w:t>
          </w:r>
          <w:r>
            <w:rPr>
              <w:lang w:val="fr-CH"/>
            </w:rPr>
            <w:t>g</w:t>
          </w:r>
          <w:r w:rsidR="009E52D0">
            <w:rPr>
              <w:lang w:val="fr-CH"/>
            </w:rPr>
            <w:t>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497B0A" w14:textId="5490ED50" w:rsidR="007303BC" w:rsidRDefault="007303BC" w:rsidP="00997054">
          <w:pPr>
            <w:pStyle w:val="HeaderRegProc"/>
            <w:rPr>
              <w:color w:val="000000"/>
              <w:lang w:val="fr-CH"/>
            </w:rPr>
          </w:pPr>
          <w:proofErr w:type="gramStart"/>
          <w:r>
            <w:rPr>
              <w:color w:val="000000"/>
              <w:lang w:val="fr-CH"/>
            </w:rPr>
            <w:t>rev</w:t>
          </w:r>
          <w:proofErr w:type="gramEnd"/>
          <w:r>
            <w:rPr>
              <w:color w:val="000000"/>
              <w:lang w:val="fr-CH"/>
            </w:rPr>
            <w:t xml:space="preserve">. </w:t>
          </w:r>
          <w:r w:rsidR="00243B84">
            <w:rPr>
              <w:color w:val="000000"/>
              <w:lang w:val="fr-CH"/>
            </w:rPr>
            <w:t>-</w:t>
          </w:r>
        </w:p>
      </w:tc>
    </w:tr>
  </w:tbl>
  <w:p w14:paraId="1D86F39D" w14:textId="77777777" w:rsidR="007303BC" w:rsidRDefault="007303BC" w:rsidP="00157BE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1DD5306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A4076B5" w14:textId="51FA4EF3" w:rsidR="007303BC" w:rsidRDefault="007303BC" w:rsidP="00007AA8">
          <w:pPr>
            <w:pStyle w:val="HeaderRegProc"/>
            <w:rPr>
              <w:lang w:val="fr-CH"/>
            </w:rPr>
          </w:pPr>
          <w:r>
            <w:rPr>
              <w:lang w:val="fr-CH"/>
            </w:rPr>
            <w:t>Part</w:t>
          </w:r>
          <w:r w:rsidR="001929B4">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16170514" w14:textId="0FB0BA57"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243B8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C2A858B" w14:textId="4ADF626D" w:rsidR="007303BC" w:rsidRDefault="007303BC" w:rsidP="00007AA8">
          <w:pPr>
            <w:pStyle w:val="HeaderRegProc"/>
            <w:rPr>
              <w:lang w:val="fr-CH"/>
            </w:rPr>
          </w:pPr>
          <w:proofErr w:type="gramStart"/>
          <w:r>
            <w:rPr>
              <w:lang w:val="fr-CH"/>
            </w:rPr>
            <w:t>p</w:t>
          </w:r>
          <w:r w:rsidR="009E52D0">
            <w:rPr>
              <w:lang w:val="fr-CH"/>
            </w:rPr>
            <w:t>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51DE97" w14:textId="541516B3" w:rsidR="007303BC" w:rsidRDefault="007303BC" w:rsidP="00007AA8">
          <w:pPr>
            <w:pStyle w:val="HeaderRegProc"/>
            <w:rPr>
              <w:lang w:val="fr-CH"/>
            </w:rPr>
          </w:pPr>
          <w:proofErr w:type="gramStart"/>
          <w:r>
            <w:rPr>
              <w:lang w:val="fr-CH"/>
            </w:rPr>
            <w:t>rev</w:t>
          </w:r>
          <w:proofErr w:type="gramEnd"/>
          <w:r>
            <w:rPr>
              <w:lang w:val="fr-CH"/>
            </w:rPr>
            <w:t xml:space="preserve">. </w:t>
          </w:r>
          <w:r w:rsidR="00243B84">
            <w:t>-</w:t>
          </w:r>
        </w:p>
      </w:tc>
    </w:tr>
  </w:tbl>
  <w:p w14:paraId="16AFC32E" w14:textId="77777777" w:rsidR="007303BC" w:rsidRDefault="007303B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4133909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0D26840A" w14:textId="77777777" w:rsidR="00243B84" w:rsidRDefault="00243B84"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9A43379" w14:textId="517F827E" w:rsidR="00243B84" w:rsidRDefault="00243B84"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577981" w14:textId="77777777" w:rsidR="00243B84" w:rsidRPr="0062524A" w:rsidRDefault="00243B84" w:rsidP="00E41FDD">
          <w:pPr>
            <w:pStyle w:val="HeaderRegProc"/>
            <w:rPr>
              <w:i/>
              <w:iCs/>
              <w:color w:val="000000"/>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DD2DD1" w14:textId="469841DA" w:rsidR="00243B84" w:rsidRDefault="00243B84" w:rsidP="00997054">
          <w:pPr>
            <w:pStyle w:val="HeaderRegProc"/>
            <w:rPr>
              <w:color w:val="000000"/>
              <w:lang w:val="fr-CH"/>
            </w:rPr>
          </w:pPr>
          <w:proofErr w:type="gramStart"/>
          <w:r>
            <w:rPr>
              <w:color w:val="000000"/>
              <w:lang w:val="fr-CH"/>
            </w:rPr>
            <w:t>rev</w:t>
          </w:r>
          <w:proofErr w:type="gramEnd"/>
          <w:r>
            <w:rPr>
              <w:color w:val="000000"/>
              <w:lang w:val="fr-CH"/>
            </w:rPr>
            <w:t>. 3</w:t>
          </w:r>
        </w:p>
      </w:tc>
    </w:tr>
  </w:tbl>
  <w:p w14:paraId="723F5083" w14:textId="77777777" w:rsidR="00243B84" w:rsidRDefault="00243B84" w:rsidP="00157BE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23478C1C"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07D65F10" w14:textId="77777777" w:rsidR="00243B84" w:rsidRDefault="00243B84"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46098BA7" w14:textId="06407107" w:rsidR="00243B84" w:rsidRDefault="00243B84"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773F7143" w14:textId="77777777" w:rsidR="00243B84" w:rsidRDefault="00243B84"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E9113F" w14:textId="229E9E65" w:rsidR="00243B84" w:rsidRDefault="00243B84" w:rsidP="00007AA8">
          <w:pPr>
            <w:pStyle w:val="HeaderRegProc"/>
            <w:rPr>
              <w:lang w:val="fr-CH"/>
            </w:rPr>
          </w:pPr>
          <w:proofErr w:type="gramStart"/>
          <w:r>
            <w:rPr>
              <w:lang w:val="fr-CH"/>
            </w:rPr>
            <w:t>rev</w:t>
          </w:r>
          <w:proofErr w:type="gramEnd"/>
          <w:r>
            <w:rPr>
              <w:lang w:val="fr-CH"/>
            </w:rPr>
            <w:t xml:space="preserve">. </w:t>
          </w:r>
          <w:r>
            <w:t>3</w:t>
          </w:r>
        </w:p>
      </w:tc>
    </w:tr>
  </w:tbl>
  <w:p w14:paraId="0AD6C912" w14:textId="77777777" w:rsidR="00243B84" w:rsidRDefault="00243B8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6004F34C"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1EE4F44" w14:textId="77777777" w:rsidR="00243B84" w:rsidRDefault="00243B84"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E63B047" w14:textId="1E5A51C6" w:rsidR="00243B84" w:rsidRDefault="00243B84"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6E8610" w14:textId="77777777" w:rsidR="00243B84" w:rsidRPr="0062524A" w:rsidRDefault="00243B84" w:rsidP="00E41FDD">
          <w:pPr>
            <w:pStyle w:val="HeaderRegProc"/>
            <w:rPr>
              <w:i/>
              <w:iCs/>
              <w:color w:val="000000"/>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9C771" w14:textId="77777777" w:rsidR="00243B84" w:rsidRDefault="00243B84" w:rsidP="00997054">
          <w:pPr>
            <w:pStyle w:val="HeaderRegProc"/>
            <w:rPr>
              <w:color w:val="000000"/>
              <w:lang w:val="fr-CH"/>
            </w:rPr>
          </w:pPr>
          <w:proofErr w:type="gramStart"/>
          <w:r>
            <w:rPr>
              <w:color w:val="000000"/>
              <w:lang w:val="fr-CH"/>
            </w:rPr>
            <w:t>rev</w:t>
          </w:r>
          <w:proofErr w:type="gramEnd"/>
          <w:r>
            <w:rPr>
              <w:color w:val="000000"/>
              <w:lang w:val="fr-CH"/>
            </w:rPr>
            <w:t>. -</w:t>
          </w:r>
        </w:p>
      </w:tc>
    </w:tr>
  </w:tbl>
  <w:p w14:paraId="38F68742" w14:textId="77777777" w:rsidR="00243B84" w:rsidRDefault="00243B84" w:rsidP="00157BE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741AF855"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4BE130C" w14:textId="77777777" w:rsidR="00243B84" w:rsidRDefault="00243B84"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3AEDB9DB" w14:textId="3859A089" w:rsidR="00243B84" w:rsidRDefault="00243B84"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CFFE232" w14:textId="77777777" w:rsidR="00243B84" w:rsidRDefault="00243B84"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9577A0" w14:textId="77777777" w:rsidR="00243B84" w:rsidRDefault="00243B84" w:rsidP="00007AA8">
          <w:pPr>
            <w:pStyle w:val="HeaderRegProc"/>
            <w:rPr>
              <w:lang w:val="fr-CH"/>
            </w:rPr>
          </w:pPr>
          <w:proofErr w:type="gramStart"/>
          <w:r>
            <w:rPr>
              <w:lang w:val="fr-CH"/>
            </w:rPr>
            <w:t>rev</w:t>
          </w:r>
          <w:proofErr w:type="gramEnd"/>
          <w:r>
            <w:rPr>
              <w:lang w:val="fr-CH"/>
            </w:rPr>
            <w:t xml:space="preserve">. </w:t>
          </w:r>
          <w:r>
            <w:t>-</w:t>
          </w:r>
        </w:p>
      </w:tc>
    </w:tr>
  </w:tbl>
  <w:p w14:paraId="49B5D275" w14:textId="77777777" w:rsidR="00243B84" w:rsidRDefault="00243B8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3E5C8C65"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DF5A1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0EA038F3" w:rsidR="007303BC" w:rsidRDefault="00DF5A15">
          <w:pPr>
            <w:pStyle w:val="HeaderRegProc"/>
            <w:rPr>
              <w:lang w:val="fr-FR"/>
            </w:rPr>
          </w:pPr>
          <w:fldSimple w:instr=" DOCPROPERTY &quot;Header&quot; \* MERGEFORMAT ">
            <w:r>
              <w:t>AR</w:t>
            </w:r>
          </w:fldSimple>
          <w:r w:rsidR="007303BC">
            <w:fldChar w:fldCharType="begin"/>
          </w:r>
          <w:r w:rsidR="007303BC">
            <w:instrText>styleref href2</w:instrText>
          </w:r>
          <w:r w:rsidR="007303BC">
            <w:fldChar w:fldCharType="separate"/>
          </w:r>
          <w:r>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7303BC" w:rsidRDefault="007303BC">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56479E32" w:rsidR="007303BC" w:rsidRDefault="007303BC">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DF5A15">
            <w:rPr>
              <w:lang w:val="fr-CH"/>
            </w:rPr>
            <w:t>-</w:t>
          </w:r>
          <w:r>
            <w:fldChar w:fldCharType="end"/>
          </w:r>
        </w:p>
      </w:tc>
    </w:tr>
  </w:tbl>
  <w:p w14:paraId="7D4F04DA" w14:textId="77777777" w:rsidR="007303BC" w:rsidRDefault="007303BC">
    <w:pPr>
      <w:rPr>
        <w:lang w:val="fr-CH"/>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10CE1941"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DF5A1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5C5C300F" w:rsidR="007303BC" w:rsidRDefault="00DF5A15">
          <w:pPr>
            <w:pStyle w:val="HeaderRegProc"/>
            <w:rPr>
              <w:lang w:val="fr-FR"/>
            </w:rPr>
          </w:pPr>
          <w:fldSimple w:instr=" DOCPROPERTY &quot;Header&quot; \* MERGEFORMAT ">
            <w:r>
              <w:t>AR</w:t>
            </w:r>
          </w:fldSimple>
          <w:r w:rsidR="007303BC">
            <w:fldChar w:fldCharType="begin"/>
          </w:r>
          <w:r w:rsidR="007303BC">
            <w:instrText>styleref href2</w:instrText>
          </w:r>
          <w:r w:rsidR="007303BC">
            <w:fldChar w:fldCharType="separate"/>
          </w:r>
          <w:r>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7303BC" w:rsidRDefault="007303BC">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1160AA74" w:rsidR="007303BC" w:rsidRDefault="007303BC">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DF5A15">
            <w:rPr>
              <w:lang w:val="fr-CH"/>
            </w:rPr>
            <w:t>-</w:t>
          </w:r>
          <w:r>
            <w:fldChar w:fldCharType="end"/>
          </w:r>
        </w:p>
      </w:tc>
    </w:tr>
  </w:tbl>
  <w:p w14:paraId="7F93C646" w14:textId="77777777" w:rsidR="007303BC" w:rsidRDefault="0073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41D3F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CCE7DF7"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8C35182" w14:textId="36C8E32B"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43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ACDE8"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5A036B" w14:textId="77777777" w:rsidR="007303BC" w:rsidRDefault="007303BC" w:rsidP="00D70EFE">
          <w:pPr>
            <w:pStyle w:val="HeaderRegProc"/>
            <w:rPr>
              <w:color w:val="000000"/>
              <w:lang w:val="fr-CH"/>
            </w:rPr>
          </w:pPr>
          <w:proofErr w:type="gramStart"/>
          <w:r>
            <w:rPr>
              <w:color w:val="000000"/>
              <w:lang w:val="fr-CH"/>
            </w:rPr>
            <w:t>rev</w:t>
          </w:r>
          <w:proofErr w:type="gramEnd"/>
          <w:r>
            <w:rPr>
              <w:color w:val="000000"/>
              <w:lang w:val="fr-CH"/>
            </w:rPr>
            <w:t>. -</w:t>
          </w:r>
        </w:p>
      </w:tc>
    </w:tr>
  </w:tbl>
  <w:p w14:paraId="2F6CCDF8" w14:textId="77777777" w:rsidR="007303BC" w:rsidRDefault="007303BC">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837E" w14:textId="77777777" w:rsidR="007303BC" w:rsidRDefault="007303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2D2CBF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5165F5"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9C16450" w14:textId="3D10377A"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43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3211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EDD0B" w14:textId="48CF6CF0" w:rsidR="007303BC" w:rsidRDefault="007303BC" w:rsidP="00E41FDD">
          <w:pPr>
            <w:pStyle w:val="HeaderRegProc"/>
            <w:rPr>
              <w:color w:val="000000"/>
              <w:lang w:val="fr-CH"/>
            </w:rPr>
          </w:pPr>
          <w:proofErr w:type="gramStart"/>
          <w:r>
            <w:rPr>
              <w:color w:val="000000"/>
              <w:lang w:val="fr-CH"/>
            </w:rPr>
            <w:t>rev</w:t>
          </w:r>
          <w:proofErr w:type="gramEnd"/>
          <w:r>
            <w:rPr>
              <w:color w:val="000000"/>
              <w:lang w:val="fr-CH"/>
            </w:rPr>
            <w:t>. -</w:t>
          </w:r>
        </w:p>
      </w:tc>
    </w:tr>
  </w:tbl>
  <w:p w14:paraId="2BE845FC" w14:textId="77777777" w:rsidR="007303BC" w:rsidRDefault="007303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510D799F"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19804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BB4E9" w14:textId="5698E376"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43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380545"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EEB81" w14:textId="7E38B6C5" w:rsidR="007303BC" w:rsidRDefault="007303BC" w:rsidP="00E41FDD">
          <w:pPr>
            <w:pStyle w:val="HeaderRegProc"/>
            <w:rPr>
              <w:color w:val="000000"/>
              <w:lang w:val="fr-CH"/>
            </w:rPr>
          </w:pPr>
          <w:proofErr w:type="gramStart"/>
          <w:r>
            <w:rPr>
              <w:color w:val="000000"/>
              <w:lang w:val="fr-CH"/>
            </w:rPr>
            <w:t>rev</w:t>
          </w:r>
          <w:proofErr w:type="gramEnd"/>
          <w:r>
            <w:rPr>
              <w:color w:val="000000"/>
              <w:lang w:val="fr-CH"/>
            </w:rPr>
            <w:t>.</w:t>
          </w:r>
          <w:r w:rsidR="00C75779">
            <w:rPr>
              <w:color w:val="000000"/>
              <w:lang w:val="fr-CH"/>
            </w:rPr>
            <w:t xml:space="preserve"> </w:t>
          </w:r>
          <w:r>
            <w:rPr>
              <w:color w:val="000000"/>
              <w:lang w:val="fr-CH"/>
            </w:rPr>
            <w:t>-</w:t>
          </w:r>
        </w:p>
      </w:tc>
    </w:tr>
  </w:tbl>
  <w:p w14:paraId="0CFFA6BA" w14:textId="77777777" w:rsidR="007303BC" w:rsidRDefault="007303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85E51C8"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99DA9C6"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086F3C3" w14:textId="7FECEB04"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43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249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2F56E" w14:textId="37DC6729" w:rsidR="007303BC" w:rsidRDefault="007303BC" w:rsidP="00997054">
          <w:pPr>
            <w:pStyle w:val="HeaderRegProc"/>
            <w:rPr>
              <w:color w:val="000000"/>
              <w:lang w:val="fr-CH"/>
            </w:rPr>
          </w:pPr>
          <w:proofErr w:type="gramStart"/>
          <w:r>
            <w:rPr>
              <w:color w:val="000000"/>
              <w:lang w:val="fr-CH"/>
            </w:rPr>
            <w:t>rev</w:t>
          </w:r>
          <w:proofErr w:type="gramEnd"/>
          <w:r>
            <w:rPr>
              <w:color w:val="000000"/>
              <w:lang w:val="fr-CH"/>
            </w:rPr>
            <w:t xml:space="preserve">. </w:t>
          </w:r>
          <w:r w:rsidR="001926B4">
            <w:rPr>
              <w:color w:val="000000"/>
              <w:lang w:val="fr-CH"/>
            </w:rPr>
            <w:t>1</w:t>
          </w:r>
        </w:p>
      </w:tc>
    </w:tr>
  </w:tbl>
  <w:p w14:paraId="657430CF" w14:textId="77777777" w:rsidR="007303BC" w:rsidRDefault="007303B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CDC4D5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31805"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64D4956" w14:textId="459C90CC"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43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35A0F"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2C7EB" w14:textId="77777777" w:rsidR="007303BC" w:rsidRDefault="007303BC" w:rsidP="00D70EFE">
          <w:pPr>
            <w:pStyle w:val="HeaderRegProc"/>
            <w:rPr>
              <w:color w:val="000000"/>
              <w:lang w:val="fr-CH"/>
            </w:rPr>
          </w:pPr>
          <w:proofErr w:type="gramStart"/>
          <w:r>
            <w:rPr>
              <w:color w:val="000000"/>
              <w:lang w:val="fr-CH"/>
            </w:rPr>
            <w:t>rev</w:t>
          </w:r>
          <w:proofErr w:type="gramEnd"/>
          <w:r>
            <w:rPr>
              <w:color w:val="000000"/>
              <w:lang w:val="fr-CH"/>
            </w:rPr>
            <w:t>. -</w:t>
          </w:r>
        </w:p>
      </w:tc>
    </w:tr>
  </w:tbl>
  <w:p w14:paraId="2A912EE6" w14:textId="77777777" w:rsidR="007303BC" w:rsidRDefault="007303BC">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B58A910"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A013081"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AAEBDB9" w14:textId="1921D5F2"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243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13B86"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454AF0" w14:textId="4143877E" w:rsidR="007303BC" w:rsidRDefault="007303BC" w:rsidP="00997054">
          <w:pPr>
            <w:pStyle w:val="HeaderRegProc"/>
            <w:rPr>
              <w:color w:val="000000"/>
              <w:lang w:val="fr-CH"/>
            </w:rPr>
          </w:pPr>
          <w:proofErr w:type="gramStart"/>
          <w:r>
            <w:rPr>
              <w:color w:val="000000"/>
              <w:lang w:val="fr-CH"/>
            </w:rPr>
            <w:t>rev</w:t>
          </w:r>
          <w:proofErr w:type="gramEnd"/>
          <w:r>
            <w:rPr>
              <w:color w:val="000000"/>
              <w:lang w:val="fr-CH"/>
            </w:rPr>
            <w:t>. -</w:t>
          </w:r>
        </w:p>
      </w:tc>
    </w:tr>
  </w:tbl>
  <w:p w14:paraId="235A966B" w14:textId="77777777" w:rsidR="007303BC" w:rsidRDefault="007303BC" w:rsidP="006B1FA3">
    <w:pPr>
      <w:pStyle w:val="Header"/>
      <w:spacing w:befor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0AD40F15"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6E587C5" w14:textId="600BFFD1"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6E966455" w14:textId="47753D3C"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A9413EE" w14:textId="3F94100A" w:rsidR="007303BC" w:rsidRDefault="009E52D0" w:rsidP="00007AA8">
          <w:pPr>
            <w:pStyle w:val="HeaderRegProc"/>
            <w:rPr>
              <w:lang w:val="fr-CH"/>
            </w:rPr>
          </w:pPr>
          <w:proofErr w:type="gramStart"/>
          <w:r w:rsidRPr="009E52D0">
            <w:rPr>
              <w:lang w:val="fr-CH"/>
            </w:rPr>
            <w:t>página</w:t>
          </w:r>
          <w:proofErr w:type="gramEnd"/>
          <w:r w:rsidR="007303BC">
            <w:rPr>
              <w:lang w:val="fr-CH"/>
            </w:rPr>
            <w:t xml:space="preserve"> </w:t>
          </w:r>
          <w:r w:rsidR="007303BC">
            <w:rPr>
              <w:rStyle w:val="PageNumber"/>
            </w:rPr>
            <w:fldChar w:fldCharType="begin"/>
          </w:r>
          <w:r w:rsidR="007303BC">
            <w:rPr>
              <w:rStyle w:val="PageNumber"/>
            </w:rPr>
            <w:instrText xml:space="preserve"> PAGE </w:instrText>
          </w:r>
          <w:r w:rsidR="007303BC">
            <w:rPr>
              <w:rStyle w:val="PageNumber"/>
            </w:rPr>
            <w:fldChar w:fldCharType="separate"/>
          </w:r>
          <w:r w:rsidR="007303BC">
            <w:rPr>
              <w:rStyle w:val="PageNumber"/>
              <w:noProof/>
            </w:rPr>
            <w:t>26</w:t>
          </w:r>
          <w:r w:rsidR="007303B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D5F76" w14:textId="1CE97434" w:rsidR="007303BC" w:rsidRDefault="007303BC" w:rsidP="00007AA8">
          <w:pPr>
            <w:pStyle w:val="HeaderRegProc"/>
            <w:rPr>
              <w:lang w:val="fr-CH"/>
            </w:rPr>
          </w:pPr>
          <w:proofErr w:type="gramStart"/>
          <w:r>
            <w:rPr>
              <w:lang w:val="fr-CH"/>
            </w:rPr>
            <w:t>rev</w:t>
          </w:r>
          <w:proofErr w:type="gramEnd"/>
          <w:r>
            <w:rPr>
              <w:lang w:val="fr-CH"/>
            </w:rPr>
            <w:t>.</w:t>
          </w:r>
          <w:r w:rsidR="00C75779">
            <w:rPr>
              <w:lang w:val="fr-CH"/>
            </w:rPr>
            <w:t xml:space="preserve"> </w:t>
          </w:r>
          <w:r>
            <w:rPr>
              <w:lang w:val="fr-CH"/>
            </w:rPr>
            <w:t>-</w:t>
          </w:r>
        </w:p>
      </w:tc>
    </w:tr>
  </w:tbl>
  <w:p w14:paraId="04534A9C" w14:textId="77777777" w:rsidR="007303BC" w:rsidRDefault="007303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363363CB"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6C0FF742" w14:textId="7DA4B438"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3B8D8C13" w14:textId="531CC52C"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243B8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0437A5C" w14:textId="6184CBE4" w:rsidR="007303BC" w:rsidRDefault="007303BC" w:rsidP="00007AA8">
          <w:pPr>
            <w:pStyle w:val="HeaderRegProc"/>
            <w:rPr>
              <w:lang w:val="fr-CH"/>
            </w:rPr>
          </w:pPr>
          <w:proofErr w:type="gramStart"/>
          <w:r>
            <w:rPr>
              <w:lang w:val="fr-CH"/>
            </w:rPr>
            <w:t>p</w:t>
          </w:r>
          <w:r w:rsidR="009E52D0">
            <w:rPr>
              <w:lang w:val="fr-CH"/>
            </w:rPr>
            <w:t>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BA03DE" w14:textId="1B9042E6" w:rsidR="007303BC" w:rsidRDefault="007303BC" w:rsidP="00007AA8">
          <w:pPr>
            <w:pStyle w:val="HeaderRegProc"/>
            <w:rPr>
              <w:lang w:val="fr-CH"/>
            </w:rPr>
          </w:pPr>
          <w:proofErr w:type="gramStart"/>
          <w:r>
            <w:rPr>
              <w:lang w:val="fr-CH"/>
            </w:rPr>
            <w:t>rev</w:t>
          </w:r>
          <w:proofErr w:type="gramEnd"/>
          <w:r>
            <w:rPr>
              <w:lang w:val="fr-CH"/>
            </w:rPr>
            <w:t xml:space="preserve">. </w:t>
          </w:r>
          <w:r>
            <w:t>-</w:t>
          </w:r>
        </w:p>
      </w:tc>
    </w:tr>
  </w:tbl>
  <w:p w14:paraId="6C883E3B" w14:textId="77777777" w:rsidR="007303BC" w:rsidRDefault="007303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6257"/>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C8C"/>
    <w:rsid w:val="00002269"/>
    <w:rsid w:val="00007AA8"/>
    <w:rsid w:val="00025ECD"/>
    <w:rsid w:val="00033BEB"/>
    <w:rsid w:val="000343C9"/>
    <w:rsid w:val="00042807"/>
    <w:rsid w:val="00073433"/>
    <w:rsid w:val="000809F6"/>
    <w:rsid w:val="00087EB6"/>
    <w:rsid w:val="0009055E"/>
    <w:rsid w:val="000A24DA"/>
    <w:rsid w:val="000A6753"/>
    <w:rsid w:val="000D5CB8"/>
    <w:rsid w:val="000F043D"/>
    <w:rsid w:val="000F3E5A"/>
    <w:rsid w:val="00106427"/>
    <w:rsid w:val="00131423"/>
    <w:rsid w:val="00141CA8"/>
    <w:rsid w:val="00145089"/>
    <w:rsid w:val="00151019"/>
    <w:rsid w:val="00157BE3"/>
    <w:rsid w:val="00163294"/>
    <w:rsid w:val="00170AA7"/>
    <w:rsid w:val="00171097"/>
    <w:rsid w:val="0017350B"/>
    <w:rsid w:val="001926B4"/>
    <w:rsid w:val="001929B4"/>
    <w:rsid w:val="001A29BD"/>
    <w:rsid w:val="001A74A8"/>
    <w:rsid w:val="001B34F3"/>
    <w:rsid w:val="001B4FEE"/>
    <w:rsid w:val="001B6F4B"/>
    <w:rsid w:val="001D4D9D"/>
    <w:rsid w:val="001E33F5"/>
    <w:rsid w:val="001E4B6D"/>
    <w:rsid w:val="001E71F0"/>
    <w:rsid w:val="00202D8A"/>
    <w:rsid w:val="00231A73"/>
    <w:rsid w:val="002400F2"/>
    <w:rsid w:val="00243A7A"/>
    <w:rsid w:val="00243B84"/>
    <w:rsid w:val="00243C1F"/>
    <w:rsid w:val="002606DA"/>
    <w:rsid w:val="002611BA"/>
    <w:rsid w:val="00261E6D"/>
    <w:rsid w:val="00263244"/>
    <w:rsid w:val="00273900"/>
    <w:rsid w:val="00275DC3"/>
    <w:rsid w:val="002855F0"/>
    <w:rsid w:val="00285A0D"/>
    <w:rsid w:val="00290328"/>
    <w:rsid w:val="002956CA"/>
    <w:rsid w:val="0029768E"/>
    <w:rsid w:val="002C5784"/>
    <w:rsid w:val="002E7999"/>
    <w:rsid w:val="003011F9"/>
    <w:rsid w:val="00312F2B"/>
    <w:rsid w:val="00316036"/>
    <w:rsid w:val="00340DF3"/>
    <w:rsid w:val="003421C9"/>
    <w:rsid w:val="003511A6"/>
    <w:rsid w:val="00353B4B"/>
    <w:rsid w:val="00354082"/>
    <w:rsid w:val="00363FC4"/>
    <w:rsid w:val="00364B5B"/>
    <w:rsid w:val="003667EC"/>
    <w:rsid w:val="00376B7F"/>
    <w:rsid w:val="00380438"/>
    <w:rsid w:val="00384465"/>
    <w:rsid w:val="00397807"/>
    <w:rsid w:val="003A212D"/>
    <w:rsid w:val="003A2B3C"/>
    <w:rsid w:val="003B3F7A"/>
    <w:rsid w:val="003C601A"/>
    <w:rsid w:val="003F178D"/>
    <w:rsid w:val="003F1DCA"/>
    <w:rsid w:val="003F5E8B"/>
    <w:rsid w:val="003F7F87"/>
    <w:rsid w:val="00402C5C"/>
    <w:rsid w:val="004102CD"/>
    <w:rsid w:val="004270DD"/>
    <w:rsid w:val="004306BF"/>
    <w:rsid w:val="00432D3A"/>
    <w:rsid w:val="00437321"/>
    <w:rsid w:val="00437E8C"/>
    <w:rsid w:val="00443745"/>
    <w:rsid w:val="004609E2"/>
    <w:rsid w:val="004623D9"/>
    <w:rsid w:val="00493826"/>
    <w:rsid w:val="004B0B17"/>
    <w:rsid w:val="004B74BC"/>
    <w:rsid w:val="004C1035"/>
    <w:rsid w:val="004C365A"/>
    <w:rsid w:val="004C44AE"/>
    <w:rsid w:val="004C6036"/>
    <w:rsid w:val="004C7294"/>
    <w:rsid w:val="004C789C"/>
    <w:rsid w:val="004D2453"/>
    <w:rsid w:val="00510FE2"/>
    <w:rsid w:val="00514FDE"/>
    <w:rsid w:val="00515A02"/>
    <w:rsid w:val="005164F3"/>
    <w:rsid w:val="005212EF"/>
    <w:rsid w:val="00525B76"/>
    <w:rsid w:val="0055260C"/>
    <w:rsid w:val="00552F92"/>
    <w:rsid w:val="00580ACB"/>
    <w:rsid w:val="00581AB1"/>
    <w:rsid w:val="00582968"/>
    <w:rsid w:val="00585B28"/>
    <w:rsid w:val="00587B8C"/>
    <w:rsid w:val="00594CF0"/>
    <w:rsid w:val="005A1C6C"/>
    <w:rsid w:val="005A408A"/>
    <w:rsid w:val="005B4993"/>
    <w:rsid w:val="005D3354"/>
    <w:rsid w:val="005D38B8"/>
    <w:rsid w:val="005E5EFE"/>
    <w:rsid w:val="005E750A"/>
    <w:rsid w:val="006050D0"/>
    <w:rsid w:val="00624015"/>
    <w:rsid w:val="0062524A"/>
    <w:rsid w:val="0064339D"/>
    <w:rsid w:val="00653B0A"/>
    <w:rsid w:val="0066792B"/>
    <w:rsid w:val="00671B06"/>
    <w:rsid w:val="006746D2"/>
    <w:rsid w:val="00676A4C"/>
    <w:rsid w:val="00676B57"/>
    <w:rsid w:val="00685DBD"/>
    <w:rsid w:val="006B10B0"/>
    <w:rsid w:val="006B1FA3"/>
    <w:rsid w:val="006B6892"/>
    <w:rsid w:val="006D45DA"/>
    <w:rsid w:val="006E3C11"/>
    <w:rsid w:val="00700F38"/>
    <w:rsid w:val="007025D6"/>
    <w:rsid w:val="00710A76"/>
    <w:rsid w:val="007142E9"/>
    <w:rsid w:val="00727D35"/>
    <w:rsid w:val="007303BC"/>
    <w:rsid w:val="007359FE"/>
    <w:rsid w:val="00735FE0"/>
    <w:rsid w:val="007429E4"/>
    <w:rsid w:val="00756910"/>
    <w:rsid w:val="0077079D"/>
    <w:rsid w:val="00770D86"/>
    <w:rsid w:val="00771F68"/>
    <w:rsid w:val="00774C65"/>
    <w:rsid w:val="00782C00"/>
    <w:rsid w:val="007A21C3"/>
    <w:rsid w:val="007B5234"/>
    <w:rsid w:val="007C0E12"/>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04C4"/>
    <w:rsid w:val="008A4B01"/>
    <w:rsid w:val="008A784F"/>
    <w:rsid w:val="008B66A6"/>
    <w:rsid w:val="009056FF"/>
    <w:rsid w:val="009243FB"/>
    <w:rsid w:val="0092491E"/>
    <w:rsid w:val="00934300"/>
    <w:rsid w:val="00947C8C"/>
    <w:rsid w:val="0095388D"/>
    <w:rsid w:val="0097772C"/>
    <w:rsid w:val="00997054"/>
    <w:rsid w:val="009A2F2C"/>
    <w:rsid w:val="009A5612"/>
    <w:rsid w:val="009A6831"/>
    <w:rsid w:val="009B0E26"/>
    <w:rsid w:val="009B4895"/>
    <w:rsid w:val="009C3798"/>
    <w:rsid w:val="009C54F8"/>
    <w:rsid w:val="009C6C75"/>
    <w:rsid w:val="009D0297"/>
    <w:rsid w:val="009E52D0"/>
    <w:rsid w:val="009F15F9"/>
    <w:rsid w:val="00A00B06"/>
    <w:rsid w:val="00A160F1"/>
    <w:rsid w:val="00A36A08"/>
    <w:rsid w:val="00A60C28"/>
    <w:rsid w:val="00A80144"/>
    <w:rsid w:val="00A841B7"/>
    <w:rsid w:val="00A8577C"/>
    <w:rsid w:val="00A963AA"/>
    <w:rsid w:val="00AA0190"/>
    <w:rsid w:val="00AA6D4D"/>
    <w:rsid w:val="00AB6150"/>
    <w:rsid w:val="00AB7173"/>
    <w:rsid w:val="00AC3017"/>
    <w:rsid w:val="00AE5F97"/>
    <w:rsid w:val="00AF0BF6"/>
    <w:rsid w:val="00AF7287"/>
    <w:rsid w:val="00B05D12"/>
    <w:rsid w:val="00B0754A"/>
    <w:rsid w:val="00B35150"/>
    <w:rsid w:val="00B4459B"/>
    <w:rsid w:val="00B643BE"/>
    <w:rsid w:val="00B76760"/>
    <w:rsid w:val="00B97C02"/>
    <w:rsid w:val="00BA4474"/>
    <w:rsid w:val="00BA65FC"/>
    <w:rsid w:val="00BB5039"/>
    <w:rsid w:val="00BC75E2"/>
    <w:rsid w:val="00BE0EE8"/>
    <w:rsid w:val="00BF0573"/>
    <w:rsid w:val="00C03BB1"/>
    <w:rsid w:val="00C124BB"/>
    <w:rsid w:val="00C13E79"/>
    <w:rsid w:val="00C23ED0"/>
    <w:rsid w:val="00C30B0F"/>
    <w:rsid w:val="00C522B9"/>
    <w:rsid w:val="00C54CFD"/>
    <w:rsid w:val="00C75779"/>
    <w:rsid w:val="00C93AC2"/>
    <w:rsid w:val="00CA2E46"/>
    <w:rsid w:val="00CA33C4"/>
    <w:rsid w:val="00CD7CA4"/>
    <w:rsid w:val="00CE260D"/>
    <w:rsid w:val="00CE3DE4"/>
    <w:rsid w:val="00CE4342"/>
    <w:rsid w:val="00D00CA3"/>
    <w:rsid w:val="00D01428"/>
    <w:rsid w:val="00D15B32"/>
    <w:rsid w:val="00D16069"/>
    <w:rsid w:val="00D223F5"/>
    <w:rsid w:val="00D2326A"/>
    <w:rsid w:val="00D26314"/>
    <w:rsid w:val="00D405CB"/>
    <w:rsid w:val="00D43A78"/>
    <w:rsid w:val="00D47A90"/>
    <w:rsid w:val="00D561C2"/>
    <w:rsid w:val="00D6002A"/>
    <w:rsid w:val="00D70EFE"/>
    <w:rsid w:val="00D71E4B"/>
    <w:rsid w:val="00D72BCF"/>
    <w:rsid w:val="00D74F5F"/>
    <w:rsid w:val="00DA47A4"/>
    <w:rsid w:val="00DB387B"/>
    <w:rsid w:val="00DC5BEC"/>
    <w:rsid w:val="00DD0038"/>
    <w:rsid w:val="00DE1E30"/>
    <w:rsid w:val="00DE2B84"/>
    <w:rsid w:val="00DF5A15"/>
    <w:rsid w:val="00E14361"/>
    <w:rsid w:val="00E20345"/>
    <w:rsid w:val="00E239D8"/>
    <w:rsid w:val="00E30F08"/>
    <w:rsid w:val="00E41412"/>
    <w:rsid w:val="00E41FDD"/>
    <w:rsid w:val="00E52D87"/>
    <w:rsid w:val="00E55618"/>
    <w:rsid w:val="00E573EE"/>
    <w:rsid w:val="00E6127D"/>
    <w:rsid w:val="00E90A91"/>
    <w:rsid w:val="00EA2D8D"/>
    <w:rsid w:val="00EA6945"/>
    <w:rsid w:val="00EF41B3"/>
    <w:rsid w:val="00EF6BA1"/>
    <w:rsid w:val="00F01943"/>
    <w:rsid w:val="00F064A9"/>
    <w:rsid w:val="00F07F11"/>
    <w:rsid w:val="00F10B0B"/>
    <w:rsid w:val="00F15E33"/>
    <w:rsid w:val="00F17FBF"/>
    <w:rsid w:val="00F23BAE"/>
    <w:rsid w:val="00F4327C"/>
    <w:rsid w:val="00F5147F"/>
    <w:rsid w:val="00F56981"/>
    <w:rsid w:val="00F60ECF"/>
    <w:rsid w:val="00F74C0C"/>
    <w:rsid w:val="00FB02FE"/>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18DD-2033-415B-B193-A3046157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1011</TotalTime>
  <Pages>34</Pages>
  <Words>13259</Words>
  <Characters>75581</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C--107223/DD</Manager>
  <Company>ITU</Company>
  <LinksUpToDate>false</LinksUpToDate>
  <CharactersWithSpaces>88663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11</dc:subject>
  <dc:creator>Composition des Publications</dc:creator>
  <cp:keywords>Folios: 1 - 24 (blanc)</cp:keywords>
  <dc:description>Edition 2009:  12.02.2009/DD  (dict. ok)_x000d_
Corr. 1ère interne:  09.03.2009/DD</dc:description>
  <cp:lastModifiedBy>Catalano Moreira, Rossana</cp:lastModifiedBy>
  <cp:revision>234</cp:revision>
  <cp:lastPrinted>2022-03-31T12:38:00Z</cp:lastPrinted>
  <dcterms:created xsi:type="dcterms:W3CDTF">2012-10-02T12:17:00Z</dcterms:created>
  <dcterms:modified xsi:type="dcterms:W3CDTF">2023-07-13T13:03:00Z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