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03A32" w14:textId="77777777" w:rsidR="00FF5E31" w:rsidRPr="00654E6E" w:rsidRDefault="00FF5E31" w:rsidP="00FF5E31">
      <w:pPr>
        <w:rPr>
          <w:rStyle w:val="href"/>
          <w:sz w:val="16"/>
          <w:szCs w:val="16"/>
          <w:lang w:val="fr-CH"/>
        </w:rPr>
      </w:pPr>
      <w:r w:rsidRPr="00654E6E">
        <w:rPr>
          <w:rStyle w:val="href"/>
          <w:sz w:val="16"/>
          <w:szCs w:val="16"/>
          <w:lang w:val="fr-CH"/>
        </w:rPr>
        <w:t>(ADD RRB22/484)</w:t>
      </w:r>
    </w:p>
    <w:p w14:paraId="588EBE6E" w14:textId="0B0F47D4" w:rsidR="00FF5E31" w:rsidRPr="0035613F" w:rsidRDefault="0035613F" w:rsidP="00FF5E31">
      <w:pPr>
        <w:pStyle w:val="Heading1"/>
        <w:ind w:left="0" w:firstLine="0"/>
        <w:jc w:val="center"/>
        <w:rPr>
          <w:lang w:val="fr-CH"/>
        </w:rPr>
      </w:pPr>
      <w:bookmarkStart w:id="0" w:name="_GoBack"/>
      <w:r w:rsidRPr="0035613F">
        <w:rPr>
          <w:rFonts w:eastAsia="SimSun"/>
          <w:szCs w:val="24"/>
          <w:lang w:val="fr-FR"/>
        </w:rPr>
        <w:t>Règles relatives à la mise en service ou à la remise en service simultanées de plusieurs réseaux à satellite géostationnaire au moyen d'un seul satellite</w:t>
      </w:r>
      <w:bookmarkEnd w:id="0"/>
      <w:r w:rsidR="00FF5E31">
        <w:rPr>
          <w:rStyle w:val="FootnoteReference"/>
          <w:rFonts w:eastAsia="SimSun"/>
          <w:szCs w:val="24"/>
          <w:lang w:val="en-CA"/>
        </w:rPr>
        <w:footnoteReference w:id="1"/>
      </w:r>
      <w:r w:rsidR="00FF5E31" w:rsidRPr="0035613F">
        <w:rPr>
          <w:rFonts w:eastAsia="SimSun"/>
          <w:szCs w:val="24"/>
          <w:lang w:val="fr-CH"/>
        </w:rPr>
        <w:t xml:space="preserve"> </w:t>
      </w:r>
    </w:p>
    <w:p w14:paraId="05A42B70" w14:textId="33850B57" w:rsidR="0035613F" w:rsidRDefault="0035613F" w:rsidP="0035613F">
      <w:pPr>
        <w:rPr>
          <w:lang w:val="fr-FR"/>
        </w:rPr>
      </w:pPr>
      <w:r w:rsidRPr="0035613F">
        <w:rPr>
          <w:lang w:val="fr-FR"/>
        </w:rPr>
        <w:t xml:space="preserve">À des fins d'exploitation, par exemple pour éviter les risques de collision, pour les opérations de télémesure, poursuite et télécommande et pour les accords de coordination, il faut parfois décaler un satellite par rapport à la position orbitale nominale notifiée (y compris la tolérance de maintien en position de ±0,1 degré dans le cas de stations spatiales à bord de satellites géostationnaires du service fixe par satellite ou du service de radiodiffusion par satellite) pour fournir les services nécessaires. Dans ce cas particulier, lorsque le Bureau demande des éclaircissements conformément au numéro </w:t>
      </w:r>
      <w:r w:rsidRPr="0035613F">
        <w:rPr>
          <w:b/>
          <w:bCs/>
          <w:lang w:val="fr-FR"/>
        </w:rPr>
        <w:t>11.44</w:t>
      </w:r>
      <w:r w:rsidRPr="0035613F">
        <w:rPr>
          <w:lang w:val="fr-FR"/>
        </w:rPr>
        <w:t xml:space="preserve">, </w:t>
      </w:r>
      <w:r w:rsidRPr="0035613F">
        <w:rPr>
          <w:b/>
          <w:bCs/>
          <w:lang w:val="fr-FR"/>
        </w:rPr>
        <w:t>11.44B, 11.49</w:t>
      </w:r>
      <w:r w:rsidRPr="0035613F">
        <w:rPr>
          <w:lang w:val="fr-FR"/>
        </w:rPr>
        <w:t xml:space="preserve"> ou </w:t>
      </w:r>
      <w:r w:rsidRPr="0035613F">
        <w:rPr>
          <w:b/>
          <w:bCs/>
          <w:lang w:val="fr-FR"/>
        </w:rPr>
        <w:t>13.6</w:t>
      </w:r>
      <w:r w:rsidRPr="0035613F">
        <w:rPr>
          <w:lang w:val="fr-FR"/>
        </w:rPr>
        <w:t xml:space="preserve"> du Règlement des radiocommunications sur la mise en service, la remise en service ou l'utilisation continue des caractéristiques notifiées d'un réseau à satellite, le Comité a décidé que le Bureau devrait considérer qu'un satellite situé à moins de 0,5° de la longitude notifiée de la position nominale du réseau à satellite serait réputé conforme aux dispositions du numéro </w:t>
      </w:r>
      <w:r w:rsidRPr="0035613F">
        <w:rPr>
          <w:b/>
          <w:bCs/>
          <w:lang w:val="fr-FR"/>
        </w:rPr>
        <w:t>11.44</w:t>
      </w:r>
      <w:r w:rsidRPr="0035613F">
        <w:rPr>
          <w:lang w:val="fr-FR"/>
        </w:rPr>
        <w:t xml:space="preserve">, </w:t>
      </w:r>
      <w:r w:rsidRPr="0035613F">
        <w:rPr>
          <w:b/>
          <w:bCs/>
          <w:lang w:val="fr-FR"/>
        </w:rPr>
        <w:t>11.44B</w:t>
      </w:r>
      <w:r w:rsidRPr="0035613F">
        <w:rPr>
          <w:lang w:val="fr-FR"/>
        </w:rPr>
        <w:t xml:space="preserve">, </w:t>
      </w:r>
      <w:r w:rsidRPr="0035613F">
        <w:rPr>
          <w:b/>
          <w:bCs/>
          <w:lang w:val="fr-FR"/>
        </w:rPr>
        <w:t>11.49</w:t>
      </w:r>
      <w:r w:rsidRPr="0035613F">
        <w:rPr>
          <w:lang w:val="fr-FR"/>
        </w:rPr>
        <w:t xml:space="preserve"> ou </w:t>
      </w:r>
      <w:r w:rsidRPr="0035613F">
        <w:rPr>
          <w:b/>
          <w:bCs/>
          <w:lang w:val="fr-FR"/>
        </w:rPr>
        <w:t>13.6</w:t>
      </w:r>
      <w:r w:rsidRPr="0035613F">
        <w:rPr>
          <w:lang w:val="fr-FR"/>
        </w:rPr>
        <w:t>, selon le cas, à condition</w:t>
      </w:r>
    </w:p>
    <w:p w14:paraId="1218C9CA" w14:textId="77777777" w:rsidR="0035613F" w:rsidRPr="0035613F" w:rsidRDefault="0035613F" w:rsidP="0035613F">
      <w:pPr>
        <w:pStyle w:val="enumlev1"/>
        <w:rPr>
          <w:lang w:val="fr-CH"/>
        </w:rPr>
      </w:pPr>
      <w:r w:rsidRPr="0035613F">
        <w:rPr>
          <w:lang w:val="fr-CH"/>
        </w:rPr>
        <w:t>1)</w:t>
      </w:r>
      <w:r w:rsidRPr="0035613F">
        <w:rPr>
          <w:lang w:val="fr-CH"/>
        </w:rPr>
        <w:tab/>
        <w:t xml:space="preserve">que la station spatiale soit associée à une ou plusieurs fiches de notification de réseaux à satellite sur une même position </w:t>
      </w:r>
      <w:proofErr w:type="gramStart"/>
      <w:r w:rsidRPr="0035613F">
        <w:rPr>
          <w:lang w:val="fr-CH"/>
        </w:rPr>
        <w:t>orbitale;</w:t>
      </w:r>
      <w:proofErr w:type="gramEnd"/>
    </w:p>
    <w:p w14:paraId="5C01F684" w14:textId="1210E91E" w:rsidR="0035613F" w:rsidRPr="0035613F" w:rsidRDefault="0035613F" w:rsidP="0035613F">
      <w:pPr>
        <w:pStyle w:val="enumlev1"/>
        <w:rPr>
          <w:lang w:val="fr-CH"/>
        </w:rPr>
      </w:pPr>
      <w:r w:rsidRPr="0035613F">
        <w:rPr>
          <w:lang w:val="fr-CH"/>
        </w:rPr>
        <w:t>2)</w:t>
      </w:r>
      <w:r w:rsidRPr="0035613F">
        <w:rPr>
          <w:lang w:val="fr-CH"/>
        </w:rPr>
        <w:tab/>
        <w:t xml:space="preserve">que la station spatiale </w:t>
      </w:r>
      <w:r w:rsidRPr="0035613F">
        <w:rPr>
          <w:color w:val="000000"/>
          <w:lang w:val="fr-CH"/>
        </w:rPr>
        <w:t xml:space="preserve">puisse être maintenue en position à moins de ±0,1° de longitude de sa position </w:t>
      </w:r>
      <w:proofErr w:type="gramStart"/>
      <w:r w:rsidRPr="0035613F">
        <w:rPr>
          <w:color w:val="000000"/>
          <w:lang w:val="fr-CH"/>
        </w:rPr>
        <w:t>nominale</w:t>
      </w:r>
      <w:r w:rsidRPr="0035613F">
        <w:rPr>
          <w:lang w:val="fr-CH"/>
        </w:rPr>
        <w:t>;</w:t>
      </w:r>
      <w:proofErr w:type="gramEnd"/>
    </w:p>
    <w:p w14:paraId="525AFF44" w14:textId="77777777" w:rsidR="0035613F" w:rsidRPr="0035613F" w:rsidRDefault="0035613F" w:rsidP="0035613F">
      <w:pPr>
        <w:pStyle w:val="enumlev1"/>
        <w:rPr>
          <w:color w:val="000000"/>
          <w:lang w:val="fr-CH"/>
        </w:rPr>
      </w:pPr>
      <w:r w:rsidRPr="0035613F">
        <w:rPr>
          <w:lang w:val="fr-CH"/>
        </w:rPr>
        <w:t>3)</w:t>
      </w:r>
      <w:r w:rsidRPr="0035613F">
        <w:rPr>
          <w:lang w:val="fr-CH"/>
        </w:rPr>
        <w:tab/>
        <w:t>qu'aucun brouillage inacceptable ne soit signalé lorsque l'excursion du satellite dépasse cette tolérance (0,5 degré au plus</w:t>
      </w:r>
      <w:proofErr w:type="gramStart"/>
      <w:r w:rsidRPr="0035613F">
        <w:rPr>
          <w:lang w:val="fr-CH"/>
        </w:rPr>
        <w:t>);</w:t>
      </w:r>
      <w:proofErr w:type="gramEnd"/>
      <w:r w:rsidRPr="0035613F">
        <w:rPr>
          <w:lang w:val="fr-CH"/>
        </w:rPr>
        <w:t xml:space="preserve"> et</w:t>
      </w:r>
    </w:p>
    <w:p w14:paraId="373E60D2" w14:textId="2DCBD594" w:rsidR="00FF5E31" w:rsidRPr="0035613F" w:rsidRDefault="0035613F" w:rsidP="0035613F">
      <w:pPr>
        <w:pStyle w:val="enumlev1"/>
        <w:rPr>
          <w:lang w:val="fr-CH"/>
        </w:rPr>
      </w:pPr>
      <w:r w:rsidRPr="0035613F">
        <w:rPr>
          <w:color w:val="000000"/>
          <w:lang w:val="fr-CH"/>
        </w:rPr>
        <w:t>4)</w:t>
      </w:r>
      <w:r w:rsidRPr="0035613F">
        <w:rPr>
          <w:color w:val="000000"/>
          <w:lang w:val="fr-CH"/>
        </w:rPr>
        <w:tab/>
      </w:r>
      <w:r w:rsidRPr="0035613F">
        <w:rPr>
          <w:lang w:val="fr-CH"/>
        </w:rPr>
        <w:t xml:space="preserve">que </w:t>
      </w:r>
      <w:r w:rsidRPr="0035613F">
        <w:rPr>
          <w:color w:val="000000"/>
          <w:lang w:val="fr-CH"/>
        </w:rPr>
        <w:t>cette exploitation ne cause pas plus de brouillages, ou ne nécessite pas plus de protection contre les brouillages, que si la station spatiale était exploitée avec une</w:t>
      </w:r>
      <w:r w:rsidRPr="0035613F">
        <w:rPr>
          <w:lang w:val="fr-CH"/>
        </w:rPr>
        <w:t xml:space="preserve"> </w:t>
      </w:r>
      <w:r w:rsidRPr="0035613F">
        <w:rPr>
          <w:color w:val="000000"/>
          <w:lang w:val="fr-CH"/>
        </w:rPr>
        <w:t>tolérance de maintien en position de ±0,1°</w:t>
      </w:r>
      <w:r w:rsidRPr="0035613F">
        <w:rPr>
          <w:lang w:val="fr-CH"/>
        </w:rPr>
        <w:t xml:space="preserve"> </w:t>
      </w:r>
      <w:r w:rsidRPr="0035613F">
        <w:rPr>
          <w:color w:val="000000"/>
          <w:lang w:val="fr-CH"/>
        </w:rPr>
        <w:t>par rapport à</w:t>
      </w:r>
      <w:r w:rsidRPr="0035613F">
        <w:rPr>
          <w:lang w:val="fr-CH"/>
        </w:rPr>
        <w:t xml:space="preserve"> la position orbitale notifiée.</w:t>
      </w:r>
    </w:p>
    <w:p w14:paraId="6F152144" w14:textId="5BA4E376" w:rsidR="00FF5E31" w:rsidRPr="00896F1E" w:rsidRDefault="0035613F" w:rsidP="00FF5E31">
      <w:pPr>
        <w:tabs>
          <w:tab w:val="left" w:pos="3402"/>
        </w:tabs>
        <w:rPr>
          <w:szCs w:val="24"/>
        </w:rPr>
      </w:pPr>
      <w:r w:rsidRPr="0035613F">
        <w:rPr>
          <w:szCs w:val="24"/>
          <w:lang w:val="fr-FR"/>
        </w:rPr>
        <w:t xml:space="preserve">De plus, le Comité a décidé que le Bureau devrait considérer qu'un satellite situé à moins de 0,5° de plusieurs positions nominales notifiées de réseaux à satellite peut être utilisé pour la mise en service, la remise en service ou l'utilisation continue des caractéristiques notifiées des assignations de fréquence de ces réseaux à satellite, conformément au numéro </w:t>
      </w:r>
      <w:r w:rsidRPr="0035613F">
        <w:rPr>
          <w:b/>
          <w:bCs/>
          <w:szCs w:val="24"/>
          <w:lang w:val="fr-FR"/>
        </w:rPr>
        <w:t>11.44</w:t>
      </w:r>
      <w:r w:rsidRPr="0035613F">
        <w:rPr>
          <w:szCs w:val="24"/>
          <w:lang w:val="fr-FR"/>
        </w:rPr>
        <w:t xml:space="preserve">, </w:t>
      </w:r>
      <w:r w:rsidRPr="0035613F">
        <w:rPr>
          <w:b/>
          <w:bCs/>
          <w:szCs w:val="24"/>
          <w:lang w:val="fr-FR"/>
        </w:rPr>
        <w:t>11.44B</w:t>
      </w:r>
      <w:r w:rsidRPr="0035613F">
        <w:rPr>
          <w:szCs w:val="24"/>
          <w:lang w:val="fr-FR"/>
        </w:rPr>
        <w:t xml:space="preserve">, </w:t>
      </w:r>
      <w:r w:rsidRPr="0035613F">
        <w:rPr>
          <w:b/>
          <w:bCs/>
          <w:szCs w:val="24"/>
          <w:lang w:val="fr-FR"/>
        </w:rPr>
        <w:t>11.49</w:t>
      </w:r>
      <w:r w:rsidRPr="0035613F">
        <w:rPr>
          <w:szCs w:val="24"/>
          <w:lang w:val="fr-FR"/>
        </w:rPr>
        <w:t xml:space="preserve"> ou </w:t>
      </w:r>
      <w:r w:rsidRPr="0035613F">
        <w:rPr>
          <w:b/>
          <w:bCs/>
          <w:szCs w:val="24"/>
          <w:lang w:val="fr-FR"/>
        </w:rPr>
        <w:t>13.6,</w:t>
      </w:r>
      <w:r w:rsidRPr="0035613F">
        <w:rPr>
          <w:szCs w:val="24"/>
          <w:lang w:val="fr-FR"/>
        </w:rPr>
        <w:t xml:space="preserve"> uniquement si les largeurs de bande de ces assignations de fréquence ne se chevauchent pas. Les conditions 2 à 4 indiquées ci-dessus sont également d'application.</w:t>
      </w:r>
    </w:p>
    <w:p w14:paraId="18AA2AC3" w14:textId="77777777" w:rsidR="00FF5E31" w:rsidRPr="00896F1E" w:rsidRDefault="00FF5E31" w:rsidP="00FF5E31">
      <w:pPr>
        <w:tabs>
          <w:tab w:val="left" w:pos="3402"/>
        </w:tabs>
        <w:spacing w:line="280" w:lineRule="exact"/>
        <w:rPr>
          <w:szCs w:val="24"/>
          <w:rPrChange w:id="1" w:author="Editors" w:date="2021-10-15T16:27:00Z">
            <w:rPr>
              <w:szCs w:val="24"/>
              <w:lang w:val="en-CA"/>
            </w:rPr>
          </w:rPrChange>
        </w:rPr>
      </w:pPr>
    </w:p>
    <w:p w14:paraId="53373475" w14:textId="77777777" w:rsidR="00FF5E31" w:rsidRPr="0069500F" w:rsidRDefault="00FF5E31" w:rsidP="00FF5E31">
      <w:pPr>
        <w:jc w:val="center"/>
      </w:pPr>
      <w:r w:rsidRPr="0069500F">
        <w:t>___________________</w:t>
      </w:r>
    </w:p>
    <w:p w14:paraId="07E4607F" w14:textId="77777777" w:rsidR="00FF5E31" w:rsidRDefault="00FF5E31" w:rsidP="00FF5E31"/>
    <w:p w14:paraId="5F56A281" w14:textId="77777777" w:rsidR="00FF5E31" w:rsidRDefault="00FF5E31" w:rsidP="00FF5E31"/>
    <w:p w14:paraId="09FB1056" w14:textId="60800D9D" w:rsidR="000C08ED" w:rsidRDefault="000C08ED">
      <w:pPr>
        <w:tabs>
          <w:tab w:val="clear" w:pos="1134"/>
          <w:tab w:val="clear" w:pos="1871"/>
          <w:tab w:val="clear" w:pos="2268"/>
        </w:tabs>
        <w:overflowPunct/>
        <w:autoSpaceDE/>
        <w:autoSpaceDN/>
        <w:adjustRightInd/>
        <w:spacing w:before="0"/>
        <w:jc w:val="left"/>
        <w:textAlignment w:val="auto"/>
      </w:pPr>
    </w:p>
    <w:p w14:paraId="5F1054D0" w14:textId="77777777" w:rsidR="000C08ED" w:rsidRDefault="000C08ED" w:rsidP="00FF5E31">
      <w:pPr>
        <w:sectPr w:rsidR="000C08ED" w:rsidSect="00A46460">
          <w:headerReference w:type="even" r:id="rId8"/>
          <w:headerReference w:type="default" r:id="rId9"/>
          <w:headerReference w:type="first" r:id="rId10"/>
          <w:footnotePr>
            <w:pos w:val="beneathText"/>
          </w:footnotePr>
          <w:pgSz w:w="11907" w:h="16840" w:code="9"/>
          <w:pgMar w:top="1701" w:right="851" w:bottom="1134" w:left="1985" w:header="720" w:footer="482" w:gutter="0"/>
          <w:pgNumType w:start="1"/>
          <w:cols w:space="720"/>
          <w:vAlign w:val="both"/>
          <w:titlePg/>
          <w:docGrid w:linePitch="326"/>
        </w:sectPr>
      </w:pPr>
    </w:p>
    <w:p w14:paraId="5B00D4C6" w14:textId="77777777" w:rsidR="00FF5E31" w:rsidRDefault="00FF5E31" w:rsidP="00FF5E31"/>
    <w:sectPr w:rsidR="00FF5E31" w:rsidSect="00A46460">
      <w:headerReference w:type="first" r:id="rId11"/>
      <w:footnotePr>
        <w:pos w:val="beneathText"/>
      </w:footnotePr>
      <w:pgSz w:w="11907" w:h="16840" w:code="9"/>
      <w:pgMar w:top="1701" w:right="851" w:bottom="1134" w:left="1985" w:header="720" w:footer="482" w:gutter="0"/>
      <w:pgNumType w:start="1"/>
      <w:cols w:space="720"/>
      <w:vAlign w:val="both"/>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894E9" w14:textId="77777777" w:rsidR="007C1377" w:rsidRDefault="007C1377">
      <w:r>
        <w:separator/>
      </w:r>
    </w:p>
  </w:endnote>
  <w:endnote w:type="continuationSeparator" w:id="0">
    <w:p w14:paraId="7641313B" w14:textId="77777777" w:rsidR="007C1377" w:rsidRDefault="007C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825DD" w14:textId="77777777" w:rsidR="007C1377" w:rsidRDefault="007C1377">
      <w:r>
        <w:rPr>
          <w:b/>
        </w:rPr>
        <w:t>_______________</w:t>
      </w:r>
    </w:p>
  </w:footnote>
  <w:footnote w:type="continuationSeparator" w:id="0">
    <w:p w14:paraId="25FABC26" w14:textId="77777777" w:rsidR="007C1377" w:rsidRDefault="007C1377">
      <w:r>
        <w:continuationSeparator/>
      </w:r>
    </w:p>
  </w:footnote>
  <w:footnote w:id="1">
    <w:p w14:paraId="2A44C053" w14:textId="19EEC116" w:rsidR="00FF5E31" w:rsidRPr="0035613F" w:rsidRDefault="00FF5E31" w:rsidP="00FF5E31">
      <w:pPr>
        <w:pStyle w:val="FootnoteText"/>
        <w:rPr>
          <w:rFonts w:eastAsia="SimSun"/>
          <w:lang w:val="fr-CH"/>
        </w:rPr>
      </w:pPr>
      <w:r>
        <w:rPr>
          <w:rStyle w:val="FootnoteReference"/>
        </w:rPr>
        <w:footnoteRef/>
      </w:r>
      <w:r w:rsidRPr="0035613F">
        <w:rPr>
          <w:lang w:val="fr-CH"/>
        </w:rPr>
        <w:t xml:space="preserve"> </w:t>
      </w:r>
      <w:r w:rsidR="0035613F" w:rsidRPr="0035613F">
        <w:rPr>
          <w:lang w:val="fr-CH"/>
        </w:rPr>
        <w:t>Voir également les dispositions de l'Annexe 7</w:t>
      </w:r>
      <w:proofErr w:type="gramStart"/>
      <w:r w:rsidR="0035613F" w:rsidRPr="0035613F">
        <w:rPr>
          <w:lang w:val="fr-CH"/>
        </w:rPr>
        <w:t xml:space="preserve"> «Restrictions</w:t>
      </w:r>
      <w:proofErr w:type="gramEnd"/>
      <w:r w:rsidR="0035613F" w:rsidRPr="0035613F">
        <w:rPr>
          <w:lang w:val="fr-CH"/>
        </w:rPr>
        <w:t xml:space="preserve"> </w:t>
      </w:r>
      <w:r w:rsidR="0035613F" w:rsidRPr="0035613F">
        <w:rPr>
          <w:lang w:val="fr-FR"/>
        </w:rPr>
        <w:t xml:space="preserve">applicables </w:t>
      </w:r>
      <w:r w:rsidR="0035613F" w:rsidRPr="0035613F">
        <w:rPr>
          <w:lang w:val="fr-CH"/>
        </w:rPr>
        <w:t xml:space="preserve">aux positions sur l'orbite» de l'Appendice </w:t>
      </w:r>
      <w:r w:rsidR="0035613F" w:rsidRPr="0035613F">
        <w:rPr>
          <w:b/>
          <w:bCs/>
          <w:lang w:val="fr-CH"/>
        </w:rPr>
        <w:t>30</w:t>
      </w:r>
      <w:r w:rsidR="0035613F" w:rsidRPr="0035613F">
        <w:rPr>
          <w:lang w:val="fr-CH"/>
        </w:rPr>
        <w:t xml:space="preserve"> et de la Résolution </w:t>
      </w:r>
      <w:r w:rsidR="0035613F" w:rsidRPr="0035613F">
        <w:rPr>
          <w:b/>
          <w:bCs/>
          <w:lang w:val="fr-CH"/>
        </w:rPr>
        <w:t>548 (Rév.CMR-12)</w:t>
      </w:r>
      <w:r w:rsidR="0035613F" w:rsidRPr="0035613F">
        <w:rPr>
          <w:lang w:val="fr-CH"/>
        </w:rPr>
        <w:t xml:space="preserve"> «Application du concept de groupement dans les Appendices </w:t>
      </w:r>
      <w:r w:rsidR="0035613F" w:rsidRPr="0035613F">
        <w:rPr>
          <w:b/>
          <w:bCs/>
          <w:lang w:val="fr-CH"/>
        </w:rPr>
        <w:t>30</w:t>
      </w:r>
      <w:r w:rsidR="0035613F" w:rsidRPr="0035613F">
        <w:rPr>
          <w:lang w:val="fr-CH"/>
        </w:rPr>
        <w:t xml:space="preserve"> et </w:t>
      </w:r>
      <w:r w:rsidR="0035613F" w:rsidRPr="0035613F">
        <w:rPr>
          <w:b/>
          <w:bCs/>
          <w:lang w:val="fr-CH"/>
        </w:rPr>
        <w:t>30A</w:t>
      </w:r>
      <w:r w:rsidR="0035613F" w:rsidRPr="0035613F">
        <w:rPr>
          <w:lang w:val="fr-CH"/>
        </w:rPr>
        <w:t xml:space="preserve"> dans les Régions 1 et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576046C2" w14:textId="77777777" w:rsidTr="00AE2E1D">
      <w:trPr>
        <w:cantSplit/>
      </w:trPr>
      <w:tc>
        <w:tcPr>
          <w:tcW w:w="1701" w:type="dxa"/>
          <w:tcBorders>
            <w:top w:val="single" w:sz="6" w:space="0" w:color="auto"/>
            <w:left w:val="single" w:sz="6" w:space="0" w:color="auto"/>
            <w:bottom w:val="single" w:sz="6" w:space="0" w:color="auto"/>
            <w:right w:val="single" w:sz="6" w:space="0" w:color="auto"/>
          </w:tcBorders>
        </w:tcPr>
        <w:p w14:paraId="2F2F1DE3" w14:textId="260534E6" w:rsidR="00EB1C38" w:rsidRDefault="00EB1C38" w:rsidP="00EB1C38">
          <w:pPr>
            <w:pStyle w:val="HeaderRegProc"/>
          </w:pPr>
          <w:r>
            <w:t>Part A1</w:t>
          </w:r>
        </w:p>
      </w:tc>
      <w:tc>
        <w:tcPr>
          <w:tcW w:w="1701" w:type="dxa"/>
          <w:tcBorders>
            <w:top w:val="single" w:sz="6" w:space="0" w:color="auto"/>
            <w:left w:val="single" w:sz="6" w:space="0" w:color="auto"/>
            <w:bottom w:val="single" w:sz="6" w:space="0" w:color="auto"/>
            <w:right w:val="single" w:sz="6" w:space="0" w:color="auto"/>
          </w:tcBorders>
        </w:tcPr>
        <w:p w14:paraId="3D9A5805" w14:textId="5C45A315" w:rsidR="00EB1C38" w:rsidRDefault="00912DE4" w:rsidP="00EB1C38">
          <w:pPr>
            <w:pStyle w:val="HeaderRegProc"/>
            <w:rPr>
              <w:lang w:val="fr-FR"/>
            </w:rPr>
          </w:pPr>
          <w:r w:rsidRPr="00912DE4">
            <w:rPr>
              <w:lang w:val="fr-FR"/>
            </w:rPr>
            <w:t>Receivability</w:t>
          </w:r>
        </w:p>
      </w:tc>
      <w:tc>
        <w:tcPr>
          <w:tcW w:w="1701" w:type="dxa"/>
          <w:tcBorders>
            <w:top w:val="single" w:sz="6" w:space="0" w:color="auto"/>
            <w:left w:val="single" w:sz="6" w:space="0" w:color="auto"/>
            <w:bottom w:val="single" w:sz="6" w:space="0" w:color="auto"/>
            <w:right w:val="single" w:sz="6" w:space="0" w:color="auto"/>
          </w:tcBorders>
        </w:tcPr>
        <w:p w14:paraId="652F8763" w14:textId="77777777" w:rsidR="00EB1C38" w:rsidRDefault="00EB1C38" w:rsidP="00EB1C3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69DD6B" w14:textId="77777777" w:rsidR="00EB1C38" w:rsidRDefault="00EB1C38" w:rsidP="00EB1C38">
          <w:pPr>
            <w:pStyle w:val="HeaderRegProc"/>
            <w:rPr>
              <w:lang w:val="fr-CH"/>
            </w:rPr>
          </w:pPr>
          <w:proofErr w:type="gramStart"/>
          <w:r>
            <w:rPr>
              <w:lang w:val="fr-CH"/>
            </w:rPr>
            <w:t>rev</w:t>
          </w:r>
          <w:proofErr w:type="gramEnd"/>
          <w:r>
            <w:rPr>
              <w:lang w:val="fr-CH"/>
            </w:rPr>
            <w:t>. 1</w:t>
          </w:r>
        </w:p>
      </w:tc>
    </w:tr>
  </w:tbl>
  <w:p w14:paraId="604CF5C6" w14:textId="77777777" w:rsidR="004B0044" w:rsidRDefault="004B0044"/>
  <w:p w14:paraId="67D71A82" w14:textId="77777777" w:rsidR="00C71486" w:rsidRDefault="00C7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2CC7D28E" w14:textId="77777777" w:rsidTr="00AE2E1D">
      <w:trPr>
        <w:cantSplit/>
        <w:jc w:val="right"/>
      </w:trPr>
      <w:tc>
        <w:tcPr>
          <w:tcW w:w="1701" w:type="dxa"/>
          <w:tcBorders>
            <w:top w:val="single" w:sz="6" w:space="0" w:color="auto"/>
            <w:left w:val="single" w:sz="6" w:space="0" w:color="auto"/>
            <w:bottom w:val="single" w:sz="6" w:space="0" w:color="auto"/>
            <w:right w:val="single" w:sz="6" w:space="0" w:color="auto"/>
          </w:tcBorders>
        </w:tcPr>
        <w:p w14:paraId="44391995" w14:textId="0A54C467" w:rsidR="00EB1C38" w:rsidRDefault="00EB1C38" w:rsidP="00EB1C38">
          <w:pPr>
            <w:pStyle w:val="HeaderRegProc"/>
            <w:ind w:right="360" w:firstLine="360"/>
            <w:jc w:val="left"/>
          </w:pPr>
          <w:r>
            <w:t>Part A1</w:t>
          </w:r>
        </w:p>
      </w:tc>
      <w:tc>
        <w:tcPr>
          <w:tcW w:w="1701" w:type="dxa"/>
          <w:tcBorders>
            <w:top w:val="single" w:sz="6" w:space="0" w:color="auto"/>
            <w:left w:val="single" w:sz="6" w:space="0" w:color="auto"/>
            <w:bottom w:val="single" w:sz="6" w:space="0" w:color="auto"/>
            <w:right w:val="single" w:sz="6" w:space="0" w:color="auto"/>
          </w:tcBorders>
        </w:tcPr>
        <w:p w14:paraId="5D9745F7" w14:textId="3BDDEE39" w:rsidR="00EB1C38" w:rsidRDefault="00912DE4" w:rsidP="00EB1C38">
          <w:pPr>
            <w:pStyle w:val="HeaderRegProc"/>
            <w:rPr>
              <w:lang w:val="fr-FR"/>
            </w:rPr>
          </w:pPr>
          <w:r w:rsidRPr="00912DE4">
            <w:rPr>
              <w:lang w:val="fr-FR"/>
            </w:rPr>
            <w:t>Receivability</w:t>
          </w:r>
        </w:p>
      </w:tc>
      <w:tc>
        <w:tcPr>
          <w:tcW w:w="1701" w:type="dxa"/>
          <w:tcBorders>
            <w:top w:val="single" w:sz="6" w:space="0" w:color="auto"/>
            <w:left w:val="single" w:sz="6" w:space="0" w:color="auto"/>
            <w:bottom w:val="single" w:sz="6" w:space="0" w:color="auto"/>
            <w:right w:val="single" w:sz="6" w:space="0" w:color="auto"/>
          </w:tcBorders>
        </w:tcPr>
        <w:p w14:paraId="0F63F099" w14:textId="77777777" w:rsidR="00EB1C38" w:rsidRDefault="00EB1C38" w:rsidP="00EB1C3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1C539" w14:textId="43A47FA9" w:rsidR="00EB1C38" w:rsidRDefault="00EB1C38" w:rsidP="00EB1C38">
          <w:pPr>
            <w:pStyle w:val="HeaderRegProc"/>
            <w:rPr>
              <w:lang w:val="fr-CH"/>
            </w:rPr>
          </w:pPr>
          <w:proofErr w:type="gramStart"/>
          <w:r>
            <w:rPr>
              <w:lang w:val="fr-CH"/>
            </w:rPr>
            <w:t>rev</w:t>
          </w:r>
          <w:proofErr w:type="gramEnd"/>
          <w:r>
            <w:rPr>
              <w:lang w:val="fr-CH"/>
            </w:rPr>
            <w:t>.</w:t>
          </w:r>
          <w:r>
            <w:t xml:space="preserve"> </w:t>
          </w:r>
          <w:r w:rsidR="00A46460">
            <w:t>2</w:t>
          </w:r>
        </w:p>
      </w:tc>
    </w:tr>
  </w:tbl>
  <w:p w14:paraId="0317F4B0" w14:textId="77777777" w:rsidR="0023504D" w:rsidRDefault="0023504D">
    <w:pPr>
      <w:pStyle w:val="Header"/>
    </w:pPr>
  </w:p>
  <w:p w14:paraId="1A2A22B7" w14:textId="77777777" w:rsidR="00C71486" w:rsidRDefault="00C714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2608"/>
      <w:gridCol w:w="1701"/>
      <w:gridCol w:w="1701"/>
    </w:tblGrid>
    <w:tr w:rsidR="00A46460" w14:paraId="127AAEAA" w14:textId="77777777" w:rsidTr="001E6167">
      <w:trPr>
        <w:cantSplit/>
        <w:jc w:val="right"/>
      </w:trPr>
      <w:tc>
        <w:tcPr>
          <w:tcW w:w="1701" w:type="dxa"/>
          <w:tcBorders>
            <w:top w:val="single" w:sz="6" w:space="0" w:color="auto"/>
            <w:left w:val="single" w:sz="6" w:space="0" w:color="auto"/>
            <w:bottom w:val="single" w:sz="6" w:space="0" w:color="auto"/>
            <w:right w:val="single" w:sz="6" w:space="0" w:color="auto"/>
          </w:tcBorders>
        </w:tcPr>
        <w:p w14:paraId="03606B9C" w14:textId="795D83B5" w:rsidR="00A46460" w:rsidRDefault="00A46460" w:rsidP="00A46460">
          <w:pPr>
            <w:pStyle w:val="HeaderRegProc"/>
            <w:ind w:right="360" w:firstLine="360"/>
            <w:jc w:val="left"/>
          </w:pPr>
          <w:r>
            <w:t>Part</w:t>
          </w:r>
          <w:r w:rsidR="0035613F">
            <w:t>ie</w:t>
          </w:r>
          <w:r>
            <w:t xml:space="preserve"> A1</w:t>
          </w:r>
        </w:p>
      </w:tc>
      <w:tc>
        <w:tcPr>
          <w:tcW w:w="2608" w:type="dxa"/>
          <w:tcBorders>
            <w:top w:val="single" w:sz="6" w:space="0" w:color="auto"/>
            <w:left w:val="single" w:sz="6" w:space="0" w:color="auto"/>
            <w:bottom w:val="single" w:sz="6" w:space="0" w:color="auto"/>
            <w:right w:val="single" w:sz="6" w:space="0" w:color="auto"/>
          </w:tcBorders>
        </w:tcPr>
        <w:p w14:paraId="250CF459" w14:textId="7D57DA9B" w:rsidR="00A46460" w:rsidRPr="00F31DD9" w:rsidRDefault="001E6167" w:rsidP="001E6167">
          <w:pPr>
            <w:pStyle w:val="HeaderRegProc"/>
            <w:jc w:val="left"/>
            <w:rPr>
              <w:lang w:val="fr-FR"/>
            </w:rPr>
          </w:pPr>
          <w:r>
            <w:rPr>
              <w:lang w:val="fr-FR"/>
            </w:rPr>
            <w:t>Mise en service simultanée</w:t>
          </w:r>
        </w:p>
      </w:tc>
      <w:tc>
        <w:tcPr>
          <w:tcW w:w="1701" w:type="dxa"/>
          <w:tcBorders>
            <w:top w:val="single" w:sz="6" w:space="0" w:color="auto"/>
            <w:left w:val="single" w:sz="6" w:space="0" w:color="auto"/>
            <w:bottom w:val="single" w:sz="6" w:space="0" w:color="auto"/>
            <w:right w:val="single" w:sz="6" w:space="0" w:color="auto"/>
          </w:tcBorders>
        </w:tcPr>
        <w:p w14:paraId="7D06C867" w14:textId="77777777" w:rsidR="00A46460" w:rsidRDefault="00A46460" w:rsidP="00A4646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4321F7" w14:textId="7FA119D1" w:rsidR="00A46460" w:rsidRDefault="00A46460" w:rsidP="00A46460">
          <w:pPr>
            <w:pStyle w:val="HeaderRegProc"/>
            <w:rPr>
              <w:lang w:val="fr-CH"/>
            </w:rPr>
          </w:pPr>
          <w:proofErr w:type="gramStart"/>
          <w:r>
            <w:rPr>
              <w:lang w:val="fr-CH"/>
            </w:rPr>
            <w:t>r</w:t>
          </w:r>
          <w:r w:rsidR="0035613F">
            <w:rPr>
              <w:lang w:val="fr-CH"/>
            </w:rPr>
            <w:t>é</w:t>
          </w:r>
          <w:r>
            <w:rPr>
              <w:lang w:val="fr-CH"/>
            </w:rPr>
            <w:t>v</w:t>
          </w:r>
          <w:proofErr w:type="gramEnd"/>
          <w:r>
            <w:rPr>
              <w:lang w:val="fr-CH"/>
            </w:rPr>
            <w:t>.</w:t>
          </w:r>
          <w:r>
            <w:t xml:space="preserve"> </w:t>
          </w:r>
          <w:r w:rsidR="00747BF9">
            <w:t>2</w:t>
          </w:r>
        </w:p>
      </w:tc>
    </w:tr>
  </w:tbl>
  <w:p w14:paraId="6F71DF67" w14:textId="77777777" w:rsidR="004B0044" w:rsidRDefault="004B00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0CC64" w14:textId="77777777" w:rsidR="000C08ED" w:rsidRDefault="000C08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C803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C072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7E3D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275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908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54F5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0264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A60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8CDC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CAB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F5EBC"/>
    <w:multiLevelType w:val="hybridMultilevel"/>
    <w:tmpl w:val="B7C219D0"/>
    <w:lvl w:ilvl="0" w:tplc="0809000F">
      <w:start w:val="1"/>
      <w:numFmt w:val="decimal"/>
      <w:lvlText w:val="%1."/>
      <w:lvlJc w:val="left"/>
      <w:pPr>
        <w:ind w:left="720" w:hanging="360"/>
      </w:pPr>
      <w:rPr>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E71484E"/>
    <w:multiLevelType w:val="hybridMultilevel"/>
    <w:tmpl w:val="922AD90A"/>
    <w:lvl w:ilvl="0" w:tplc="2A86E584">
      <w:start w:val="1"/>
      <w:numFmt w:val="decimal"/>
      <w:lvlText w:val="%1."/>
      <w:lvlJc w:val="left"/>
      <w:pPr>
        <w:ind w:left="790" w:hanging="79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0747"/>
    <w:rsid w:val="000231C4"/>
    <w:rsid w:val="00040FB9"/>
    <w:rsid w:val="00044936"/>
    <w:rsid w:val="00045F2B"/>
    <w:rsid w:val="000472D3"/>
    <w:rsid w:val="00062244"/>
    <w:rsid w:val="000C08ED"/>
    <w:rsid w:val="000C6AFF"/>
    <w:rsid w:val="000D6D11"/>
    <w:rsid w:val="000F1F42"/>
    <w:rsid w:val="000F264F"/>
    <w:rsid w:val="00145B32"/>
    <w:rsid w:val="0016757F"/>
    <w:rsid w:val="001A0553"/>
    <w:rsid w:val="001A5382"/>
    <w:rsid w:val="001D530B"/>
    <w:rsid w:val="001D56EA"/>
    <w:rsid w:val="001E6167"/>
    <w:rsid w:val="002106DE"/>
    <w:rsid w:val="0023504D"/>
    <w:rsid w:val="00241E1D"/>
    <w:rsid w:val="002B0706"/>
    <w:rsid w:val="002C18EA"/>
    <w:rsid w:val="002C76FC"/>
    <w:rsid w:val="002F1791"/>
    <w:rsid w:val="002F1FC2"/>
    <w:rsid w:val="00305A8C"/>
    <w:rsid w:val="0035062F"/>
    <w:rsid w:val="0035613F"/>
    <w:rsid w:val="003809B6"/>
    <w:rsid w:val="003955F8"/>
    <w:rsid w:val="003A2A4D"/>
    <w:rsid w:val="003B41E5"/>
    <w:rsid w:val="003D5CCB"/>
    <w:rsid w:val="003E451F"/>
    <w:rsid w:val="003E610A"/>
    <w:rsid w:val="00404E18"/>
    <w:rsid w:val="0041362E"/>
    <w:rsid w:val="00450730"/>
    <w:rsid w:val="004518CE"/>
    <w:rsid w:val="004B0044"/>
    <w:rsid w:val="00503E9E"/>
    <w:rsid w:val="005058C5"/>
    <w:rsid w:val="00547728"/>
    <w:rsid w:val="005838BD"/>
    <w:rsid w:val="005909E8"/>
    <w:rsid w:val="005F039F"/>
    <w:rsid w:val="005F183C"/>
    <w:rsid w:val="00611A23"/>
    <w:rsid w:val="00611D66"/>
    <w:rsid w:val="00642765"/>
    <w:rsid w:val="00643B88"/>
    <w:rsid w:val="00646EBE"/>
    <w:rsid w:val="00654E6E"/>
    <w:rsid w:val="00664897"/>
    <w:rsid w:val="00670019"/>
    <w:rsid w:val="0067377C"/>
    <w:rsid w:val="00677DCF"/>
    <w:rsid w:val="006937D8"/>
    <w:rsid w:val="006B051C"/>
    <w:rsid w:val="006C4065"/>
    <w:rsid w:val="006D5F81"/>
    <w:rsid w:val="007054AB"/>
    <w:rsid w:val="00747BF9"/>
    <w:rsid w:val="00783926"/>
    <w:rsid w:val="007A126D"/>
    <w:rsid w:val="007B7840"/>
    <w:rsid w:val="007C1377"/>
    <w:rsid w:val="007C70D7"/>
    <w:rsid w:val="007F75DE"/>
    <w:rsid w:val="00814A83"/>
    <w:rsid w:val="008361BF"/>
    <w:rsid w:val="00840D85"/>
    <w:rsid w:val="00843FC7"/>
    <w:rsid w:val="008700C5"/>
    <w:rsid w:val="00870BDA"/>
    <w:rsid w:val="00876020"/>
    <w:rsid w:val="008B204F"/>
    <w:rsid w:val="008B5723"/>
    <w:rsid w:val="008B5CB6"/>
    <w:rsid w:val="008E130C"/>
    <w:rsid w:val="008E7106"/>
    <w:rsid w:val="008F6813"/>
    <w:rsid w:val="00910747"/>
    <w:rsid w:val="00912DE4"/>
    <w:rsid w:val="00941E78"/>
    <w:rsid w:val="00952F21"/>
    <w:rsid w:val="00963E65"/>
    <w:rsid w:val="009970A4"/>
    <w:rsid w:val="009970C1"/>
    <w:rsid w:val="00A20629"/>
    <w:rsid w:val="00A25E08"/>
    <w:rsid w:val="00A379E0"/>
    <w:rsid w:val="00A46460"/>
    <w:rsid w:val="00A46AEA"/>
    <w:rsid w:val="00A60E53"/>
    <w:rsid w:val="00A72783"/>
    <w:rsid w:val="00A83E58"/>
    <w:rsid w:val="00AA1CF8"/>
    <w:rsid w:val="00AA57C2"/>
    <w:rsid w:val="00AE4765"/>
    <w:rsid w:val="00B25D44"/>
    <w:rsid w:val="00B50E85"/>
    <w:rsid w:val="00B66C2E"/>
    <w:rsid w:val="00B73439"/>
    <w:rsid w:val="00BD62BE"/>
    <w:rsid w:val="00BE4286"/>
    <w:rsid w:val="00BF093C"/>
    <w:rsid w:val="00C1667D"/>
    <w:rsid w:val="00C43686"/>
    <w:rsid w:val="00C51C05"/>
    <w:rsid w:val="00C71486"/>
    <w:rsid w:val="00C76B35"/>
    <w:rsid w:val="00C80872"/>
    <w:rsid w:val="00C842B7"/>
    <w:rsid w:val="00C956D9"/>
    <w:rsid w:val="00CB20C5"/>
    <w:rsid w:val="00CF345E"/>
    <w:rsid w:val="00D43E9F"/>
    <w:rsid w:val="00D5648A"/>
    <w:rsid w:val="00D82336"/>
    <w:rsid w:val="00DB3204"/>
    <w:rsid w:val="00DE107C"/>
    <w:rsid w:val="00E06BFA"/>
    <w:rsid w:val="00E07B66"/>
    <w:rsid w:val="00E27CF6"/>
    <w:rsid w:val="00E36754"/>
    <w:rsid w:val="00E4236A"/>
    <w:rsid w:val="00E51ECB"/>
    <w:rsid w:val="00E63F84"/>
    <w:rsid w:val="00E67915"/>
    <w:rsid w:val="00E8606A"/>
    <w:rsid w:val="00EA6A01"/>
    <w:rsid w:val="00EB1C38"/>
    <w:rsid w:val="00ED3C36"/>
    <w:rsid w:val="00ED5502"/>
    <w:rsid w:val="00EE0555"/>
    <w:rsid w:val="00EE5A52"/>
    <w:rsid w:val="00F05D32"/>
    <w:rsid w:val="00F21188"/>
    <w:rsid w:val="00F31DD9"/>
    <w:rsid w:val="00F71A96"/>
    <w:rsid w:val="00FA23ED"/>
    <w:rsid w:val="00FB2B30"/>
    <w:rsid w:val="00FC6209"/>
    <w:rsid w:val="00FE3729"/>
    <w:rsid w:val="00FF5E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AC067"/>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F8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 w:type="character" w:customStyle="1" w:styleId="ListParagraphChar">
    <w:name w:val="List Paragraph Char"/>
    <w:basedOn w:val="DefaultParagraphFont"/>
    <w:link w:val="ListParagraph"/>
    <w:uiPriority w:val="34"/>
    <w:locked/>
    <w:rsid w:val="00FF5E31"/>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rsid w:val="00FF5E31"/>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character" w:customStyle="1" w:styleId="hgkelc">
    <w:name w:val="hgkelc"/>
    <w:basedOn w:val="DefaultParagraphFont"/>
    <w:rsid w:val="00FF5E31"/>
  </w:style>
  <w:style w:type="character" w:customStyle="1" w:styleId="enumlev1Char">
    <w:name w:val="enumlev1 Char"/>
    <w:basedOn w:val="DefaultParagraphFont"/>
    <w:link w:val="enumlev1"/>
    <w:rsid w:val="0035613F"/>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D96DF-895E-44BD-B214-259A1C4FE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TotalTime>
  <Pages>3</Pages>
  <Words>312</Words>
  <Characters>2166</Characters>
  <Application>Microsoft Office Word</Application>
  <DocSecurity>0</DocSecurity>
  <Lines>74</Lines>
  <Paragraphs>41</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relatives à la mise en service ou à la remise en service simultanées de plusieurs réseaux à satellite géostationnaire au moyen d'un seul satellite</dc:title>
  <dc:subject>Receivability</dc:subject>
  <dc:creator/>
  <cp:keywords/>
  <dc:description>RoP-2021</dc:description>
  <cp:lastModifiedBy>Gachet, Christelle</cp:lastModifiedBy>
  <cp:revision>10</cp:revision>
  <cp:lastPrinted>2022-03-30T06:24:00Z</cp:lastPrinted>
  <dcterms:created xsi:type="dcterms:W3CDTF">2022-03-30T06:23:00Z</dcterms:created>
  <dcterms:modified xsi:type="dcterms:W3CDTF">2022-03-31T12:11:00Z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