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B2853D" w14:textId="77777777" w:rsidR="004F6D43" w:rsidRPr="004F6D43" w:rsidRDefault="004F6D43" w:rsidP="004F6D43">
      <w:pPr>
        <w:rPr>
          <w:sz w:val="16"/>
          <w:szCs w:val="16"/>
          <w:lang w:val="ru-RU"/>
        </w:rPr>
      </w:pPr>
      <w:r w:rsidRPr="004F6D43">
        <w:rPr>
          <w:sz w:val="16"/>
          <w:szCs w:val="16"/>
          <w:lang w:val="ru-RU"/>
        </w:rPr>
        <w:t>(ADD RRB24/510)</w:t>
      </w:r>
    </w:p>
    <w:p w14:paraId="65114877" w14:textId="68178FCC" w:rsidR="008C497B" w:rsidRPr="004F6D43" w:rsidRDefault="001F3D16" w:rsidP="001E6ED1">
      <w:pPr>
        <w:pStyle w:val="Heading1"/>
        <w:spacing w:before="300"/>
        <w:jc w:val="center"/>
        <w:rPr>
          <w:szCs w:val="26"/>
          <w:lang w:val="ru-RU"/>
        </w:rPr>
      </w:pPr>
      <w:r w:rsidRPr="004F6D43">
        <w:rPr>
          <w:szCs w:val="26"/>
          <w:lang w:val="ru-RU"/>
        </w:rPr>
        <w:t>ЧАСТЬ</w:t>
      </w:r>
      <w:r w:rsidR="008C497B" w:rsidRPr="004F6D43">
        <w:rPr>
          <w:szCs w:val="26"/>
          <w:lang w:val="ru-RU"/>
        </w:rPr>
        <w:t xml:space="preserve">  </w:t>
      </w:r>
      <w:r w:rsidR="008C497B" w:rsidRPr="004F6D43">
        <w:rPr>
          <w:rStyle w:val="href"/>
          <w:szCs w:val="26"/>
          <w:lang w:val="ru-RU"/>
        </w:rPr>
        <w:t>B</w:t>
      </w:r>
    </w:p>
    <w:p w14:paraId="6315E0CF" w14:textId="6BF8CF3A" w:rsidR="008C497B" w:rsidRPr="004F6D43" w:rsidRDefault="001F3D16">
      <w:pPr>
        <w:pStyle w:val="Heading2"/>
        <w:ind w:left="0" w:firstLine="0"/>
        <w:jc w:val="center"/>
        <w:rPr>
          <w:szCs w:val="26"/>
          <w:lang w:val="ru-RU"/>
        </w:rPr>
      </w:pPr>
      <w:r w:rsidRPr="004F6D43">
        <w:rPr>
          <w:szCs w:val="26"/>
          <w:lang w:val="ru-RU"/>
        </w:rPr>
        <w:t>РАЗДЕЛ</w:t>
      </w:r>
      <w:r w:rsidR="008C497B" w:rsidRPr="004F6D43">
        <w:rPr>
          <w:szCs w:val="26"/>
          <w:lang w:val="ru-RU"/>
        </w:rPr>
        <w:t xml:space="preserve">  </w:t>
      </w:r>
      <w:r w:rsidR="008C497B" w:rsidRPr="004F6D43">
        <w:rPr>
          <w:rStyle w:val="href2"/>
          <w:szCs w:val="26"/>
          <w:lang w:val="ru-RU"/>
        </w:rPr>
        <w:t>B</w:t>
      </w:r>
      <w:r w:rsidR="004F6D43" w:rsidRPr="004F6D43">
        <w:rPr>
          <w:rStyle w:val="href2"/>
          <w:szCs w:val="26"/>
          <w:lang w:val="ru-RU"/>
        </w:rPr>
        <w:t>8</w:t>
      </w:r>
    </w:p>
    <w:p w14:paraId="595C07C9" w14:textId="36CAF155" w:rsidR="004F6D43" w:rsidRPr="004F6D43" w:rsidRDefault="004F6D43" w:rsidP="004F6D43">
      <w:pPr>
        <w:pStyle w:val="Sectiontitle"/>
        <w:rPr>
          <w:rFonts w:ascii="Times New Roman" w:hAnsi="Times New Roman"/>
        </w:rPr>
      </w:pPr>
      <w:r w:rsidRPr="004F6D43">
        <w:rPr>
          <w:rFonts w:ascii="Times New Roman" w:hAnsi="Times New Roman"/>
          <w:lang w:eastAsia="zh-CN"/>
        </w:rPr>
        <w:t>Расчет уровней плотности потока мощности, создаваемой находящейся в движении воздушной земной станцией (A-ESIM), и их проверка с учетом пределов, содержащихся в Дополнении 3 к Резолюции 169 (Пересм. ВКР­23)</w:t>
      </w:r>
      <w:r w:rsidRPr="004F6D43">
        <w:rPr>
          <w:rFonts w:ascii="Times New Roman" w:hAnsi="Times New Roman"/>
        </w:rPr>
        <w:t xml:space="preserve">, </w:t>
      </w:r>
      <w:r w:rsidRPr="004F6D43">
        <w:rPr>
          <w:rFonts w:ascii="Times New Roman" w:hAnsi="Times New Roman"/>
          <w:lang w:eastAsia="zh-CN"/>
        </w:rPr>
        <w:t>Дополнении 2 к Резолюции 121 (ВКР­23) и Дополнении 2 к Резолюции 123 (ВКР­23)</w:t>
      </w:r>
    </w:p>
    <w:p w14:paraId="3AA388A8" w14:textId="77777777" w:rsidR="004F6D43" w:rsidRPr="004F6D43" w:rsidRDefault="004F6D43" w:rsidP="004F6D43">
      <w:pPr>
        <w:pStyle w:val="Normalaftertitle0"/>
        <w:jc w:val="both"/>
      </w:pPr>
      <w:bookmarkStart w:id="0" w:name="_Hlk173937794"/>
      <w:r w:rsidRPr="004F6D43">
        <w:t>В Дополнении 2 к Резолюции </w:t>
      </w:r>
      <w:r w:rsidRPr="004F6D43">
        <w:rPr>
          <w:b/>
          <w:bCs/>
        </w:rPr>
        <w:t>121 (ВКР-23)</w:t>
      </w:r>
      <w:r w:rsidRPr="004F6D43">
        <w:t xml:space="preserve"> и Дополнении 2 к Резолюции </w:t>
      </w:r>
      <w:r w:rsidRPr="004F6D43">
        <w:rPr>
          <w:b/>
          <w:bCs/>
        </w:rPr>
        <w:t>123 (ВКР-23)</w:t>
      </w:r>
      <w:r w:rsidRPr="004F6D43">
        <w:t xml:space="preserve"> содержатся методики и процедуры для рассмотрения уровней плотности потока мощности на поверхности Земли, создаваемой A-ESIM. Соответствующая методика для Резолюции </w:t>
      </w:r>
      <w:r w:rsidRPr="004F6D43">
        <w:rPr>
          <w:b/>
          <w:bCs/>
        </w:rPr>
        <w:t>169 (Пересм. ВКР-23)</w:t>
      </w:r>
      <w:r w:rsidRPr="004F6D43">
        <w:t xml:space="preserve"> включена в Рекомендацию МСЭ-R S.2158-0.</w:t>
      </w:r>
    </w:p>
    <w:p w14:paraId="2EBE5851" w14:textId="77777777" w:rsidR="004F6D43" w:rsidRPr="004F6D43" w:rsidRDefault="004F6D43" w:rsidP="004F6D43">
      <w:pPr>
        <w:pStyle w:val="Headingb0"/>
        <w:rPr>
          <w:lang w:val="ru-RU"/>
        </w:rPr>
      </w:pPr>
      <w:r w:rsidRPr="004F6D43">
        <w:rPr>
          <w:lang w:val="ru-RU"/>
        </w:rPr>
        <w:t>Эталонная ширина полосы для предела п.п.м.</w:t>
      </w:r>
    </w:p>
    <w:p w14:paraId="574EF99C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В этих трех методиках содержится одна и та же формула для расчета мощности передачи на основе максимальной или минимальной спектральной плотности мощности A-ESIM.</w:t>
      </w:r>
    </w:p>
    <w:p w14:paraId="0BCABBE1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В зависимости от рассматриваемого набора пределов п.п.м. (т. е. для значений высоты A-ESIM до 3 км или более 3 км) необходимо рассматривать два разных значения эталонной ширины полосы: 1 МГц и 14 МГц, соответственно.</w:t>
      </w:r>
    </w:p>
    <w:p w14:paraId="7B9650EB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Комитет отметил, что в Примечании 2 к Рекомендации МСЭ-R S.2158-0 указано: "В отношении работы с шириной полосы излучения, меньшей чем эталонная ширина полосы, данная методика применима при условии подтверждения заявляющей администрацией, что A-ESIM использует только одно излучение в эталонной ширине полосы. В случае отсутствия такого подтверждения данная методика неприменима". Кроме того, в замечании в Резолюции </w:t>
      </w:r>
      <w:r w:rsidRPr="004F6D43">
        <w:rPr>
          <w:b/>
          <w:bCs/>
          <w:lang w:val="ru-RU"/>
        </w:rPr>
        <w:t>121 (ВКР-23)</w:t>
      </w:r>
      <w:r w:rsidRPr="004F6D43">
        <w:rPr>
          <w:lang w:val="ru-RU"/>
        </w:rPr>
        <w:t xml:space="preserve"> указано, что "в этой методике предполагается, что A-ESIM передает только одно излучение в эталонной полосе шириной 14 МГц".</w:t>
      </w:r>
    </w:p>
    <w:p w14:paraId="50AB51B0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Соответственно Комитет понимает, что намерения Всемирной конференции радиосвязи (Шарм­эль­Шейх, 2019 г.) (ВКР-19) и Всемирной конференции радиосвязи (Дубай, 2023 г.) (ВКР-23) заключались в том, чтобы разрешить только одно излучение несущей в эталонной полосе шириной 14 МГц во всех трех случаях, рассматриваемых в Резолюциях </w:t>
      </w:r>
      <w:r w:rsidRPr="004F6D43">
        <w:rPr>
          <w:b/>
          <w:bCs/>
          <w:lang w:val="ru-RU"/>
        </w:rPr>
        <w:t>121 (ВКР-23)</w:t>
      </w:r>
      <w:r w:rsidRPr="004F6D43">
        <w:rPr>
          <w:lang w:val="ru-RU"/>
        </w:rPr>
        <w:t xml:space="preserve">, </w:t>
      </w:r>
      <w:r w:rsidRPr="004F6D43">
        <w:rPr>
          <w:b/>
          <w:bCs/>
          <w:lang w:val="ru-RU"/>
        </w:rPr>
        <w:t>123 (ВКР-23)</w:t>
      </w:r>
      <w:r w:rsidRPr="004F6D43">
        <w:rPr>
          <w:lang w:val="ru-RU"/>
        </w:rPr>
        <w:t xml:space="preserve"> и </w:t>
      </w:r>
      <w:r w:rsidRPr="004F6D43">
        <w:rPr>
          <w:b/>
          <w:bCs/>
          <w:lang w:val="ru-RU"/>
        </w:rPr>
        <w:t>169 (Пересм. ВКР-23)</w:t>
      </w:r>
      <w:r w:rsidRPr="004F6D43">
        <w:rPr>
          <w:lang w:val="ru-RU"/>
        </w:rPr>
        <w:t>.</w:t>
      </w:r>
    </w:p>
    <w:p w14:paraId="7A9AAA09" w14:textId="77777777" w:rsidR="004F6D43" w:rsidRDefault="004F6D4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  <w:r>
        <w:rPr>
          <w:lang w:val="ru-RU"/>
        </w:rPr>
        <w:br w:type="page"/>
      </w:r>
    </w:p>
    <w:p w14:paraId="5769B2C4" w14:textId="3431EE95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lastRenderedPageBreak/>
        <w:t>В связи с этим Комитет пришел к заключению, что, когда администрация представляет частотное присвоение A-ESIM с шириной полосы излучения меньше эталонной ширины полосы 14 МГц, она также обязуется осуществлять только одну передачу с этой указанной шириной полосы излучения на любом участке полосы шириной 14 МГц.</w:t>
      </w:r>
    </w:p>
    <w:p w14:paraId="0CFBDD47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Если какая-либо администрация желает одновременно осуществлять несколько передач с шириной полосы излучения меньше эталонной ширины полосы 14 МГц, то следует соответствующим образом изменить характеристики излучения несущей, с тем чтобы указать, что в рамках одного излучения будет использоваться несколько каналов на несущую (см. Приложение </w:t>
      </w:r>
      <w:r w:rsidRPr="004F6D43">
        <w:rPr>
          <w:b/>
          <w:bCs/>
          <w:lang w:val="ru-RU"/>
        </w:rPr>
        <w:t>1</w:t>
      </w:r>
      <w:r w:rsidRPr="004F6D43">
        <w:rPr>
          <w:lang w:val="ru-RU"/>
        </w:rPr>
        <w:t xml:space="preserve"> к Регламенту радиосвязи).</w:t>
      </w:r>
    </w:p>
    <w:p w14:paraId="6F4015ED" w14:textId="77777777" w:rsidR="004F6D43" w:rsidRPr="004F6D43" w:rsidRDefault="004F6D43" w:rsidP="004F6D43">
      <w:pPr>
        <w:pStyle w:val="Headingb0"/>
        <w:rPr>
          <w:lang w:val="ru-RU"/>
        </w:rPr>
      </w:pPr>
      <w:r w:rsidRPr="004F6D43">
        <w:rPr>
          <w:lang w:val="ru-RU"/>
        </w:rPr>
        <w:t>Условия соответствия пределам п.п.м.</w:t>
      </w:r>
    </w:p>
    <w:p w14:paraId="08962335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Методика, приведенная в Дополнении 2 к Резолюции </w:t>
      </w:r>
      <w:r w:rsidRPr="004F6D43">
        <w:rPr>
          <w:b/>
          <w:bCs/>
          <w:lang w:val="ru-RU"/>
        </w:rPr>
        <w:t>121 (ВКР-23)</w:t>
      </w:r>
      <w:r w:rsidRPr="004F6D43">
        <w:rPr>
          <w:lang w:val="ru-RU"/>
        </w:rPr>
        <w:t>, в Дополнении 2 к Резолюции </w:t>
      </w:r>
      <w:r w:rsidRPr="004F6D43">
        <w:rPr>
          <w:b/>
          <w:bCs/>
          <w:lang w:val="ru-RU"/>
        </w:rPr>
        <w:t>123 (ВКР-23)</w:t>
      </w:r>
      <w:r w:rsidRPr="004F6D43">
        <w:rPr>
          <w:lang w:val="ru-RU"/>
        </w:rPr>
        <w:t xml:space="preserve"> или в Рекомендации МСЭ-R S.2158-0, определяет максимальную допустимую мощность </w:t>
      </w:r>
      <w:r w:rsidRPr="004F6D43">
        <w:rPr>
          <w:i/>
          <w:iCs/>
          <w:lang w:val="ru-RU"/>
        </w:rPr>
        <w:t>P</w:t>
      </w:r>
      <w:r w:rsidRPr="004F6D43">
        <w:rPr>
          <w:i/>
          <w:iCs/>
          <w:vertAlign w:val="subscript"/>
          <w:lang w:val="ru-RU"/>
        </w:rPr>
        <w:t>j</w:t>
      </w:r>
      <w:r w:rsidRPr="004F6D43">
        <w:rPr>
          <w:i/>
          <w:iCs/>
          <w:lang w:val="ru-RU"/>
        </w:rPr>
        <w:t xml:space="preserve"> </w:t>
      </w:r>
      <w:r w:rsidRPr="004F6D43">
        <w:rPr>
          <w:lang w:val="ru-RU"/>
        </w:rPr>
        <w:t>для передатчика ESIM-А.</w:t>
      </w:r>
    </w:p>
    <w:p w14:paraId="02D15058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 xml:space="preserve">Затем по методике проводится сравнение вычисленного значения </w:t>
      </w:r>
      <w:r w:rsidRPr="004F6D43">
        <w:rPr>
          <w:i/>
          <w:iCs/>
          <w:lang w:val="ru-RU"/>
        </w:rPr>
        <w:t>P</w:t>
      </w:r>
      <w:r w:rsidRPr="004F6D43">
        <w:rPr>
          <w:i/>
          <w:iCs/>
          <w:vertAlign w:val="subscript"/>
          <w:lang w:val="ru-RU"/>
        </w:rPr>
        <w:t>j</w:t>
      </w:r>
      <w:r w:rsidRPr="004F6D43">
        <w:rPr>
          <w:lang w:val="ru-RU"/>
        </w:rPr>
        <w:t xml:space="preserve"> с диапазоном заявленных уровней мощности излучения ESIM. Значения минимальной и максимальной мощности излучений A</w:t>
      </w:r>
      <w:r w:rsidRPr="004F6D43">
        <w:rPr>
          <w:lang w:val="ru-RU"/>
        </w:rPr>
        <w:noBreakHyphen/>
        <w:t xml:space="preserve">ESIM, </w:t>
      </w:r>
      <w:r w:rsidRPr="004F6D43">
        <w:rPr>
          <w:i/>
          <w:iCs/>
          <w:lang w:val="ru-RU"/>
        </w:rPr>
        <w:t>P</w:t>
      </w:r>
      <w:r w:rsidRPr="004F6D43">
        <w:rPr>
          <w:i/>
          <w:iCs/>
          <w:vertAlign w:val="subscript"/>
          <w:lang w:val="ru-RU"/>
        </w:rPr>
        <w:t>min_emission,j</w:t>
      </w:r>
      <w:r w:rsidRPr="004F6D43">
        <w:rPr>
          <w:lang w:val="ru-RU"/>
        </w:rPr>
        <w:t xml:space="preserve"> и </w:t>
      </w:r>
      <w:r w:rsidRPr="004F6D43">
        <w:rPr>
          <w:i/>
          <w:iCs/>
          <w:lang w:val="ru-RU"/>
        </w:rPr>
        <w:t>P</w:t>
      </w:r>
      <w:r w:rsidRPr="004F6D43">
        <w:rPr>
          <w:i/>
          <w:iCs/>
          <w:vertAlign w:val="subscript"/>
          <w:lang w:val="ru-RU"/>
        </w:rPr>
        <w:t>max_emission,j</w:t>
      </w:r>
      <w:r w:rsidRPr="004F6D43">
        <w:rPr>
          <w:lang w:val="ru-RU"/>
        </w:rPr>
        <w:t>, рассчитываются на основе значений минимальной и максимальной спектральной плотности мощности излучения A-ESIM.</w:t>
      </w:r>
    </w:p>
    <w:p w14:paraId="3303FA44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 xml:space="preserve">Передача A-ESIM разрешается на определенной высоте </w:t>
      </w:r>
      <w:r w:rsidRPr="004F6D43">
        <w:rPr>
          <w:i/>
          <w:iCs/>
          <w:lang w:val="ru-RU"/>
        </w:rPr>
        <w:t>j</w:t>
      </w:r>
      <w:r w:rsidRPr="004F6D43">
        <w:rPr>
          <w:lang w:val="ru-RU"/>
        </w:rPr>
        <w:t>, если выполняется следующее условие:</w:t>
      </w:r>
    </w:p>
    <w:p w14:paraId="3AA4C252" w14:textId="77777777" w:rsidR="004F6D43" w:rsidRPr="004F6D43" w:rsidRDefault="004F6D43" w:rsidP="004F6D43">
      <w:pPr>
        <w:pStyle w:val="Equation"/>
        <w:rPr>
          <w:rFonts w:asciiTheme="minorHAnsi" w:hAnsiTheme="minorHAnsi" w:cstheme="minorHAnsi"/>
          <w:szCs w:val="24"/>
          <w:lang w:val="ru-RU"/>
        </w:rPr>
      </w:pPr>
      <w:r w:rsidRPr="004F6D43">
        <w:rPr>
          <w:lang w:val="ru-RU"/>
        </w:rPr>
        <w:tab/>
      </w:r>
      <w:r w:rsidRPr="004F6D43">
        <w:rPr>
          <w:lang w:val="ru-RU"/>
        </w:rPr>
        <w:tab/>
      </w:r>
      <w:r w:rsidRPr="004F6D43">
        <w:rPr>
          <w:lang w:val="ru-RU"/>
        </w:rPr>
        <w:object w:dxaOrig="3660" w:dyaOrig="400" w14:anchorId="6FC85A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5pt;height:19.5pt" o:ole="">
            <v:imagedata r:id="rId6" o:title=""/>
          </v:shape>
          <o:OLEObject Type="Embed" ProgID="Equation.DSMT4" ShapeID="_x0000_i1025" DrawAspect="Content" ObjectID="_1794805906" r:id="rId7"/>
        </w:object>
      </w:r>
      <w:r w:rsidRPr="004F6D43">
        <w:rPr>
          <w:lang w:val="ru-RU"/>
        </w:rPr>
        <w:t>.</w:t>
      </w:r>
    </w:p>
    <w:p w14:paraId="5DBF966F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 xml:space="preserve">Принимая во внимание, что это условие будет препятствовать использованию высоты </w:t>
      </w:r>
      <w:r w:rsidRPr="004F6D43">
        <w:rPr>
          <w:i/>
          <w:iCs/>
          <w:lang w:val="ru-RU"/>
        </w:rPr>
        <w:t>j</w:t>
      </w:r>
      <w:r w:rsidRPr="004F6D43">
        <w:rPr>
          <w:lang w:val="ru-RU"/>
        </w:rPr>
        <w:t xml:space="preserve"> в случаях, когда допустимая мощность достаточно велика, чтобы позволить работу A-ESIM с максимальной заявленной спектральной плотностью мощности, Комитет принял решение, что Бюро следует также проверять следующее условие:</w:t>
      </w:r>
    </w:p>
    <w:p w14:paraId="19FB0794" w14:textId="77777777" w:rsidR="004F6D43" w:rsidRPr="004F6D43" w:rsidRDefault="004F6D43" w:rsidP="004F6D43">
      <w:pPr>
        <w:pStyle w:val="Equation"/>
        <w:rPr>
          <w:szCs w:val="24"/>
          <w:lang w:val="ru-RU"/>
        </w:rPr>
      </w:pPr>
      <w:r w:rsidRPr="004F6D43">
        <w:rPr>
          <w:lang w:val="ru-RU"/>
        </w:rPr>
        <w:tab/>
      </w:r>
      <w:r w:rsidRPr="004F6D43">
        <w:rPr>
          <w:lang w:val="ru-RU"/>
        </w:rPr>
        <w:tab/>
      </w:r>
      <w:r w:rsidRPr="004F6D43">
        <w:rPr>
          <w:position w:val="-16"/>
          <w:lang w:val="ru-RU"/>
        </w:rPr>
        <w:object w:dxaOrig="2079" w:dyaOrig="400" w14:anchorId="7450C32A">
          <v:shape id="_x0000_i1026" type="#_x0000_t75" style="width:103.5pt;height:19.5pt" o:ole="">
            <v:imagedata r:id="rId8" o:title=""/>
          </v:shape>
          <o:OLEObject Type="Embed" ProgID="Equation.DSMT4" ShapeID="_x0000_i1026" DrawAspect="Content" ObjectID="_1794805907" r:id="rId9"/>
        </w:object>
      </w:r>
      <w:r w:rsidRPr="004F6D43">
        <w:rPr>
          <w:lang w:val="ru-RU"/>
        </w:rPr>
        <w:t>.</w:t>
      </w:r>
    </w:p>
    <w:p w14:paraId="4E5E77C8" w14:textId="77777777" w:rsidR="004F6D43" w:rsidRPr="004F6D43" w:rsidRDefault="004F6D43" w:rsidP="004F6D43">
      <w:pPr>
        <w:rPr>
          <w:lang w:val="ru-RU"/>
        </w:rPr>
      </w:pPr>
      <w:r w:rsidRPr="004F6D43">
        <w:rPr>
          <w:lang w:val="ru-RU"/>
        </w:rPr>
        <w:t>Когда это условие выполняется, подразумевается, что возможно использовать весь диапазон уровней мощности A-ESIM.</w:t>
      </w:r>
    </w:p>
    <w:bookmarkEnd w:id="0"/>
    <w:p w14:paraId="22845F6A" w14:textId="77777777" w:rsidR="002D62BE" w:rsidRPr="004F6D43" w:rsidRDefault="002D62BE" w:rsidP="004F6D43">
      <w:pPr>
        <w:spacing w:before="720"/>
        <w:jc w:val="center"/>
        <w:rPr>
          <w:lang w:val="ru-RU"/>
        </w:rPr>
      </w:pPr>
      <w:r w:rsidRPr="004F6D43">
        <w:rPr>
          <w:lang w:val="ru-RU"/>
        </w:rPr>
        <w:t>______________</w:t>
      </w:r>
    </w:p>
    <w:p w14:paraId="61E9196B" w14:textId="77777777" w:rsidR="002D62BE" w:rsidRPr="004F6D43" w:rsidRDefault="002D62BE" w:rsidP="002D62BE">
      <w:pPr>
        <w:pStyle w:val="TableText"/>
        <w:rPr>
          <w:lang w:val="ru-RU"/>
        </w:rPr>
      </w:pPr>
    </w:p>
    <w:p w14:paraId="4680FB88" w14:textId="77777777" w:rsidR="002D62BE" w:rsidRPr="004F6D43" w:rsidRDefault="002D62BE" w:rsidP="002D62BE">
      <w:pPr>
        <w:pStyle w:val="TableText"/>
        <w:rPr>
          <w:lang w:val="ru-RU"/>
        </w:rPr>
      </w:pPr>
    </w:p>
    <w:p w14:paraId="5D3E6C31" w14:textId="77777777" w:rsidR="002D62BE" w:rsidRPr="004F6D43" w:rsidRDefault="002D62BE" w:rsidP="002D62BE">
      <w:pPr>
        <w:pStyle w:val="TableText"/>
        <w:rPr>
          <w:lang w:val="ru-RU"/>
        </w:rPr>
      </w:pPr>
    </w:p>
    <w:p w14:paraId="3EC98132" w14:textId="77777777" w:rsidR="002D62BE" w:rsidRPr="004F6D43" w:rsidRDefault="002D62BE" w:rsidP="002D62BE">
      <w:pPr>
        <w:pStyle w:val="TableText"/>
        <w:rPr>
          <w:lang w:val="ru-RU"/>
        </w:rPr>
      </w:pPr>
    </w:p>
    <w:p w14:paraId="536E3C7F" w14:textId="77777777" w:rsidR="002D62BE" w:rsidRPr="004F6D43" w:rsidRDefault="002D62BE" w:rsidP="002D62BE">
      <w:pPr>
        <w:pStyle w:val="TableText"/>
        <w:rPr>
          <w:lang w:val="ru-RU"/>
        </w:rPr>
      </w:pPr>
    </w:p>
    <w:p w14:paraId="4713AC1A" w14:textId="77777777" w:rsidR="008C497B" w:rsidRPr="004F6D43" w:rsidRDefault="008C497B" w:rsidP="001E6ED1">
      <w:pPr>
        <w:rPr>
          <w:lang w:val="ru-RU"/>
        </w:rPr>
      </w:pPr>
    </w:p>
    <w:p w14:paraId="58BE44B9" w14:textId="77777777" w:rsidR="008C497B" w:rsidRPr="004F6D43" w:rsidRDefault="008C497B" w:rsidP="001E6ED1">
      <w:pPr>
        <w:rPr>
          <w:lang w:val="ru-RU"/>
        </w:rPr>
      </w:pPr>
    </w:p>
    <w:p w14:paraId="165F60E6" w14:textId="77777777" w:rsidR="008C497B" w:rsidRPr="004F6D43" w:rsidRDefault="008C497B" w:rsidP="001E6ED1">
      <w:pPr>
        <w:rPr>
          <w:lang w:val="ru-RU"/>
        </w:rPr>
        <w:sectPr w:rsidR="008C497B" w:rsidRPr="004F6D43">
          <w:headerReference w:type="even" r:id="rId10"/>
          <w:headerReference w:type="defaul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151C69" w14:textId="77777777" w:rsidR="008C497B" w:rsidRPr="004F6D43" w:rsidRDefault="008C497B" w:rsidP="001E6ED1">
      <w:pPr>
        <w:rPr>
          <w:lang w:val="ru-RU"/>
        </w:rPr>
      </w:pPr>
    </w:p>
    <w:sectPr w:rsidR="008C497B" w:rsidRPr="004F6D43" w:rsidSect="003F4E3E">
      <w:headerReference w:type="first" r:id="rId12"/>
      <w:footerReference w:type="first" r:id="rId13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0DADB5" w14:textId="77777777" w:rsidR="00760EA6" w:rsidRDefault="00760EA6">
      <w:r>
        <w:separator/>
      </w:r>
    </w:p>
  </w:endnote>
  <w:endnote w:type="continuationSeparator" w:id="0">
    <w:p w14:paraId="604C02F6" w14:textId="77777777" w:rsidR="00760EA6" w:rsidRDefault="0076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EAA60" w14:textId="77777777" w:rsidR="00760EA6" w:rsidRDefault="00760E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FE594" w14:textId="77777777" w:rsidR="00760EA6" w:rsidRDefault="00760EA6">
      <w:r>
        <w:rPr>
          <w:b/>
        </w:rPr>
        <w:t>_______________</w:t>
      </w:r>
    </w:p>
  </w:footnote>
  <w:footnote w:type="continuationSeparator" w:id="0">
    <w:p w14:paraId="2FF561CD" w14:textId="77777777" w:rsidR="00760EA6" w:rsidRDefault="00760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60EA6" w14:paraId="4B9FD6F2" w14:textId="77777777" w:rsidTr="009A542D">
      <w:trPr>
        <w:cantSplit/>
      </w:trPr>
      <w:tc>
        <w:tcPr>
          <w:tcW w:w="1701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136649" w14:textId="77777777" w:rsidR="00760EA6" w:rsidRDefault="00760EA6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47C148" w14:textId="2FCA0312" w:rsidR="00760EA6" w:rsidRDefault="00760EA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F64C68">
            <w:rPr>
              <w:noProof/>
            </w:rPr>
            <w:t>B8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CEBAED" w14:textId="77777777"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C643C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7E5F2C8" w14:textId="5C8F8BEF"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</w:t>
          </w:r>
          <w:r w:rsidR="004F6D43">
            <w:t>5</w:t>
          </w:r>
        </w:p>
      </w:tc>
    </w:tr>
  </w:tbl>
  <w:p w14:paraId="4E05D828" w14:textId="77777777" w:rsidR="00760EA6" w:rsidRDefault="00760EA6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60EA6" w14:paraId="7056268C" w14:textId="77777777" w:rsidTr="009A542D">
      <w:trPr>
        <w:cantSplit/>
        <w:jc w:val="right"/>
      </w:trPr>
      <w:tc>
        <w:tcPr>
          <w:tcW w:w="1701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876B9A7" w14:textId="77777777" w:rsidR="00760EA6" w:rsidRDefault="00760EA6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D44A2" w14:textId="21578036" w:rsidR="00760EA6" w:rsidRDefault="00760EA6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F64C68">
            <w:rPr>
              <w:noProof/>
            </w:rPr>
            <w:t>B8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FEFC8D" w14:textId="77777777"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C643C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2B973F" w14:textId="35E2AA9D" w:rsidR="00760EA6" w:rsidRDefault="00760EA6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>
            <w:rPr>
              <w:lang w:val="fr-CH"/>
            </w:rPr>
            <w:t>.</w:t>
          </w:r>
          <w:r w:rsidR="004F6D43">
            <w:t>5</w:t>
          </w:r>
        </w:p>
      </w:tc>
    </w:tr>
  </w:tbl>
  <w:p w14:paraId="3411C0D2" w14:textId="77777777" w:rsidR="00760EA6" w:rsidRDefault="00760E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D9A55" w14:textId="77777777" w:rsidR="00760EA6" w:rsidRDefault="00760E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mirrorMargin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97B"/>
    <w:rsid w:val="0000253A"/>
    <w:rsid w:val="000349FB"/>
    <w:rsid w:val="00091804"/>
    <w:rsid w:val="000B423B"/>
    <w:rsid w:val="000B6931"/>
    <w:rsid w:val="00163C61"/>
    <w:rsid w:val="001901DB"/>
    <w:rsid w:val="001C4E64"/>
    <w:rsid w:val="001E6ED1"/>
    <w:rsid w:val="001F3D16"/>
    <w:rsid w:val="00291989"/>
    <w:rsid w:val="002A28A7"/>
    <w:rsid w:val="002D62BE"/>
    <w:rsid w:val="00362167"/>
    <w:rsid w:val="00382D44"/>
    <w:rsid w:val="00391895"/>
    <w:rsid w:val="003F4E3E"/>
    <w:rsid w:val="004265D0"/>
    <w:rsid w:val="00482885"/>
    <w:rsid w:val="004E6CE6"/>
    <w:rsid w:val="004F6D43"/>
    <w:rsid w:val="005C1FCD"/>
    <w:rsid w:val="005C682A"/>
    <w:rsid w:val="00653CBA"/>
    <w:rsid w:val="006C643C"/>
    <w:rsid w:val="0073596C"/>
    <w:rsid w:val="00760EA6"/>
    <w:rsid w:val="007A5970"/>
    <w:rsid w:val="008028F1"/>
    <w:rsid w:val="0080313F"/>
    <w:rsid w:val="00826A17"/>
    <w:rsid w:val="00894163"/>
    <w:rsid w:val="008C497B"/>
    <w:rsid w:val="00924A26"/>
    <w:rsid w:val="00962F14"/>
    <w:rsid w:val="009A542D"/>
    <w:rsid w:val="00AF1C6C"/>
    <w:rsid w:val="00B004F1"/>
    <w:rsid w:val="00B0159C"/>
    <w:rsid w:val="00B239F3"/>
    <w:rsid w:val="00B517A2"/>
    <w:rsid w:val="00B86F8B"/>
    <w:rsid w:val="00C12B1E"/>
    <w:rsid w:val="00C22E54"/>
    <w:rsid w:val="00C45A32"/>
    <w:rsid w:val="00C81E8C"/>
    <w:rsid w:val="00CA0E7E"/>
    <w:rsid w:val="00CD1885"/>
    <w:rsid w:val="00D13B2F"/>
    <w:rsid w:val="00D37662"/>
    <w:rsid w:val="00D550DD"/>
    <w:rsid w:val="00EA00A7"/>
    <w:rsid w:val="00F00A56"/>
    <w:rsid w:val="00F44A8C"/>
    <w:rsid w:val="00F64C68"/>
    <w:rsid w:val="00F8551E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894A6A6"/>
  <w15:docId w15:val="{9019B02E-C8DB-4ACF-BCBF-0CE586B1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1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962F14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rsid w:val="00962F14"/>
    <w:pPr>
      <w:spacing w:before="360"/>
      <w:outlineLvl w:val="2"/>
    </w:p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rPr>
      <w:b/>
      <w:color w:val="FFCC00"/>
    </w:rPr>
  </w:style>
  <w:style w:type="character" w:customStyle="1" w:styleId="Appref">
    <w:name w:val="App_ref"/>
    <w:rPr>
      <w:color w:val="3366FF"/>
    </w:rPr>
  </w:style>
  <w:style w:type="character" w:customStyle="1" w:styleId="Artdef">
    <w:name w:val="Art_def"/>
    <w:rPr>
      <w:b/>
      <w:color w:val="FFCC00"/>
    </w:rPr>
  </w:style>
  <w:style w:type="character" w:customStyle="1" w:styleId="Artref">
    <w:name w:val="Art_ref"/>
    <w:rPr>
      <w:color w:val="3366FF"/>
    </w:rPr>
  </w:style>
  <w:style w:type="character" w:customStyle="1" w:styleId="Recdef">
    <w:name w:val="Rec_def"/>
    <w:rPr>
      <w:b/>
      <w:color w:val="FFCC00"/>
    </w:rPr>
  </w:style>
  <w:style w:type="character" w:customStyle="1" w:styleId="Recref">
    <w:name w:val="Rec_ref"/>
    <w:rPr>
      <w:color w:val="3366FF"/>
    </w:rPr>
  </w:style>
  <w:style w:type="character" w:customStyle="1" w:styleId="Resdef">
    <w:name w:val="Res_def"/>
    <w:rPr>
      <w:b/>
      <w:color w:val="FFCC00"/>
    </w:rPr>
  </w:style>
  <w:style w:type="character" w:customStyle="1" w:styleId="Resref">
    <w:name w:val="Res_ref"/>
    <w:rPr>
      <w:color w:val="3366FF"/>
    </w:rPr>
  </w:style>
  <w:style w:type="character" w:customStyle="1" w:styleId="Tableref0">
    <w:name w:val="Table_ref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Artdef0">
    <w:name w:val="Art#_def"/>
    <w:rPr>
      <w:rFonts w:ascii="Times New Roman" w:hAnsi="Times New Roman"/>
      <w:b/>
    </w:rPr>
  </w:style>
  <w:style w:type="character" w:customStyle="1" w:styleId="Appdef0">
    <w:name w:val="App#_def"/>
    <w:rPr>
      <w:rFonts w:ascii="Times New Roman" w:hAnsi="Times New Roman"/>
      <w:b/>
    </w:rPr>
  </w:style>
  <w:style w:type="character" w:customStyle="1" w:styleId="Recdef0">
    <w:name w:val="Rec#_def"/>
    <w:basedOn w:val="DefaultParagraphFont"/>
  </w:style>
  <w:style w:type="character" w:customStyle="1" w:styleId="Recref0">
    <w:name w:val="Rec#_ref"/>
    <w:basedOn w:val="DefaultParagraphFont"/>
  </w:style>
  <w:style w:type="character" w:customStyle="1" w:styleId="Resdef0">
    <w:name w:val="Res#_def"/>
    <w:rPr>
      <w:rFonts w:ascii="Times New Roman" w:hAnsi="Times New Roman"/>
      <w:b/>
    </w:rPr>
  </w:style>
  <w:style w:type="character" w:customStyle="1" w:styleId="Resref0">
    <w:name w:val="Res#_ref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</w:rPr>
  </w:style>
  <w:style w:type="character" w:customStyle="1" w:styleId="Heading1Char">
    <w:name w:val="Heading 1 Char"/>
    <w:link w:val="Heading1"/>
    <w:rsid w:val="00962F14"/>
    <w:rPr>
      <w:b/>
      <w:sz w:val="26"/>
      <w:lang w:val="en-GB" w:eastAsia="en-US"/>
    </w:rPr>
  </w:style>
  <w:style w:type="character" w:customStyle="1" w:styleId="TabletextChar">
    <w:name w:val="Table_text Char"/>
    <w:link w:val="Tabletext0"/>
    <w:rsid w:val="002D62BE"/>
    <w:rPr>
      <w:sz w:val="22"/>
      <w:lang w:val="fr-FR" w:eastAsia="en-US"/>
    </w:rPr>
  </w:style>
  <w:style w:type="paragraph" w:customStyle="1" w:styleId="Normalaftertitle0">
    <w:name w:val="Normal_after_title"/>
    <w:basedOn w:val="Normal"/>
    <w:next w:val="Normal"/>
    <w:rsid w:val="004F6D43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360"/>
      <w:jc w:val="left"/>
    </w:pPr>
    <w:rPr>
      <w:lang w:val="ru-RU"/>
    </w:rPr>
  </w:style>
  <w:style w:type="paragraph" w:customStyle="1" w:styleId="Sectiontitle">
    <w:name w:val="Section_title"/>
    <w:basedOn w:val="Normal"/>
    <w:next w:val="Normalaftertitle0"/>
    <w:rsid w:val="004F6D43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napToGrid w:val="0"/>
      <w:spacing w:before="480" w:after="280"/>
      <w:jc w:val="center"/>
    </w:pPr>
    <w:rPr>
      <w:rFonts w:ascii="Calibri" w:hAnsi="Calibri"/>
      <w:b/>
      <w:sz w:val="26"/>
      <w:lang w:val="ru-RU"/>
    </w:rPr>
  </w:style>
  <w:style w:type="character" w:styleId="Hyperlink">
    <w:name w:val="Hyperlink"/>
    <w:basedOn w:val="DefaultParagraphFont"/>
    <w:qFormat/>
    <w:rsid w:val="004F6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19</TotalTime>
  <Pages>3</Pages>
  <Words>503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CP--107223/DD</Manager>
  <Company>ITU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2021 г.</dc:title>
  <dc:subject>SECB6 du RR</dc:subject>
  <dc:creator>Composition des Publications</dc:creator>
  <cp:keywords/>
  <dc:description>РАЗДЕЛ  B8</dc:description>
  <cp:lastModifiedBy>Berdyeva, Elena</cp:lastModifiedBy>
  <cp:revision>26</cp:revision>
  <cp:lastPrinted>2024-12-04T07:23:00Z</cp:lastPrinted>
  <dcterms:created xsi:type="dcterms:W3CDTF">2012-09-05T10:26:00Z</dcterms:created>
  <dcterms:modified xsi:type="dcterms:W3CDTF">2024-12-04T07:24:00Z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