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BA091E" w14:textId="77777777" w:rsidR="00915F8E" w:rsidRPr="00BE0DD6" w:rsidRDefault="00915F8E" w:rsidP="00915F8E">
      <w:pPr>
        <w:rPr>
          <w:sz w:val="16"/>
          <w:szCs w:val="16"/>
          <w:lang w:val="ru-RU"/>
        </w:rPr>
      </w:pPr>
      <w:r w:rsidRPr="00BE0DD6">
        <w:rPr>
          <w:sz w:val="16"/>
          <w:szCs w:val="16"/>
          <w:lang w:val="ru-RU"/>
        </w:rPr>
        <w:t>(ADD RRB24/510)</w:t>
      </w:r>
    </w:p>
    <w:p w14:paraId="61789D6B" w14:textId="1EBEF12F" w:rsidR="0062342F" w:rsidRPr="00BE0DD6" w:rsidRDefault="004922A2" w:rsidP="00915F8E">
      <w:pPr>
        <w:pStyle w:val="Heading1"/>
        <w:spacing w:before="300"/>
        <w:ind w:left="0" w:firstLine="0"/>
        <w:jc w:val="center"/>
        <w:rPr>
          <w:lang w:val="ru-RU"/>
        </w:rPr>
      </w:pPr>
      <w:r w:rsidRPr="00BE0DD6">
        <w:rPr>
          <w:szCs w:val="26"/>
          <w:lang w:val="ru-RU"/>
        </w:rPr>
        <w:t>Правила, касающиеся</w:t>
      </w:r>
      <w:r w:rsidR="00915F8E" w:rsidRPr="00BE0DD6">
        <w:rPr>
          <w:szCs w:val="26"/>
          <w:lang w:val="ru-RU"/>
        </w:rPr>
        <w:br/>
      </w:r>
      <w:r w:rsidR="00915F8E" w:rsidRPr="00BE0DD6">
        <w:rPr>
          <w:szCs w:val="26"/>
          <w:lang w:val="ru-RU"/>
        </w:rPr>
        <w:br/>
      </w:r>
      <w:r w:rsidR="0062342F" w:rsidRPr="00BE0DD6">
        <w:rPr>
          <w:lang w:val="ru-RU"/>
        </w:rPr>
        <w:t xml:space="preserve">РЕЗОЛЮЦИИ </w:t>
      </w:r>
      <w:r w:rsidR="00F57E95" w:rsidRPr="00BE0DD6">
        <w:rPr>
          <w:lang w:val="ru-RU"/>
        </w:rPr>
        <w:t>123</w:t>
      </w:r>
      <w:r w:rsidR="0062342F" w:rsidRPr="00BE0DD6">
        <w:rPr>
          <w:lang w:val="ru-RU"/>
        </w:rPr>
        <w:t xml:space="preserve"> (ВКР-</w:t>
      </w:r>
      <w:r w:rsidR="00F57E95" w:rsidRPr="00BE0DD6">
        <w:rPr>
          <w:lang w:val="ru-RU"/>
        </w:rPr>
        <w:t>23</w:t>
      </w:r>
      <w:r w:rsidR="0062342F" w:rsidRPr="00BE0DD6">
        <w:rPr>
          <w:lang w:val="ru-RU"/>
        </w:rPr>
        <w:t>)</w:t>
      </w:r>
    </w:p>
    <w:p w14:paraId="4B10180D" w14:textId="7AE2CF24" w:rsidR="00F57E95" w:rsidRPr="00BE0DD6" w:rsidRDefault="00F57E95" w:rsidP="00F57E95">
      <w:pPr>
        <w:pStyle w:val="Restitle"/>
        <w:rPr>
          <w:noProof w:val="0"/>
          <w:lang w:val="ru-RU"/>
        </w:rPr>
      </w:pPr>
      <w:r w:rsidRPr="00BE0DD6">
        <w:rPr>
          <w:noProof w:val="0"/>
          <w:lang w:val="ru-RU"/>
        </w:rPr>
        <w:t xml:space="preserve">Использование полос частот 17,7–18,6 ГГц, 18,8–19,3 ГГц, </w:t>
      </w:r>
      <w:proofErr w:type="gramStart"/>
      <w:r w:rsidRPr="00BE0DD6">
        <w:rPr>
          <w:noProof w:val="0"/>
          <w:lang w:val="ru-RU"/>
        </w:rPr>
        <w:t>19,7</w:t>
      </w:r>
      <w:r w:rsidR="004A0EBB" w:rsidRPr="00BE0DD6">
        <w:rPr>
          <w:noProof w:val="0"/>
          <w:lang w:val="ru-RU"/>
        </w:rPr>
        <w:t>−</w:t>
      </w:r>
      <w:r w:rsidRPr="00BE0DD6">
        <w:rPr>
          <w:noProof w:val="0"/>
          <w:lang w:val="ru-RU"/>
        </w:rPr>
        <w:t>20,2</w:t>
      </w:r>
      <w:proofErr w:type="gramEnd"/>
      <w:r w:rsidR="004A0EBB" w:rsidRPr="00BE0DD6">
        <w:rPr>
          <w:noProof w:val="0"/>
          <w:lang w:val="ru-RU"/>
        </w:rPr>
        <w:t> </w:t>
      </w:r>
      <w:r w:rsidRPr="00BE0DD6">
        <w:rPr>
          <w:noProof w:val="0"/>
          <w:lang w:val="ru-RU"/>
        </w:rPr>
        <w:t>ГГц (</w:t>
      </w:r>
      <w:proofErr w:type="spellStart"/>
      <w:r w:rsidRPr="00BE0DD6">
        <w:rPr>
          <w:noProof w:val="0"/>
          <w:lang w:val="ru-RU"/>
        </w:rPr>
        <w:t>космос­Земля</w:t>
      </w:r>
      <w:proofErr w:type="spellEnd"/>
      <w:r w:rsidRPr="00BE0DD6">
        <w:rPr>
          <w:noProof w:val="0"/>
          <w:lang w:val="ru-RU"/>
        </w:rPr>
        <w:t>) и 27,5–29,1 ГГц и 29,5–30 ГГц (Земля</w:t>
      </w:r>
      <w:r w:rsidR="004A0EBB" w:rsidRPr="00BE0DD6">
        <w:rPr>
          <w:noProof w:val="0"/>
          <w:lang w:val="ru-RU"/>
        </w:rPr>
        <w:t>‑</w:t>
      </w:r>
      <w:r w:rsidRPr="00BE0DD6">
        <w:rPr>
          <w:noProof w:val="0"/>
          <w:lang w:val="ru-RU"/>
        </w:rPr>
        <w:t>космос) воздушными и морскими земными станциями, находящимися в движении, которые взаимодействуют с негеостационарными космическими станциями фиксированной спутниковой службы</w:t>
      </w:r>
    </w:p>
    <w:p w14:paraId="43778503" w14:textId="77777777" w:rsidR="00F57E95" w:rsidRPr="00BE0DD6" w:rsidRDefault="00F57E95" w:rsidP="00F57E95">
      <w:pPr>
        <w:pStyle w:val="Normalaftertitle0"/>
        <w:jc w:val="both"/>
        <w:rPr>
          <w:rFonts w:ascii="Times New Roman" w:hAnsi="Times New Roman"/>
        </w:rPr>
      </w:pPr>
      <w:r w:rsidRPr="00BE0DD6">
        <w:rPr>
          <w:rFonts w:ascii="Times New Roman" w:hAnsi="Times New Roman"/>
        </w:rPr>
        <w:t>1</w:t>
      </w:r>
      <w:r w:rsidRPr="00BE0DD6">
        <w:rPr>
          <w:rFonts w:ascii="Times New Roman" w:hAnsi="Times New Roman"/>
        </w:rPr>
        <w:tab/>
        <w:t xml:space="preserve">Комитет отметил, что в пункте 2 раздела </w:t>
      </w:r>
      <w:r w:rsidRPr="00BE0DD6">
        <w:rPr>
          <w:rFonts w:ascii="Times New Roman" w:hAnsi="Times New Roman"/>
          <w:i/>
          <w:iCs/>
        </w:rPr>
        <w:t>решает</w:t>
      </w:r>
      <w:r w:rsidRPr="00BE0DD6">
        <w:rPr>
          <w:rFonts w:ascii="Times New Roman" w:hAnsi="Times New Roman"/>
        </w:rPr>
        <w:t xml:space="preserve"> Резолюции </w:t>
      </w:r>
      <w:r w:rsidRPr="00BE0DD6">
        <w:rPr>
          <w:rFonts w:ascii="Times New Roman" w:hAnsi="Times New Roman"/>
          <w:b/>
          <w:bCs/>
        </w:rPr>
        <w:t>123 (ВКР-23)</w:t>
      </w:r>
      <w:r w:rsidRPr="00BE0DD6">
        <w:rPr>
          <w:rFonts w:ascii="Times New Roman" w:hAnsi="Times New Roman"/>
        </w:rPr>
        <w:t xml:space="preserve"> содержится требование о том, что характеристики земной станции, находящейся в движении (ESIM), должны оставаться в пределах характеристик типовых земных станций, связанных с системой на негеостационарной спутниковой орбите (НГСО) фиксированной спутниковой службы (ФСС), с которыми взаимодействуют ESIM, включая любое применимое координационное соглашение.</w:t>
      </w:r>
    </w:p>
    <w:p w14:paraId="5B369935" w14:textId="77777777" w:rsidR="00F57E95" w:rsidRPr="00BE0DD6" w:rsidRDefault="00F57E95" w:rsidP="00F57E95">
      <w:pPr>
        <w:rPr>
          <w:lang w:val="ru-RU"/>
        </w:rPr>
      </w:pPr>
      <w:r w:rsidRPr="00BE0DD6">
        <w:rPr>
          <w:lang w:val="ru-RU"/>
        </w:rPr>
        <w:t>1.1</w:t>
      </w:r>
      <w:r w:rsidRPr="00BE0DD6">
        <w:rPr>
          <w:lang w:val="ru-RU"/>
        </w:rPr>
        <w:tab/>
        <w:t xml:space="preserve">Для применения пункта 2 раздела </w:t>
      </w:r>
      <w:r w:rsidRPr="00BE0DD6">
        <w:rPr>
          <w:i/>
          <w:iCs/>
          <w:lang w:val="ru-RU"/>
        </w:rPr>
        <w:t>решает</w:t>
      </w:r>
      <w:r w:rsidRPr="00BE0DD6">
        <w:rPr>
          <w:lang w:val="ru-RU"/>
        </w:rPr>
        <w:t xml:space="preserve"> Комитет решил, что Бюро должно определить, находятся ли характеристики ESIM в пределах характеристик типовых земных станций, связанных со спутниковой системой, с которыми взаимодействуют эти воздушные и/или морские ESIM, с использованием метода, содержащегося в § 2.3 Правила процедуры по п. </w:t>
      </w:r>
      <w:r w:rsidRPr="00BE0DD6">
        <w:rPr>
          <w:b/>
          <w:bCs/>
          <w:lang w:val="ru-RU"/>
        </w:rPr>
        <w:t>9.27</w:t>
      </w:r>
      <w:r w:rsidRPr="00BE0DD6">
        <w:rPr>
          <w:lang w:val="ru-RU"/>
        </w:rPr>
        <w:t>. В случаях, когда такое рассмотрение указывает на то, что требования по координации частотных присвоений воздушных и/или морских ESIM включают любую дополнительную спутниковую сеть или систему, частотные присвоения воздушным и/или морским ESIM будут возвращены заявляющей администрации вместе с неблагоприятным заключением согласно п. </w:t>
      </w:r>
      <w:r w:rsidRPr="00BE0DD6">
        <w:rPr>
          <w:b/>
          <w:bCs/>
          <w:lang w:val="ru-RU"/>
        </w:rPr>
        <w:t>11.32</w:t>
      </w:r>
      <w:r w:rsidRPr="00BE0DD6">
        <w:rPr>
          <w:lang w:val="ru-RU"/>
        </w:rPr>
        <w:t>. Результаты рассмотрения Бюро должны быть опубликованы в его Международном информационном циркуляре по частотам (ИФИК БР).</w:t>
      </w:r>
    </w:p>
    <w:p w14:paraId="58A06D47" w14:textId="77777777" w:rsidR="00F57E95" w:rsidRPr="00BE0DD6" w:rsidRDefault="00F57E95" w:rsidP="00F57E95">
      <w:pPr>
        <w:rPr>
          <w:rFonts w:cstheme="minorHAnsi"/>
          <w:szCs w:val="22"/>
          <w:lang w:val="ru-RU"/>
        </w:rPr>
      </w:pPr>
      <w:r w:rsidRPr="00BE0DD6">
        <w:rPr>
          <w:szCs w:val="28"/>
          <w:lang w:val="ru-RU"/>
        </w:rPr>
        <w:t>1.2</w:t>
      </w:r>
      <w:r w:rsidRPr="00BE0DD6">
        <w:rPr>
          <w:szCs w:val="28"/>
          <w:lang w:val="ru-RU"/>
        </w:rPr>
        <w:tab/>
      </w:r>
      <w:r w:rsidRPr="00BE0DD6">
        <w:rPr>
          <w:rFonts w:cstheme="minorHAnsi"/>
          <w:szCs w:val="22"/>
          <w:lang w:val="ru-RU"/>
        </w:rPr>
        <w:t>В дополнение к процедуре, указанной в § 1.1, выше, в случаях, когда ESIM работают в полосах частот 27,5−28,6 ГГц и 29,5−30 ГГц (Земля-Космос), Комитет пришел к заключению, что минимальный угол места, представленный для ESIM (см. элемент данных A.36.a) Приложения </w:t>
      </w:r>
      <w:r w:rsidRPr="00BE0DD6">
        <w:rPr>
          <w:rFonts w:cstheme="minorHAnsi"/>
          <w:b/>
          <w:bCs/>
          <w:szCs w:val="22"/>
          <w:lang w:val="ru-RU"/>
        </w:rPr>
        <w:t>4</w:t>
      </w:r>
      <w:r w:rsidRPr="00BE0DD6">
        <w:rPr>
          <w:rFonts w:cstheme="minorHAnsi"/>
          <w:szCs w:val="22"/>
          <w:lang w:val="ru-RU"/>
        </w:rPr>
        <w:t>), должен быть больше или равен минимальному углу места, представленному для связанной группы частотных присвоений системе НГСО ФСС (см. элемент данных A.4.b.7.c</w:t>
      </w:r>
      <w:r w:rsidRPr="00BE0DD6">
        <w:rPr>
          <w:rFonts w:cstheme="minorHAnsi"/>
          <w:i/>
          <w:iCs/>
          <w:szCs w:val="22"/>
          <w:lang w:val="ru-RU"/>
        </w:rPr>
        <w:t>bis</w:t>
      </w:r>
      <w:r w:rsidRPr="00BE0DD6">
        <w:rPr>
          <w:rFonts w:cstheme="minorHAnsi"/>
          <w:szCs w:val="22"/>
          <w:lang w:val="ru-RU"/>
        </w:rPr>
        <w:t xml:space="preserve"> Приложения </w:t>
      </w:r>
      <w:r w:rsidRPr="00BE0DD6">
        <w:rPr>
          <w:rFonts w:cstheme="minorHAnsi"/>
          <w:b/>
          <w:bCs/>
          <w:szCs w:val="22"/>
          <w:lang w:val="ru-RU"/>
        </w:rPr>
        <w:t>4</w:t>
      </w:r>
      <w:r w:rsidRPr="00BE0DD6">
        <w:rPr>
          <w:rFonts w:cstheme="minorHAnsi"/>
          <w:szCs w:val="22"/>
          <w:lang w:val="ru-RU"/>
        </w:rPr>
        <w:t xml:space="preserve">), для того чтобы обеспечить соответствие ESIM пределам </w:t>
      </w:r>
      <w:proofErr w:type="spellStart"/>
      <w:r w:rsidRPr="00BE0DD6">
        <w:rPr>
          <w:rFonts w:cstheme="minorHAnsi"/>
          <w:szCs w:val="22"/>
          <w:lang w:val="ru-RU"/>
        </w:rPr>
        <w:t>э.п.п.м</w:t>
      </w:r>
      <w:proofErr w:type="spellEnd"/>
      <w:r w:rsidRPr="00BE0DD6">
        <w:rPr>
          <w:rFonts w:cstheme="minorHAnsi"/>
          <w:szCs w:val="22"/>
          <w:lang w:val="ru-RU"/>
        </w:rPr>
        <w:t>., установленным в п. </w:t>
      </w:r>
      <w:r w:rsidRPr="00BE0DD6">
        <w:rPr>
          <w:rFonts w:cstheme="minorHAnsi"/>
          <w:b/>
          <w:bCs/>
          <w:szCs w:val="22"/>
          <w:lang w:val="ru-RU"/>
        </w:rPr>
        <w:t>22.5D</w:t>
      </w:r>
      <w:r w:rsidRPr="00BE0DD6">
        <w:rPr>
          <w:rFonts w:cstheme="minorHAnsi"/>
          <w:szCs w:val="22"/>
          <w:lang w:val="ru-RU"/>
        </w:rPr>
        <w:t>.</w:t>
      </w:r>
    </w:p>
    <w:p w14:paraId="1D8D33A2" w14:textId="77777777" w:rsidR="00F57E95" w:rsidRPr="00BE0DD6" w:rsidRDefault="00F57E95" w:rsidP="00F57E95">
      <w:pPr>
        <w:rPr>
          <w:lang w:val="ru-RU"/>
        </w:rPr>
      </w:pPr>
      <w:r w:rsidRPr="00BE0DD6">
        <w:rPr>
          <w:lang w:val="ru-RU"/>
        </w:rPr>
        <w:t>Комитет отметил, что для воздушных ESIM эталонное минимальное значение угла места типовых земных станций взаимодействующей системы НГСО ФСС с корректировкой до высоты 15 км будет больше, чем значение, соответствующее высоте 0 км, при условии что с космической станции НГСО сохраняется аналогичный угол обзора.</w:t>
      </w:r>
    </w:p>
    <w:p w14:paraId="77CA7FBA" w14:textId="77777777" w:rsidR="00BE0DD6" w:rsidRPr="00BE0DD6" w:rsidRDefault="00BE0DD6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jc w:val="left"/>
        <w:textAlignment w:val="auto"/>
        <w:rPr>
          <w:rFonts w:cs="Calibri"/>
          <w:i/>
          <w:iCs/>
          <w:lang w:val="ru-RU"/>
        </w:rPr>
      </w:pPr>
      <w:bookmarkStart w:id="0" w:name="lt_pId180"/>
      <w:r w:rsidRPr="00BE0DD6">
        <w:rPr>
          <w:rFonts w:cs="Calibri"/>
          <w:i/>
          <w:iCs/>
          <w:lang w:val="ru-RU"/>
        </w:rPr>
        <w:br w:type="page"/>
      </w:r>
    </w:p>
    <w:bookmarkEnd w:id="0"/>
    <w:p w14:paraId="5F807B3C" w14:textId="77777777" w:rsidR="00F57E95" w:rsidRPr="00BE0DD6" w:rsidRDefault="00F57E95" w:rsidP="00F57E95">
      <w:pPr>
        <w:rPr>
          <w:lang w:val="ru-RU"/>
        </w:rPr>
      </w:pPr>
      <w:r w:rsidRPr="00BE0DD6">
        <w:rPr>
          <w:iCs/>
          <w:lang w:val="ru-RU"/>
        </w:rPr>
        <w:lastRenderedPageBreak/>
        <w:t>2</w:t>
      </w:r>
      <w:r w:rsidRPr="00BE0DD6">
        <w:rPr>
          <w:iCs/>
          <w:lang w:val="ru-RU"/>
        </w:rPr>
        <w:tab/>
      </w:r>
      <w:r w:rsidRPr="00BE0DD6">
        <w:rPr>
          <w:lang w:val="ru-RU"/>
        </w:rPr>
        <w:t xml:space="preserve">Комитет отметил, что пункт 3.5 раздела </w:t>
      </w:r>
      <w:r w:rsidRPr="00BE0DD6">
        <w:rPr>
          <w:i/>
          <w:iCs/>
          <w:lang w:val="ru-RU"/>
        </w:rPr>
        <w:t>решает</w:t>
      </w:r>
      <w:r w:rsidRPr="00BE0DD6">
        <w:rPr>
          <w:lang w:val="ru-RU"/>
        </w:rPr>
        <w:t xml:space="preserve"> Резолюции </w:t>
      </w:r>
      <w:r w:rsidRPr="00BE0DD6">
        <w:rPr>
          <w:b/>
          <w:bCs/>
          <w:lang w:val="ru-RU"/>
        </w:rPr>
        <w:t>123 (ВКР-23)</w:t>
      </w:r>
      <w:r w:rsidRPr="00BE0DD6">
        <w:rPr>
          <w:lang w:val="ru-RU"/>
        </w:rPr>
        <w:t xml:space="preserve"> требует, чтобы в отношении защиты спутниковой службы исследования Земли (пассивной), работающей в полосе частот 18,6−18,8 ГГц, любая система НГСО ФСС с апогеем орбиты менее 20 000 км, работающая в полосах частот 18,3−18,6 ГГц и 18,8−19,1 ГГц, с которой взаимодействуют воздушные и/или морские ESIM</w:t>
      </w:r>
      <w:r w:rsidRPr="00BE0DD6">
        <w:rPr>
          <w:iCs/>
          <w:lang w:val="ru-RU"/>
        </w:rPr>
        <w:t xml:space="preserve"> и полную информацию для заявления которой Бюро получило после </w:t>
      </w:r>
      <w:r w:rsidRPr="00BE0DD6">
        <w:rPr>
          <w:lang w:val="ru-RU"/>
        </w:rPr>
        <w:t>1 января 2025 года</w:t>
      </w:r>
      <w:r w:rsidRPr="00BE0DD6">
        <w:rPr>
          <w:iCs/>
          <w:lang w:val="ru-RU"/>
        </w:rPr>
        <w:t>, должна соответствовать положениям, указанным в Дополнении 3 к этой Резолюции</w:t>
      </w:r>
      <w:r w:rsidRPr="00BE0DD6">
        <w:rPr>
          <w:lang w:val="ru-RU"/>
        </w:rPr>
        <w:t>. Учитывая, что датой вступления в силу Резолюции </w:t>
      </w:r>
      <w:r w:rsidRPr="00BE0DD6">
        <w:rPr>
          <w:b/>
          <w:bCs/>
          <w:lang w:val="ru-RU"/>
        </w:rPr>
        <w:t>123 (ВКР-23)</w:t>
      </w:r>
      <w:r w:rsidRPr="00BE0DD6">
        <w:rPr>
          <w:lang w:val="ru-RU"/>
        </w:rPr>
        <w:t xml:space="preserve"> является 1 января 2025 года, Комитет пришел к заключению, что данное положение применяется к любой системе НГСО ФСС с апогеем орбиты менее 20 000 км, работающей в полосах частот 18,3–18,6 ГГц и 18,8–19,1 ГГц, с которой взаимодействуют воздушные и/или морские ESIM и информация для заявления которой была получена Бюро по состоянию на 1 января 2025 года, а не только после этой даты.</w:t>
      </w:r>
    </w:p>
    <w:p w14:paraId="4C4EE5A5" w14:textId="77777777" w:rsidR="00F57E95" w:rsidRPr="00BE0DD6" w:rsidRDefault="00F57E95" w:rsidP="00F57E95">
      <w:pPr>
        <w:rPr>
          <w:lang w:val="ru-RU"/>
        </w:rPr>
      </w:pPr>
      <w:r w:rsidRPr="00BE0DD6">
        <w:rPr>
          <w:lang w:val="ru-RU"/>
        </w:rPr>
        <w:t>3</w:t>
      </w:r>
      <w:r w:rsidRPr="00BE0DD6">
        <w:rPr>
          <w:lang w:val="ru-RU"/>
        </w:rPr>
        <w:tab/>
        <w:t xml:space="preserve">Кроме того, Комитет пришел к выводу, что Бюро должно рассмотреть характеристики воздушных ESIM в отношении соответствия пределам </w:t>
      </w:r>
      <w:proofErr w:type="spellStart"/>
      <w:r w:rsidRPr="00BE0DD6">
        <w:rPr>
          <w:lang w:val="ru-RU"/>
        </w:rPr>
        <w:t>п.п.м</w:t>
      </w:r>
      <w:proofErr w:type="spellEnd"/>
      <w:r w:rsidRPr="00BE0DD6">
        <w:rPr>
          <w:lang w:val="ru-RU"/>
        </w:rPr>
        <w:t>. на поверхности Земли, указанным в Части II Дополнения 1 к Резолюции </w:t>
      </w:r>
      <w:r w:rsidRPr="00BE0DD6">
        <w:rPr>
          <w:b/>
          <w:bCs/>
          <w:lang w:val="ru-RU"/>
        </w:rPr>
        <w:t>123 (ВКР-23)</w:t>
      </w:r>
      <w:r w:rsidRPr="00BE0DD6">
        <w:rPr>
          <w:lang w:val="ru-RU"/>
        </w:rPr>
        <w:t xml:space="preserve">, используя методику, изложенную в Правиле процедуры по расчету </w:t>
      </w:r>
      <w:bookmarkStart w:id="1" w:name="_Hlk173402616"/>
      <w:r w:rsidRPr="00BE0DD6">
        <w:rPr>
          <w:lang w:val="ru-RU"/>
        </w:rPr>
        <w:t xml:space="preserve">уровней плотности потока мощности, создаваемых воздушными </w:t>
      </w:r>
      <w:bookmarkEnd w:id="1"/>
      <w:r w:rsidRPr="00BE0DD6">
        <w:rPr>
          <w:lang w:val="ru-RU"/>
        </w:rPr>
        <w:t>ESIM, и их проверке с учетом пределов, указанных в Дополнении 3 к Резолюции </w:t>
      </w:r>
      <w:r w:rsidRPr="00BE0DD6">
        <w:rPr>
          <w:b/>
          <w:bCs/>
          <w:lang w:val="ru-RU"/>
        </w:rPr>
        <w:t>169 (</w:t>
      </w:r>
      <w:proofErr w:type="spellStart"/>
      <w:r w:rsidRPr="00BE0DD6">
        <w:rPr>
          <w:b/>
          <w:bCs/>
          <w:lang w:val="ru-RU"/>
        </w:rPr>
        <w:t>Пересм</w:t>
      </w:r>
      <w:proofErr w:type="spellEnd"/>
      <w:r w:rsidRPr="00BE0DD6">
        <w:rPr>
          <w:b/>
          <w:bCs/>
          <w:lang w:val="ru-RU"/>
        </w:rPr>
        <w:t>. ВКР-23)</w:t>
      </w:r>
      <w:r w:rsidRPr="00BE0DD6">
        <w:rPr>
          <w:lang w:val="ru-RU"/>
        </w:rPr>
        <w:t>, Дополнении 2 к Резолюции </w:t>
      </w:r>
      <w:r w:rsidRPr="00BE0DD6">
        <w:rPr>
          <w:b/>
          <w:bCs/>
          <w:lang w:val="ru-RU"/>
        </w:rPr>
        <w:t>121 (ВКР-23)</w:t>
      </w:r>
      <w:r w:rsidRPr="00BE0DD6">
        <w:rPr>
          <w:lang w:val="ru-RU"/>
        </w:rPr>
        <w:t xml:space="preserve"> и Дополнении 2 к Резолюции </w:t>
      </w:r>
      <w:r w:rsidRPr="00BE0DD6">
        <w:rPr>
          <w:b/>
          <w:bCs/>
          <w:lang w:val="ru-RU"/>
        </w:rPr>
        <w:t>123 (ВКР-23)</w:t>
      </w:r>
      <w:r w:rsidRPr="00BE0DD6">
        <w:rPr>
          <w:lang w:val="ru-RU"/>
        </w:rPr>
        <w:t>. Заключения должны соответствовать п. </w:t>
      </w:r>
      <w:r w:rsidRPr="00BE0DD6">
        <w:rPr>
          <w:b/>
          <w:bCs/>
          <w:lang w:val="ru-RU"/>
        </w:rPr>
        <w:t>11.31</w:t>
      </w:r>
      <w:r w:rsidRPr="00BE0DD6">
        <w:rPr>
          <w:lang w:val="ru-RU"/>
        </w:rPr>
        <w:t>.</w:t>
      </w:r>
    </w:p>
    <w:p w14:paraId="09CCC3BC" w14:textId="77777777" w:rsidR="00F57E95" w:rsidRPr="00BE0DD6" w:rsidRDefault="00F57E95" w:rsidP="00F57E95">
      <w:pPr>
        <w:rPr>
          <w:szCs w:val="24"/>
          <w:lang w:val="ru-RU"/>
        </w:rPr>
      </w:pPr>
      <w:r w:rsidRPr="00BE0DD6">
        <w:rPr>
          <w:lang w:val="ru-RU"/>
        </w:rPr>
        <w:t>4</w:t>
      </w:r>
      <w:r w:rsidRPr="00BE0DD6">
        <w:rPr>
          <w:lang w:val="ru-RU"/>
        </w:rPr>
        <w:tab/>
      </w:r>
      <w:r w:rsidRPr="00BE0DD6">
        <w:rPr>
          <w:szCs w:val="24"/>
          <w:lang w:val="ru-RU"/>
        </w:rPr>
        <w:t>В отношении положений, содержащихся в Части 1 Дополнения 1 и в Дополнении 3 к Резолюции </w:t>
      </w:r>
      <w:r w:rsidRPr="00BE0DD6">
        <w:rPr>
          <w:b/>
          <w:bCs/>
          <w:szCs w:val="24"/>
          <w:lang w:val="ru-RU"/>
        </w:rPr>
        <w:t>123 (ВКР-23)</w:t>
      </w:r>
      <w:r w:rsidRPr="00BE0DD6">
        <w:rPr>
          <w:szCs w:val="24"/>
          <w:lang w:val="ru-RU"/>
        </w:rPr>
        <w:t>, Комитет далее пришел к заключению, что Бюро не должно проводить рассмотрение. Заявляющая администрация системы НГСО ФСС, с которой взаимодействуют ESIM, должна обеспечить соблюдение этих положений при представлении требуемого согласно элементу A.34.a Дополнения 2 к Приложению </w:t>
      </w:r>
      <w:r w:rsidRPr="00BE0DD6">
        <w:rPr>
          <w:b/>
          <w:bCs/>
          <w:szCs w:val="24"/>
          <w:lang w:val="ru-RU"/>
        </w:rPr>
        <w:t>4</w:t>
      </w:r>
      <w:r w:rsidRPr="00BE0DD6">
        <w:rPr>
          <w:szCs w:val="24"/>
          <w:lang w:val="ru-RU"/>
        </w:rPr>
        <w:t xml:space="preserve"> обязательства эксплуатировать ESIMS в соответствии с Регламентом радиосвязи и Резолюцией </w:t>
      </w:r>
      <w:r w:rsidRPr="00BE0DD6">
        <w:rPr>
          <w:b/>
          <w:bCs/>
          <w:szCs w:val="24"/>
          <w:lang w:val="ru-RU"/>
        </w:rPr>
        <w:t>123 (ВКР-23)</w:t>
      </w:r>
      <w:r w:rsidRPr="00BE0DD6">
        <w:rPr>
          <w:szCs w:val="24"/>
          <w:lang w:val="ru-RU"/>
        </w:rPr>
        <w:t>.</w:t>
      </w:r>
    </w:p>
    <w:p w14:paraId="087CD899" w14:textId="3A479A30" w:rsidR="00E052A7" w:rsidRPr="00BE0DD6" w:rsidRDefault="00E052A7">
      <w:pPr>
        <w:jc w:val="center"/>
        <w:rPr>
          <w:color w:val="000000"/>
          <w:lang w:val="ru-RU"/>
        </w:rPr>
      </w:pPr>
      <w:r w:rsidRPr="00BE0DD6">
        <w:rPr>
          <w:color w:val="000000"/>
          <w:lang w:val="ru-RU"/>
        </w:rPr>
        <w:t>________________</w:t>
      </w:r>
    </w:p>
    <w:p w14:paraId="388E2CEA" w14:textId="77777777" w:rsidR="00E052A7" w:rsidRPr="00BE0DD6" w:rsidRDefault="00E052A7" w:rsidP="0089365D">
      <w:pPr>
        <w:rPr>
          <w:lang w:val="ru-RU"/>
        </w:rPr>
      </w:pPr>
    </w:p>
    <w:p w14:paraId="415DE3DA" w14:textId="77777777" w:rsidR="00E052A7" w:rsidRPr="00BE0DD6" w:rsidRDefault="00E052A7" w:rsidP="0089365D">
      <w:pPr>
        <w:rPr>
          <w:lang w:val="ru-RU"/>
        </w:rPr>
      </w:pPr>
    </w:p>
    <w:p w14:paraId="664ABDBA" w14:textId="77777777" w:rsidR="00BC1253" w:rsidRPr="00BE0DD6" w:rsidRDefault="00BC1253" w:rsidP="0089365D">
      <w:pPr>
        <w:rPr>
          <w:lang w:val="ru-RU"/>
        </w:rPr>
      </w:pPr>
    </w:p>
    <w:p w14:paraId="5C5D6E19" w14:textId="77777777" w:rsidR="00E052A7" w:rsidRPr="00BE0DD6" w:rsidRDefault="00E052A7" w:rsidP="0089365D">
      <w:pPr>
        <w:rPr>
          <w:lang w:val="ru-RU"/>
        </w:rPr>
      </w:pPr>
    </w:p>
    <w:p w14:paraId="075593A5" w14:textId="77777777" w:rsidR="00E052A7" w:rsidRPr="00BE0DD6" w:rsidRDefault="00E052A7" w:rsidP="0089365D">
      <w:pPr>
        <w:rPr>
          <w:lang w:val="ru-RU"/>
        </w:rPr>
      </w:pPr>
    </w:p>
    <w:p w14:paraId="790DDD41" w14:textId="77777777" w:rsidR="00E052A7" w:rsidRPr="00BE0DD6" w:rsidRDefault="00E052A7" w:rsidP="0089365D">
      <w:pPr>
        <w:rPr>
          <w:lang w:val="ru-RU"/>
        </w:rPr>
        <w:sectPr w:rsidR="00E052A7" w:rsidRPr="00BE0DD6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23EE0F49" w14:textId="77777777" w:rsidR="00E052A7" w:rsidRPr="00BE0DD6" w:rsidRDefault="00E052A7" w:rsidP="0089365D">
      <w:pPr>
        <w:rPr>
          <w:lang w:val="ru-RU"/>
        </w:rPr>
      </w:pPr>
    </w:p>
    <w:sectPr w:rsidR="00E052A7" w:rsidRPr="00BE0DD6" w:rsidSect="0089365D">
      <w:headerReference w:type="first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781CB3" w14:textId="77777777" w:rsidR="00824378" w:rsidRDefault="00824378">
      <w:r>
        <w:separator/>
      </w:r>
    </w:p>
  </w:endnote>
  <w:endnote w:type="continuationSeparator" w:id="0">
    <w:p w14:paraId="513E55AD" w14:textId="77777777" w:rsidR="00824378" w:rsidRDefault="00824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ahoma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CD22FB" w14:textId="77777777" w:rsidR="00824378" w:rsidRDefault="00824378">
      <w:r>
        <w:rPr>
          <w:b/>
        </w:rPr>
        <w:t>_______________</w:t>
      </w:r>
    </w:p>
  </w:footnote>
  <w:footnote w:type="continuationSeparator" w:id="0">
    <w:p w14:paraId="5E190CBE" w14:textId="77777777" w:rsidR="00824378" w:rsidRDefault="00824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BE0DD6" w14:paraId="7842DD7B" w14:textId="77777777" w:rsidTr="00BE0DD6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0687CFA" w14:textId="77777777" w:rsidR="00BE0DD6" w:rsidRDefault="00BE0DD6" w:rsidP="00BE0DD6">
          <w:pPr>
            <w:pStyle w:val="HeaderRegProc"/>
          </w:pPr>
          <w:r>
            <w:rPr>
              <w:lang w:val="ru-RU"/>
            </w:rPr>
            <w:t>Часть</w:t>
          </w:r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38F6C65" w14:textId="77777777" w:rsidR="00BE0DD6" w:rsidRDefault="00BE0DD6" w:rsidP="00BE0DD6">
          <w:pPr>
            <w:pStyle w:val="HeaderRegProc"/>
            <w:rPr>
              <w:lang w:val="fr-FR"/>
            </w:rPr>
          </w:pPr>
          <w:r>
            <w:rPr>
              <w:lang w:val="ru-RU"/>
            </w:rPr>
            <w:t>РЕЗ</w:t>
          </w:r>
          <w:r>
            <w:t>123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03E35E9" w14:textId="77777777" w:rsidR="00BE0DD6" w:rsidRDefault="00BE0DD6" w:rsidP="00BE0DD6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DA6EF9B" w14:textId="0B062EEB" w:rsidR="00BE0DD6" w:rsidRDefault="00BE0DD6" w:rsidP="00BE0DD6">
          <w:pPr>
            <w:pStyle w:val="HeaderRegProc"/>
            <w:rPr>
              <w:lang w:val="fr-CH"/>
            </w:rPr>
          </w:pPr>
          <w:proofErr w:type="spellStart"/>
          <w:r>
            <w:rPr>
              <w:lang w:val="ru-RU"/>
            </w:rPr>
            <w:t>Пересм</w:t>
          </w:r>
          <w:proofErr w:type="spellEnd"/>
          <w:r>
            <w:rPr>
              <w:lang w:val="fr-CH"/>
            </w:rPr>
            <w:t>.</w:t>
          </w:r>
          <w:r>
            <w:t>5</w:t>
          </w:r>
        </w:p>
      </w:tc>
    </w:tr>
  </w:tbl>
  <w:p w14:paraId="78A3BD16" w14:textId="77777777" w:rsidR="00BE0DD6" w:rsidRDefault="00BE0D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A4C0E" w14:paraId="2742E9D1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504E914" w14:textId="77777777" w:rsidR="006A4C0E" w:rsidRDefault="004922A2" w:rsidP="001221BA">
          <w:pPr>
            <w:pStyle w:val="HeaderRegProc"/>
          </w:pPr>
          <w:r>
            <w:rPr>
              <w:lang w:val="ru-RU"/>
            </w:rPr>
            <w:t>Часть</w:t>
          </w:r>
          <w:r w:rsidR="006A4C0E">
            <w:t xml:space="preserve"> A</w:t>
          </w:r>
          <w:r w:rsidR="001221BA">
            <w:t>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86E9B8D" w14:textId="2F1014F1" w:rsidR="006A4C0E" w:rsidRDefault="004922A2" w:rsidP="001221BA">
          <w:pPr>
            <w:pStyle w:val="HeaderRegProc"/>
            <w:rPr>
              <w:lang w:val="fr-FR"/>
            </w:rPr>
          </w:pPr>
          <w:r>
            <w:rPr>
              <w:lang w:val="ru-RU"/>
            </w:rPr>
            <w:t>РЕЗ</w:t>
          </w:r>
          <w:r w:rsidR="00F57E95">
            <w:t>123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65250A8" w14:textId="77777777" w:rsidR="006A4C0E" w:rsidRDefault="004922A2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 w:rsidR="006A4C0E">
            <w:rPr>
              <w:lang w:val="fr-FR"/>
            </w:rPr>
            <w:t xml:space="preserve"> </w:t>
          </w:r>
          <w:r w:rsidR="006A4C0E">
            <w:rPr>
              <w:rStyle w:val="PageNumber"/>
            </w:rPr>
            <w:fldChar w:fldCharType="begin"/>
          </w:r>
          <w:r w:rsidR="006A4C0E">
            <w:rPr>
              <w:rStyle w:val="PageNumber"/>
            </w:rPr>
            <w:instrText xml:space="preserve"> PAGE </w:instrText>
          </w:r>
          <w:r w:rsidR="006A4C0E">
            <w:rPr>
              <w:rStyle w:val="PageNumber"/>
            </w:rPr>
            <w:fldChar w:fldCharType="separate"/>
          </w:r>
          <w:r w:rsidR="00B93BB2">
            <w:rPr>
              <w:rStyle w:val="PageNumber"/>
              <w:noProof/>
            </w:rPr>
            <w:t>1</w:t>
          </w:r>
          <w:r w:rsidR="006A4C0E"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EED0E1B" w14:textId="1E42FD90" w:rsidR="006A4C0E" w:rsidRDefault="004922A2" w:rsidP="00BC1253">
          <w:pPr>
            <w:pStyle w:val="HeaderRegProc"/>
            <w:rPr>
              <w:lang w:val="fr-CH"/>
            </w:rPr>
          </w:pPr>
          <w:proofErr w:type="spellStart"/>
          <w:r>
            <w:rPr>
              <w:lang w:val="ru-RU"/>
            </w:rPr>
            <w:t>Пересм</w:t>
          </w:r>
          <w:proofErr w:type="spellEnd"/>
          <w:r w:rsidR="006A4C0E">
            <w:rPr>
              <w:lang w:val="fr-CH"/>
            </w:rPr>
            <w:t>.</w:t>
          </w:r>
          <w:r w:rsidR="00F57E95">
            <w:t>5</w:t>
          </w:r>
        </w:p>
      </w:tc>
    </w:tr>
  </w:tbl>
  <w:p w14:paraId="4D10BFC1" w14:textId="77777777" w:rsidR="006A4C0E" w:rsidRDefault="006A4C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F54596" w14:textId="77777777" w:rsidR="00E052A7" w:rsidRDefault="00E052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mirrorMargins/>
  <w:proofState w:spelling="clean" w:grammar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2A7"/>
    <w:rsid w:val="000F7D8B"/>
    <w:rsid w:val="00117C3F"/>
    <w:rsid w:val="001221BA"/>
    <w:rsid w:val="00165B24"/>
    <w:rsid w:val="002479E9"/>
    <w:rsid w:val="002E00AD"/>
    <w:rsid w:val="0047366D"/>
    <w:rsid w:val="004922A2"/>
    <w:rsid w:val="004A0EBB"/>
    <w:rsid w:val="00521230"/>
    <w:rsid w:val="00540CF1"/>
    <w:rsid w:val="00545224"/>
    <w:rsid w:val="005C7FBC"/>
    <w:rsid w:val="0062342F"/>
    <w:rsid w:val="006A4C0E"/>
    <w:rsid w:val="00707EF3"/>
    <w:rsid w:val="00762ECE"/>
    <w:rsid w:val="007B5F9F"/>
    <w:rsid w:val="007E3EEF"/>
    <w:rsid w:val="00824378"/>
    <w:rsid w:val="0089365D"/>
    <w:rsid w:val="00915F8E"/>
    <w:rsid w:val="00AA6F3C"/>
    <w:rsid w:val="00B06E75"/>
    <w:rsid w:val="00B93BB2"/>
    <w:rsid w:val="00BC1253"/>
    <w:rsid w:val="00BE0DD6"/>
    <w:rsid w:val="00C81E8C"/>
    <w:rsid w:val="00C91547"/>
    <w:rsid w:val="00CC1BC0"/>
    <w:rsid w:val="00D41107"/>
    <w:rsid w:val="00E052A7"/>
    <w:rsid w:val="00EC2324"/>
    <w:rsid w:val="00F57E95"/>
    <w:rsid w:val="00F715D6"/>
    <w:rsid w:val="00FD1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5E844853"/>
  <w15:docId w15:val="{3A873873-15E5-4745-824A-8F7BDFD5F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5F9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7B5F9F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6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,Appel note de bas de p +,Footnote Reference/ + Text 1"/>
    <w:basedOn w:val="DefaultParagraphFont"/>
    <w:qFormat/>
    <w:rPr>
      <w:position w:val="6"/>
      <w:sz w:val="16"/>
    </w:rPr>
  </w:style>
  <w:style w:type="paragraph" w:styleId="FootnoteText">
    <w:name w:val="footnote text"/>
    <w:aliases w:val="footnote text,ALTS FOOTNOTE,Footnote Text Char1... + Black,Footnote Text Char1,Footnote Text Char Char1,Footnote Text Char4 Char Char,Footnote Text Char1 Char1 Char1 Char,Footnote Text Char Char1 Char1 Char Char,DNV-FT"/>
    <w:basedOn w:val="Normal"/>
    <w:link w:val="FootnoteTextChar"/>
    <w:qFormat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EC2324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link w:val="RestitleChar"/>
    <w:rsid w:val="004A0EBB"/>
    <w:pPr>
      <w:spacing w:after="120"/>
    </w:pPr>
    <w:rPr>
      <w:sz w:val="26"/>
    </w:r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paragraph" w:customStyle="1" w:styleId="StyleHeading1">
    <w:name w:val="Style Heading 1"/>
    <w:aliases w:val="h1 + Centered Before:  0 cm First line:  0 cm"/>
    <w:basedOn w:val="Heading1"/>
    <w:rsid w:val="00EC2324"/>
    <w:pPr>
      <w:ind w:left="0" w:firstLine="0"/>
      <w:jc w:val="center"/>
    </w:pPr>
  </w:style>
  <w:style w:type="character" w:customStyle="1" w:styleId="NormalaftertitleChar">
    <w:name w:val="Normal after title Char"/>
    <w:basedOn w:val="DefaultParagraphFont"/>
    <w:link w:val="Normalaftertitle"/>
    <w:locked/>
    <w:rsid w:val="004922A2"/>
    <w:rPr>
      <w:sz w:val="22"/>
      <w:lang w:val="en-GB" w:eastAsia="en-US"/>
    </w:rPr>
  </w:style>
  <w:style w:type="character" w:customStyle="1" w:styleId="FootnoteTextChar">
    <w:name w:val="Footnote Text Char"/>
    <w:aliases w:val="footnote text Char,ALTS FOOTNOTE Char,Footnote Text Char1... + Black Char,Footnote Text Char1 Char,Footnote Text Char Char1 Char,Footnote Text Char4 Char Char Char,Footnote Text Char1 Char1 Char1 Char Char,DNV-FT Char"/>
    <w:basedOn w:val="DefaultParagraphFont"/>
    <w:link w:val="FootnoteText"/>
    <w:qFormat/>
    <w:rsid w:val="00540CF1"/>
    <w:rPr>
      <w:lang w:val="en-GB" w:eastAsia="en-US"/>
    </w:rPr>
  </w:style>
  <w:style w:type="paragraph" w:customStyle="1" w:styleId="Annextitle0">
    <w:name w:val="Annex_title"/>
    <w:basedOn w:val="Normal"/>
    <w:next w:val="Normal"/>
    <w:link w:val="AnnextitleChar1"/>
    <w:rsid w:val="0062342F"/>
    <w:pPr>
      <w:keepNext/>
      <w:keepLines/>
      <w:spacing w:before="240" w:after="280"/>
      <w:jc w:val="center"/>
    </w:pPr>
    <w:rPr>
      <w:rFonts w:cs="Times New Roman Bold"/>
      <w:b/>
      <w:sz w:val="26"/>
    </w:rPr>
  </w:style>
  <w:style w:type="character" w:customStyle="1" w:styleId="AnnextitleChar1">
    <w:name w:val="Annex_title Char1"/>
    <w:basedOn w:val="DefaultParagraphFont"/>
    <w:link w:val="Annextitle0"/>
    <w:locked/>
    <w:rsid w:val="0062342F"/>
    <w:rPr>
      <w:rFonts w:cs="Times New Roman Bold"/>
      <w:b/>
      <w:sz w:val="26"/>
      <w:lang w:val="en-GB" w:eastAsia="en-US"/>
    </w:rPr>
  </w:style>
  <w:style w:type="paragraph" w:customStyle="1" w:styleId="Normalaftertitle0">
    <w:name w:val="Normal_after_title"/>
    <w:basedOn w:val="Normal"/>
    <w:next w:val="Normal"/>
    <w:rsid w:val="00F57E95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napToGrid w:val="0"/>
      <w:spacing w:before="360"/>
      <w:jc w:val="left"/>
    </w:pPr>
    <w:rPr>
      <w:rFonts w:ascii="Calibri" w:hAnsi="Calibri"/>
      <w:lang w:val="ru-RU"/>
    </w:rPr>
  </w:style>
  <w:style w:type="paragraph" w:customStyle="1" w:styleId="Reasons">
    <w:name w:val="Reasons"/>
    <w:basedOn w:val="Normal"/>
    <w:link w:val="ReasonsChar"/>
    <w:qFormat/>
    <w:rsid w:val="00F57E95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120"/>
      <w:jc w:val="left"/>
      <w:textAlignment w:val="auto"/>
    </w:pPr>
    <w:rPr>
      <w:rFonts w:ascii="Calibri" w:hAnsi="Calibri"/>
      <w:lang w:val="ru-RU"/>
    </w:rPr>
  </w:style>
  <w:style w:type="character" w:customStyle="1" w:styleId="ReasonsChar">
    <w:name w:val="Reasons Char"/>
    <w:basedOn w:val="DefaultParagraphFont"/>
    <w:link w:val="Reasons"/>
    <w:locked/>
    <w:rsid w:val="00F57E95"/>
    <w:rPr>
      <w:rFonts w:ascii="Calibri" w:hAnsi="Calibri"/>
      <w:sz w:val="22"/>
      <w:lang w:val="ru-RU" w:eastAsia="en-US"/>
    </w:rPr>
  </w:style>
  <w:style w:type="character" w:customStyle="1" w:styleId="RestitleChar">
    <w:name w:val="Res_title Char"/>
    <w:basedOn w:val="DefaultParagraphFont"/>
    <w:link w:val="Restitle"/>
    <w:locked/>
    <w:rsid w:val="004A0EBB"/>
    <w:rPr>
      <w:b/>
      <w:noProof/>
      <w:sz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20</TotalTime>
  <Pages>3</Pages>
  <Words>618</Words>
  <Characters>3865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к Правилам процедуры (издание 2021 г.)</dc:title>
  <dc:subject>RES1 du RR</dc:subject>
  <dc:creator>Composition des Publications</dc:creator>
  <cp:keywords/>
  <dc:description/>
  <cp:lastModifiedBy>Berdyeva, Elena</cp:lastModifiedBy>
  <cp:revision>19</cp:revision>
  <cp:lastPrinted>2009-02-24T11:01:00Z</cp:lastPrinted>
  <dcterms:created xsi:type="dcterms:W3CDTF">2016-11-21T11:31:00Z</dcterms:created>
  <dcterms:modified xsi:type="dcterms:W3CDTF">2024-12-04T07:54:00Z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