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4CE" w:rsidRPr="00F208A8" w:rsidRDefault="001714CE" w:rsidP="001714CE">
      <w:pPr>
        <w:pStyle w:val="Heading1"/>
        <w:spacing w:before="0"/>
        <w:jc w:val="center"/>
        <w:rPr>
          <w:color w:val="000000"/>
          <w:sz w:val="26"/>
          <w:szCs w:val="26"/>
          <w:lang w:val="ru-RU"/>
        </w:rPr>
      </w:pPr>
      <w:bookmarkStart w:id="0" w:name="_Toc103501749"/>
      <w:bookmarkStart w:id="1" w:name="_GoBack"/>
      <w:bookmarkEnd w:id="1"/>
      <w:r w:rsidRPr="00F208A8">
        <w:rPr>
          <w:color w:val="000000"/>
          <w:sz w:val="26"/>
          <w:szCs w:val="26"/>
          <w:lang w:val="ru-RU"/>
        </w:rPr>
        <w:t>Правила, касающиеся</w:t>
      </w:r>
      <w:bookmarkEnd w:id="0"/>
    </w:p>
    <w:p w:rsidR="001714CE" w:rsidRDefault="001714CE" w:rsidP="001714CE">
      <w:pPr>
        <w:pStyle w:val="Heading2"/>
        <w:jc w:val="center"/>
        <w:rPr>
          <w:color w:val="000000"/>
          <w:lang w:val="ru-RU"/>
        </w:rPr>
      </w:pPr>
      <w:bookmarkStart w:id="2" w:name="_Toc103501750"/>
      <w:r w:rsidRPr="00F208A8">
        <w:rPr>
          <w:color w:val="000000"/>
          <w:lang w:val="ru-RU"/>
        </w:rPr>
        <w:t xml:space="preserve">ПРИЛОЖЕНИЯ  </w:t>
      </w:r>
      <w:r w:rsidRPr="00F208A8">
        <w:rPr>
          <w:rStyle w:val="href2"/>
          <w:color w:val="000000"/>
          <w:lang w:val="ru-RU"/>
        </w:rPr>
        <w:t>7</w:t>
      </w:r>
      <w:r w:rsidRPr="00F208A8">
        <w:rPr>
          <w:color w:val="000000"/>
          <w:lang w:val="ru-RU"/>
        </w:rPr>
        <w:t xml:space="preserve"> к </w:t>
      </w:r>
      <w:bookmarkEnd w:id="2"/>
      <w:r>
        <w:rPr>
          <w:color w:val="000000"/>
          <w:lang w:val="ru-RU"/>
        </w:rPr>
        <w:t>РР</w:t>
      </w:r>
    </w:p>
    <w:p w:rsidR="001714CE" w:rsidRPr="00F208A8" w:rsidRDefault="001714CE" w:rsidP="00411EC7">
      <w:pPr>
        <w:pStyle w:val="Normalaftertitle"/>
        <w:tabs>
          <w:tab w:val="clear" w:pos="1134"/>
          <w:tab w:val="clear" w:pos="1871"/>
          <w:tab w:val="clear" w:pos="2268"/>
          <w:tab w:val="left" w:pos="851"/>
        </w:tabs>
        <w:spacing w:before="240" w:after="120"/>
        <w:rPr>
          <w:color w:val="000000"/>
          <w:sz w:val="22"/>
          <w:szCs w:val="22"/>
          <w:lang w:val="ru-RU"/>
        </w:rPr>
      </w:pPr>
      <w:r w:rsidRPr="00F208A8">
        <w:rPr>
          <w:rStyle w:val="href"/>
          <w:color w:val="000000"/>
          <w:sz w:val="22"/>
          <w:szCs w:val="22"/>
          <w:lang w:val="ru-RU"/>
        </w:rPr>
        <w:t>1</w:t>
      </w:r>
      <w:r w:rsidRPr="00F208A8">
        <w:rPr>
          <w:color w:val="000000"/>
          <w:sz w:val="22"/>
          <w:szCs w:val="22"/>
          <w:lang w:val="ru-RU"/>
        </w:rPr>
        <w:tab/>
        <w:t>На практике растет количество случаев, когда координационный контур вокруг земной станции превышает несколько сотен километров и перекрывает лишь весьма небольшую часть территории той или иной администрации (меньше нескольких десятков километров). Учитывая, что при расчете координационного расстояния используется ряд завышенных допущений, Комитет решил, что когда перекрытие составляет менее 5% от координационного расстояния, то координация не требуется.</w:t>
      </w:r>
    </w:p>
    <w:p w:rsidR="001714CE" w:rsidRPr="00F208A8" w:rsidRDefault="001714CE" w:rsidP="00411EC7">
      <w:pPr>
        <w:tabs>
          <w:tab w:val="left" w:pos="851"/>
        </w:tabs>
        <w:spacing w:before="120" w:after="120"/>
        <w:jc w:val="both"/>
        <w:rPr>
          <w:color w:val="000000"/>
          <w:sz w:val="22"/>
          <w:szCs w:val="22"/>
          <w:lang w:val="ru-RU"/>
        </w:rPr>
      </w:pPr>
      <w:r w:rsidRPr="00F208A8">
        <w:rPr>
          <w:color w:val="000000"/>
          <w:sz w:val="22"/>
          <w:szCs w:val="22"/>
          <w:lang w:val="ru-RU"/>
        </w:rPr>
        <w:t>2</w:t>
      </w:r>
      <w:r w:rsidRPr="00F208A8">
        <w:rPr>
          <w:color w:val="000000"/>
          <w:sz w:val="22"/>
          <w:szCs w:val="22"/>
          <w:lang w:val="ru-RU"/>
        </w:rPr>
        <w:tab/>
        <w:t>Рассмотрение в отношении применения пп. </w:t>
      </w:r>
      <w:r w:rsidRPr="00F208A8">
        <w:rPr>
          <w:rStyle w:val="Artref"/>
          <w:b/>
          <w:color w:val="000000"/>
          <w:sz w:val="22"/>
          <w:szCs w:val="22"/>
          <w:lang w:val="ru-RU"/>
        </w:rPr>
        <w:t>9.15</w:t>
      </w:r>
      <w:r w:rsidRPr="00F208A8">
        <w:rPr>
          <w:color w:val="000000"/>
          <w:sz w:val="22"/>
          <w:szCs w:val="22"/>
          <w:lang w:val="ru-RU"/>
        </w:rPr>
        <w:t xml:space="preserve">, </w:t>
      </w:r>
      <w:r w:rsidRPr="00F208A8">
        <w:rPr>
          <w:rStyle w:val="Artref"/>
          <w:b/>
          <w:color w:val="000000"/>
          <w:sz w:val="22"/>
          <w:szCs w:val="22"/>
          <w:lang w:val="ru-RU"/>
        </w:rPr>
        <w:t>9.17</w:t>
      </w:r>
      <w:r w:rsidRPr="00F208A8">
        <w:rPr>
          <w:color w:val="000000"/>
          <w:sz w:val="22"/>
          <w:szCs w:val="22"/>
          <w:lang w:val="ru-RU"/>
        </w:rPr>
        <w:t xml:space="preserve"> и </w:t>
      </w:r>
      <w:r w:rsidRPr="00F208A8">
        <w:rPr>
          <w:rStyle w:val="Artref"/>
          <w:b/>
          <w:color w:val="000000"/>
          <w:sz w:val="22"/>
          <w:szCs w:val="22"/>
          <w:lang w:val="ru-RU"/>
        </w:rPr>
        <w:t>9.17A</w:t>
      </w:r>
      <w:r w:rsidRPr="00F208A8">
        <w:rPr>
          <w:color w:val="000000"/>
          <w:sz w:val="22"/>
          <w:szCs w:val="22"/>
          <w:lang w:val="ru-RU"/>
        </w:rPr>
        <w:t xml:space="preserve"> приводит к применению метода расчета по Приложению </w:t>
      </w:r>
      <w:r w:rsidRPr="00F208A8">
        <w:rPr>
          <w:rStyle w:val="Appref"/>
          <w:b/>
          <w:color w:val="000000"/>
          <w:sz w:val="22"/>
          <w:szCs w:val="22"/>
          <w:lang w:val="ru-RU"/>
        </w:rPr>
        <w:t>7</w:t>
      </w:r>
      <w:r w:rsidRPr="00F208A8">
        <w:rPr>
          <w:color w:val="000000"/>
          <w:sz w:val="22"/>
          <w:szCs w:val="22"/>
          <w:lang w:val="ru-RU"/>
        </w:rPr>
        <w:t>,</w:t>
      </w:r>
      <w:r w:rsidRPr="00F208A8">
        <w:rPr>
          <w:b/>
          <w:color w:val="000000"/>
          <w:sz w:val="22"/>
          <w:szCs w:val="22"/>
          <w:lang w:val="ru-RU"/>
        </w:rPr>
        <w:t xml:space="preserve"> </w:t>
      </w:r>
      <w:r w:rsidRPr="00F208A8">
        <w:rPr>
          <w:color w:val="000000"/>
          <w:sz w:val="22"/>
          <w:szCs w:val="22"/>
          <w:lang w:val="ru-RU"/>
        </w:rPr>
        <w:t>использующего</w:t>
      </w:r>
      <w:r w:rsidRPr="00F208A8">
        <w:rPr>
          <w:b/>
          <w:color w:val="000000"/>
          <w:sz w:val="22"/>
          <w:szCs w:val="22"/>
          <w:lang w:val="ru-RU"/>
        </w:rPr>
        <w:t xml:space="preserve"> </w:t>
      </w:r>
      <w:r w:rsidRPr="00F208A8">
        <w:rPr>
          <w:color w:val="000000"/>
          <w:sz w:val="22"/>
          <w:szCs w:val="22"/>
          <w:lang w:val="ru-RU"/>
        </w:rPr>
        <w:t>значения системных параметров, определенные в содержащихся в нем Таблицах 7–9. В связи с тем, что в отдельных местах этих Таблиц указаны несколько наборов параметров (например, для аналоговой и цифровой модуляции), которые приводят к различным координационным контурам, и для обеспечения завершенности необходимых проверок на соответствие координационным требованиям, Комитет решил поручить Бюро всякий раз, когда в этих Таблицах указано несколько наборов параметров, использовать тот набор параметров, который создает наибольшую координационную зону в заданной полосе частот. Кроме того, если в некоторых графах таблиц системных параметров имеется неполная информация, Комитет поручил Бюро применять в этом случае следующий подход:</w:t>
      </w:r>
    </w:p>
    <w:p w:rsidR="001714CE" w:rsidRPr="00F208A8" w:rsidRDefault="001714CE" w:rsidP="006D57BC">
      <w:pPr>
        <w:pStyle w:val="enumlev1"/>
        <w:spacing w:after="120"/>
        <w:ind w:left="397" w:hanging="397"/>
        <w:rPr>
          <w:color w:val="000000"/>
          <w:sz w:val="22"/>
          <w:szCs w:val="22"/>
          <w:lang w:val="ru-RU"/>
        </w:rPr>
      </w:pPr>
      <w:r w:rsidRPr="00F208A8">
        <w:rPr>
          <w:color w:val="000000"/>
          <w:sz w:val="22"/>
          <w:szCs w:val="22"/>
          <w:lang w:val="ru-RU"/>
        </w:rPr>
        <w:t>–</w:t>
      </w:r>
      <w:r w:rsidRPr="00F208A8">
        <w:rPr>
          <w:color w:val="000000"/>
          <w:sz w:val="22"/>
          <w:szCs w:val="22"/>
          <w:lang w:val="ru-RU"/>
        </w:rPr>
        <w:tab/>
        <w:t>использовать приведенные в Таблице 7 параметры для определения координационной зоны передающей земной станции службы, не упомянутой в этой Таблице, но частоты для которой распределены на равной основе, основываясь на том факте, что все необходимые для расчета параметры, относящиеся к данной земной станции, могут быть найдены в форме заявки;</w:t>
      </w:r>
    </w:p>
    <w:p w:rsidR="001714CE" w:rsidRPr="00F208A8" w:rsidRDefault="001714CE" w:rsidP="006D57BC">
      <w:pPr>
        <w:pStyle w:val="enumlev1"/>
        <w:spacing w:after="120"/>
        <w:ind w:left="397" w:hanging="397"/>
        <w:rPr>
          <w:color w:val="000000"/>
          <w:sz w:val="22"/>
          <w:szCs w:val="22"/>
          <w:lang w:val="ru-RU"/>
        </w:rPr>
      </w:pPr>
      <w:r w:rsidRPr="00F208A8">
        <w:rPr>
          <w:color w:val="000000"/>
          <w:sz w:val="22"/>
          <w:szCs w:val="22"/>
          <w:lang w:val="ru-RU"/>
        </w:rPr>
        <w:t>–</w:t>
      </w:r>
      <w:r w:rsidRPr="00F208A8">
        <w:rPr>
          <w:color w:val="000000"/>
          <w:sz w:val="22"/>
          <w:szCs w:val="22"/>
          <w:lang w:val="ru-RU"/>
        </w:rPr>
        <w:tab/>
        <w:t>использовать приведенные в Таблице 8 параметры для определения координационной зоны приемной земной станции по отношению к наземной службе, не упомянутой в этой Таблице, но частоты для которой распределены на равной основе, на основе предположения, что рассматриваемая наземная служба имеет тот же потенциал помех, что и прочие наземные службы, перечисленные в данной Таблице (см. также § 4 Правил процедуры согласно п. </w:t>
      </w:r>
      <w:r w:rsidRPr="00F208A8">
        <w:rPr>
          <w:rStyle w:val="Artref"/>
          <w:b/>
          <w:color w:val="000000"/>
          <w:sz w:val="22"/>
          <w:szCs w:val="22"/>
          <w:lang w:val="ru-RU"/>
        </w:rPr>
        <w:t>11.17</w:t>
      </w:r>
      <w:r w:rsidRPr="00F208A8">
        <w:rPr>
          <w:color w:val="000000"/>
          <w:sz w:val="22"/>
          <w:szCs w:val="22"/>
          <w:lang w:val="ru-RU"/>
        </w:rPr>
        <w:t>).</w:t>
      </w:r>
    </w:p>
    <w:p w:rsidR="000A5071" w:rsidRDefault="001714CE" w:rsidP="00EE6012">
      <w:pPr>
        <w:spacing w:before="120"/>
        <w:jc w:val="center"/>
        <w:rPr>
          <w:color w:val="000000"/>
          <w:sz w:val="22"/>
          <w:szCs w:val="22"/>
          <w:lang w:val="ru-RU"/>
        </w:rPr>
      </w:pPr>
      <w:r>
        <w:rPr>
          <w:color w:val="000000"/>
          <w:sz w:val="22"/>
          <w:szCs w:val="22"/>
          <w:lang w:val="ru-RU"/>
        </w:rPr>
        <w:t>___________________</w:t>
      </w:r>
    </w:p>
    <w:p w:rsidR="009647F2" w:rsidRDefault="009647F2" w:rsidP="00EE6012">
      <w:pPr>
        <w:spacing w:before="120"/>
        <w:jc w:val="center"/>
        <w:rPr>
          <w:color w:val="000000"/>
          <w:sz w:val="22"/>
          <w:szCs w:val="22"/>
          <w:lang w:val="ru-RU"/>
        </w:rPr>
      </w:pPr>
    </w:p>
    <w:p w:rsidR="009647F2" w:rsidRDefault="009647F2" w:rsidP="00EE6012">
      <w:pPr>
        <w:spacing w:before="120"/>
        <w:jc w:val="center"/>
        <w:rPr>
          <w:color w:val="000000"/>
          <w:sz w:val="22"/>
          <w:szCs w:val="22"/>
          <w:lang w:val="ru-RU"/>
        </w:rPr>
      </w:pPr>
    </w:p>
    <w:p w:rsidR="009647F2" w:rsidRDefault="009647F2" w:rsidP="00EE6012">
      <w:pPr>
        <w:spacing w:before="120"/>
        <w:jc w:val="center"/>
        <w:rPr>
          <w:color w:val="000000"/>
          <w:sz w:val="22"/>
          <w:szCs w:val="22"/>
          <w:lang w:val="ru-RU"/>
        </w:rPr>
      </w:pPr>
    </w:p>
    <w:p w:rsidR="009647F2" w:rsidRDefault="009647F2" w:rsidP="00EE6012">
      <w:pPr>
        <w:spacing w:before="120"/>
        <w:jc w:val="center"/>
        <w:rPr>
          <w:color w:val="000000"/>
          <w:sz w:val="22"/>
          <w:szCs w:val="22"/>
          <w:lang w:val="ru-RU"/>
        </w:rPr>
      </w:pPr>
    </w:p>
    <w:p w:rsidR="009647F2" w:rsidRDefault="009647F2" w:rsidP="00EE6012">
      <w:pPr>
        <w:spacing w:before="120"/>
        <w:jc w:val="center"/>
        <w:rPr>
          <w:color w:val="000000"/>
          <w:sz w:val="22"/>
          <w:szCs w:val="22"/>
          <w:lang w:val="ru-RU"/>
        </w:rPr>
      </w:pPr>
    </w:p>
    <w:p w:rsidR="009647F2" w:rsidRDefault="009647F2" w:rsidP="00EE6012">
      <w:pPr>
        <w:spacing w:before="120"/>
        <w:jc w:val="center"/>
        <w:rPr>
          <w:color w:val="000000"/>
          <w:sz w:val="22"/>
          <w:szCs w:val="22"/>
          <w:lang w:val="ru-RU"/>
        </w:rPr>
      </w:pPr>
    </w:p>
    <w:p w:rsidR="009220BA" w:rsidRDefault="009220BA" w:rsidP="00EE6012">
      <w:pPr>
        <w:spacing w:before="120"/>
        <w:jc w:val="center"/>
        <w:rPr>
          <w:color w:val="000000"/>
          <w:sz w:val="22"/>
          <w:szCs w:val="22"/>
          <w:lang w:val="ru-RU"/>
        </w:rPr>
      </w:pPr>
    </w:p>
    <w:p w:rsidR="009220BA" w:rsidRDefault="009220BA" w:rsidP="00EE6012">
      <w:pPr>
        <w:spacing w:before="120"/>
        <w:jc w:val="center"/>
        <w:rPr>
          <w:color w:val="000000"/>
          <w:sz w:val="22"/>
          <w:szCs w:val="22"/>
        </w:rPr>
        <w:sectPr w:rsidR="009220BA" w:rsidSect="00461792">
          <w:headerReference w:type="default" r:id="rId7"/>
          <w:pgSz w:w="11901" w:h="16840" w:code="9"/>
          <w:pgMar w:top="1701" w:right="851" w:bottom="1134" w:left="1985" w:header="720" w:footer="720" w:gutter="0"/>
          <w:paperSrc w:first="4" w:other="4"/>
          <w:cols w:space="720"/>
          <w:vAlign w:val="both"/>
          <w:docGrid w:linePitch="360"/>
        </w:sectPr>
      </w:pPr>
    </w:p>
    <w:p w:rsidR="009220BA" w:rsidRPr="001714CE" w:rsidRDefault="009220BA" w:rsidP="009647F2">
      <w:pPr>
        <w:spacing w:before="120"/>
        <w:jc w:val="center"/>
      </w:pPr>
    </w:p>
    <w:sectPr w:rsidR="009220BA" w:rsidRPr="001714CE" w:rsidSect="001714CE">
      <w:pgSz w:w="11901" w:h="16840" w:code="9"/>
      <w:pgMar w:top="1701" w:right="851" w:bottom="1134" w:left="1985" w:header="720" w:footer="72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AAC" w:rsidRDefault="00E14AAC">
      <w:r>
        <w:separator/>
      </w:r>
    </w:p>
  </w:endnote>
  <w:endnote w:type="continuationSeparator" w:id="0">
    <w:p w:rsidR="00E14AAC" w:rsidRDefault="00E1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AAC" w:rsidRDefault="00E14AAC">
      <w:r>
        <w:separator/>
      </w:r>
    </w:p>
  </w:footnote>
  <w:footnote w:type="continuationSeparator" w:id="0">
    <w:p w:rsidR="00E14AAC" w:rsidRDefault="00E14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47AD">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1D47AD" w:rsidRDefault="001D47AD" w:rsidP="00411EC7">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rsidR="001D47AD" w:rsidRDefault="001D47AD" w:rsidP="00411EC7">
          <w:pPr>
            <w:pStyle w:val="HeaderRegProc"/>
            <w:rPr>
              <w:lang w:val="en-US"/>
            </w:rPr>
          </w:pPr>
          <w:r>
            <w:rPr>
              <w:lang w:val="ru-RU"/>
            </w:rPr>
            <w:t>Прил.</w:t>
          </w:r>
          <w:r>
            <w:fldChar w:fldCharType="begin"/>
          </w:r>
          <w:r>
            <w:instrText>STYLEREF href2</w:instrText>
          </w:r>
          <w:r>
            <w:fldChar w:fldCharType="separate"/>
          </w:r>
          <w:r w:rsidR="000949B6">
            <w:rPr>
              <w:noProof/>
            </w:rPr>
            <w:t>7</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1D47AD" w:rsidRDefault="001D47AD" w:rsidP="00411EC7">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949B6">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D47AD" w:rsidRPr="00FF4F85" w:rsidRDefault="001D47AD" w:rsidP="00411EC7">
          <w:pPr>
            <w:pStyle w:val="HeaderRegProc"/>
            <w:rPr>
              <w:lang w:val="ru-RU"/>
            </w:rPr>
          </w:pPr>
          <w:r>
            <w:rPr>
              <w:lang w:val="fr-CH"/>
            </w:rPr>
            <w:t>Пересм.</w:t>
          </w:r>
          <w:r>
            <w:rPr>
              <w:lang w:val="ru-RU"/>
            </w:rPr>
            <w:t>-</w:t>
          </w:r>
        </w:p>
      </w:tc>
    </w:tr>
  </w:tbl>
  <w:p w:rsidR="001D47AD" w:rsidRDefault="001D47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64B"/>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949B6"/>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677F5"/>
    <w:rsid w:val="001714CE"/>
    <w:rsid w:val="001843B3"/>
    <w:rsid w:val="001928C7"/>
    <w:rsid w:val="001935A0"/>
    <w:rsid w:val="00194516"/>
    <w:rsid w:val="00196C61"/>
    <w:rsid w:val="001B467B"/>
    <w:rsid w:val="001B775E"/>
    <w:rsid w:val="001B7D78"/>
    <w:rsid w:val="001C0848"/>
    <w:rsid w:val="001D47AD"/>
    <w:rsid w:val="001F23B2"/>
    <w:rsid w:val="001F3882"/>
    <w:rsid w:val="00200852"/>
    <w:rsid w:val="00201194"/>
    <w:rsid w:val="00207123"/>
    <w:rsid w:val="00207E58"/>
    <w:rsid w:val="00216388"/>
    <w:rsid w:val="00250800"/>
    <w:rsid w:val="0026005E"/>
    <w:rsid w:val="002639FF"/>
    <w:rsid w:val="00272943"/>
    <w:rsid w:val="00280C45"/>
    <w:rsid w:val="00283CA3"/>
    <w:rsid w:val="00283F1D"/>
    <w:rsid w:val="002A2F46"/>
    <w:rsid w:val="002A3BCB"/>
    <w:rsid w:val="002A7310"/>
    <w:rsid w:val="002B74A5"/>
    <w:rsid w:val="002C4555"/>
    <w:rsid w:val="002D4FBC"/>
    <w:rsid w:val="002E1482"/>
    <w:rsid w:val="002E3C5C"/>
    <w:rsid w:val="002E608F"/>
    <w:rsid w:val="00301194"/>
    <w:rsid w:val="00303430"/>
    <w:rsid w:val="00323217"/>
    <w:rsid w:val="003276A0"/>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11EC7"/>
    <w:rsid w:val="00420DDD"/>
    <w:rsid w:val="004246B9"/>
    <w:rsid w:val="00427313"/>
    <w:rsid w:val="00430C93"/>
    <w:rsid w:val="00433080"/>
    <w:rsid w:val="00436DE0"/>
    <w:rsid w:val="004429B9"/>
    <w:rsid w:val="004509F1"/>
    <w:rsid w:val="004601D2"/>
    <w:rsid w:val="0046179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02A01"/>
    <w:rsid w:val="005169D3"/>
    <w:rsid w:val="0051705D"/>
    <w:rsid w:val="00525393"/>
    <w:rsid w:val="00531E35"/>
    <w:rsid w:val="00532675"/>
    <w:rsid w:val="0055158E"/>
    <w:rsid w:val="0056537D"/>
    <w:rsid w:val="00573935"/>
    <w:rsid w:val="0057653D"/>
    <w:rsid w:val="00576CDE"/>
    <w:rsid w:val="0057751D"/>
    <w:rsid w:val="00593C94"/>
    <w:rsid w:val="005B4EC1"/>
    <w:rsid w:val="005E0B61"/>
    <w:rsid w:val="005F6FEB"/>
    <w:rsid w:val="005F75C4"/>
    <w:rsid w:val="00607B4E"/>
    <w:rsid w:val="00627363"/>
    <w:rsid w:val="00636B67"/>
    <w:rsid w:val="00645B97"/>
    <w:rsid w:val="00660A06"/>
    <w:rsid w:val="00673439"/>
    <w:rsid w:val="00673DC0"/>
    <w:rsid w:val="00674F6E"/>
    <w:rsid w:val="00680A38"/>
    <w:rsid w:val="006812E8"/>
    <w:rsid w:val="006855C4"/>
    <w:rsid w:val="00693B89"/>
    <w:rsid w:val="006A1507"/>
    <w:rsid w:val="006A2F0C"/>
    <w:rsid w:val="006B5B5A"/>
    <w:rsid w:val="006C6C7E"/>
    <w:rsid w:val="006D57BC"/>
    <w:rsid w:val="006E2E54"/>
    <w:rsid w:val="006E4D53"/>
    <w:rsid w:val="006F04FA"/>
    <w:rsid w:val="00716A12"/>
    <w:rsid w:val="00717867"/>
    <w:rsid w:val="00725131"/>
    <w:rsid w:val="00743785"/>
    <w:rsid w:val="00744EF2"/>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D664B"/>
    <w:rsid w:val="007E33CE"/>
    <w:rsid w:val="007F0A1C"/>
    <w:rsid w:val="007F3FF4"/>
    <w:rsid w:val="008100AB"/>
    <w:rsid w:val="00812FD3"/>
    <w:rsid w:val="008167C5"/>
    <w:rsid w:val="008300B2"/>
    <w:rsid w:val="008338E5"/>
    <w:rsid w:val="00851EC7"/>
    <w:rsid w:val="00852401"/>
    <w:rsid w:val="00854971"/>
    <w:rsid w:val="00866807"/>
    <w:rsid w:val="0087540D"/>
    <w:rsid w:val="00894488"/>
    <w:rsid w:val="008A5819"/>
    <w:rsid w:val="008A7FCF"/>
    <w:rsid w:val="008B2282"/>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974"/>
    <w:rsid w:val="009220BA"/>
    <w:rsid w:val="00925C04"/>
    <w:rsid w:val="0093096D"/>
    <w:rsid w:val="00931565"/>
    <w:rsid w:val="0093466F"/>
    <w:rsid w:val="009467DE"/>
    <w:rsid w:val="00955A08"/>
    <w:rsid w:val="00957ECA"/>
    <w:rsid w:val="00960715"/>
    <w:rsid w:val="00960897"/>
    <w:rsid w:val="009647F2"/>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61B6"/>
    <w:rsid w:val="00AA785F"/>
    <w:rsid w:val="00AB209B"/>
    <w:rsid w:val="00AC3446"/>
    <w:rsid w:val="00AC5557"/>
    <w:rsid w:val="00AD6373"/>
    <w:rsid w:val="00AE6132"/>
    <w:rsid w:val="00AF06E0"/>
    <w:rsid w:val="00AF4AF6"/>
    <w:rsid w:val="00AF7DE4"/>
    <w:rsid w:val="00B03D23"/>
    <w:rsid w:val="00B1262F"/>
    <w:rsid w:val="00B174C1"/>
    <w:rsid w:val="00B178F2"/>
    <w:rsid w:val="00B2134A"/>
    <w:rsid w:val="00B25F04"/>
    <w:rsid w:val="00B27FCD"/>
    <w:rsid w:val="00B30430"/>
    <w:rsid w:val="00B307AB"/>
    <w:rsid w:val="00B47AD1"/>
    <w:rsid w:val="00B52A21"/>
    <w:rsid w:val="00B53BEF"/>
    <w:rsid w:val="00B56CDF"/>
    <w:rsid w:val="00B61A05"/>
    <w:rsid w:val="00B84D1D"/>
    <w:rsid w:val="00B84EE2"/>
    <w:rsid w:val="00B87E55"/>
    <w:rsid w:val="00BA304F"/>
    <w:rsid w:val="00BB458E"/>
    <w:rsid w:val="00BB4EEA"/>
    <w:rsid w:val="00BB5985"/>
    <w:rsid w:val="00BD0815"/>
    <w:rsid w:val="00BE0B93"/>
    <w:rsid w:val="00C040D5"/>
    <w:rsid w:val="00C071FC"/>
    <w:rsid w:val="00C1446C"/>
    <w:rsid w:val="00C1610E"/>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6C01"/>
    <w:rsid w:val="00CD3485"/>
    <w:rsid w:val="00CE2DAC"/>
    <w:rsid w:val="00CE6512"/>
    <w:rsid w:val="00CF4187"/>
    <w:rsid w:val="00D138B4"/>
    <w:rsid w:val="00D23C2F"/>
    <w:rsid w:val="00D34E0E"/>
    <w:rsid w:val="00D426B6"/>
    <w:rsid w:val="00D44EB3"/>
    <w:rsid w:val="00D55D95"/>
    <w:rsid w:val="00D60D7F"/>
    <w:rsid w:val="00D67FAE"/>
    <w:rsid w:val="00D72A36"/>
    <w:rsid w:val="00D74DE1"/>
    <w:rsid w:val="00D945EC"/>
    <w:rsid w:val="00DA53DA"/>
    <w:rsid w:val="00DC1296"/>
    <w:rsid w:val="00DE130B"/>
    <w:rsid w:val="00DE1742"/>
    <w:rsid w:val="00DE3A9B"/>
    <w:rsid w:val="00DE719A"/>
    <w:rsid w:val="00E023F8"/>
    <w:rsid w:val="00E031B6"/>
    <w:rsid w:val="00E05B64"/>
    <w:rsid w:val="00E07B97"/>
    <w:rsid w:val="00E11808"/>
    <w:rsid w:val="00E14AAC"/>
    <w:rsid w:val="00E208F9"/>
    <w:rsid w:val="00E22B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C1DD5"/>
    <w:rsid w:val="00EC71BC"/>
    <w:rsid w:val="00ED1D6A"/>
    <w:rsid w:val="00ED221F"/>
    <w:rsid w:val="00EE6012"/>
    <w:rsid w:val="00EF7615"/>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h1,heading 1"/>
    <w:basedOn w:val="Normal"/>
    <w:next w:val="Normal"/>
    <w:qFormat/>
    <w:rsid w:val="001714CE"/>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1714CE"/>
    <w:pPr>
      <w:spacing w:before="480"/>
      <w:outlineLvl w:val="1"/>
    </w:pPr>
    <w:rPr>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1714CE"/>
    <w:pPr>
      <w:tabs>
        <w:tab w:val="left" w:pos="1134"/>
        <w:tab w:val="left" w:pos="1871"/>
        <w:tab w:val="left" w:pos="2268"/>
      </w:tabs>
      <w:overflowPunct w:val="0"/>
      <w:autoSpaceDE w:val="0"/>
      <w:autoSpaceDN w:val="0"/>
      <w:adjustRightInd w:val="0"/>
      <w:spacing w:before="360"/>
      <w:jc w:val="both"/>
      <w:textAlignment w:val="baseline"/>
    </w:pPr>
    <w:rPr>
      <w:rFonts w:eastAsia="Times New Roman"/>
      <w:lang w:val="en-GB" w:eastAsia="en-US"/>
    </w:rPr>
  </w:style>
  <w:style w:type="paragraph" w:customStyle="1" w:styleId="MEP">
    <w:name w:val="MEP"/>
    <w:basedOn w:val="Normal"/>
    <w:rsid w:val="001714CE"/>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1714CE"/>
  </w:style>
  <w:style w:type="paragraph" w:customStyle="1" w:styleId="enumlev1">
    <w:name w:val="enumlev1"/>
    <w:basedOn w:val="Normal"/>
    <w:rsid w:val="001714CE"/>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1714CE"/>
  </w:style>
  <w:style w:type="character" w:customStyle="1" w:styleId="Appref">
    <w:name w:val="App#_ref"/>
    <w:basedOn w:val="DefaultParagraphFont"/>
    <w:rsid w:val="001714CE"/>
  </w:style>
  <w:style w:type="character" w:customStyle="1" w:styleId="href2">
    <w:name w:val="href2"/>
    <w:basedOn w:val="href"/>
    <w:rsid w:val="001714CE"/>
  </w:style>
  <w:style w:type="character" w:styleId="PageNumber">
    <w:name w:val="page number"/>
    <w:basedOn w:val="DefaultParagraphFont"/>
    <w:rsid w:val="001714CE"/>
  </w:style>
  <w:style w:type="paragraph" w:customStyle="1" w:styleId="HeaderRegProc">
    <w:name w:val="Header_RegProc"/>
    <w:basedOn w:val="Normal"/>
    <w:rsid w:val="001714CE"/>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h1,heading 1"/>
    <w:basedOn w:val="Normal"/>
    <w:next w:val="Normal"/>
    <w:qFormat/>
    <w:rsid w:val="001714CE"/>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1714CE"/>
    <w:pPr>
      <w:spacing w:before="480"/>
      <w:outlineLvl w:val="1"/>
    </w:pPr>
    <w:rPr>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1714CE"/>
    <w:pPr>
      <w:tabs>
        <w:tab w:val="left" w:pos="1134"/>
        <w:tab w:val="left" w:pos="1871"/>
        <w:tab w:val="left" w:pos="2268"/>
      </w:tabs>
      <w:overflowPunct w:val="0"/>
      <w:autoSpaceDE w:val="0"/>
      <w:autoSpaceDN w:val="0"/>
      <w:adjustRightInd w:val="0"/>
      <w:spacing w:before="360"/>
      <w:jc w:val="both"/>
      <w:textAlignment w:val="baseline"/>
    </w:pPr>
    <w:rPr>
      <w:rFonts w:eastAsia="Times New Roman"/>
      <w:lang w:val="en-GB" w:eastAsia="en-US"/>
    </w:rPr>
  </w:style>
  <w:style w:type="paragraph" w:customStyle="1" w:styleId="MEP">
    <w:name w:val="MEP"/>
    <w:basedOn w:val="Normal"/>
    <w:rsid w:val="001714CE"/>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1714CE"/>
  </w:style>
  <w:style w:type="paragraph" w:customStyle="1" w:styleId="enumlev1">
    <w:name w:val="enumlev1"/>
    <w:basedOn w:val="Normal"/>
    <w:rsid w:val="001714CE"/>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1714CE"/>
  </w:style>
  <w:style w:type="character" w:customStyle="1" w:styleId="Appref">
    <w:name w:val="App#_ref"/>
    <w:basedOn w:val="DefaultParagraphFont"/>
    <w:rsid w:val="001714CE"/>
  </w:style>
  <w:style w:type="character" w:customStyle="1" w:styleId="href2">
    <w:name w:val="href2"/>
    <w:basedOn w:val="href"/>
    <w:rsid w:val="001714CE"/>
  </w:style>
  <w:style w:type="character" w:styleId="PageNumber">
    <w:name w:val="page number"/>
    <w:basedOn w:val="DefaultParagraphFont"/>
    <w:rsid w:val="001714CE"/>
  </w:style>
  <w:style w:type="paragraph" w:customStyle="1" w:styleId="HeaderRegProc">
    <w:name w:val="Header_RegProc"/>
    <w:basedOn w:val="Normal"/>
    <w:rsid w:val="001714CE"/>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Sikacheva, Violetta</cp:lastModifiedBy>
  <cp:revision>2</cp:revision>
  <cp:lastPrinted>2009-03-10T11:09:00Z</cp:lastPrinted>
  <dcterms:created xsi:type="dcterms:W3CDTF">2012-09-05T09:17:00Z</dcterms:created>
  <dcterms:modified xsi:type="dcterms:W3CDTF">2012-09-05T09:17:00Z</dcterms:modified>
</cp:coreProperties>
</file>