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33E87" w14:textId="77777777" w:rsidR="00E962C0" w:rsidRPr="00E71D0E" w:rsidRDefault="00E962C0" w:rsidP="00E962C0">
      <w:pPr>
        <w:pStyle w:val="Heading1"/>
        <w:keepNext w:val="0"/>
        <w:keepLines w:val="0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6"/>
      <w:r w:rsidRPr="00E71D0E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6AA27AF6" w14:textId="77777777" w:rsidR="00E962C0" w:rsidRPr="00E71D0E" w:rsidRDefault="00E962C0" w:rsidP="00E962C0">
      <w:pPr>
        <w:pStyle w:val="Heading2"/>
        <w:jc w:val="center"/>
        <w:rPr>
          <w:color w:val="000000"/>
          <w:lang w:val="ru-RU"/>
        </w:rPr>
      </w:pPr>
      <w:bookmarkStart w:id="1" w:name="_Toc103501727"/>
      <w:r w:rsidRPr="00E71D0E">
        <w:rPr>
          <w:color w:val="000000"/>
          <w:lang w:val="ru-RU"/>
        </w:rPr>
        <w:t xml:space="preserve">СТАТЬИ </w:t>
      </w:r>
      <w:r w:rsidRPr="00E71D0E">
        <w:rPr>
          <w:rStyle w:val="href2"/>
          <w:color w:val="000000"/>
          <w:lang w:val="ru-RU"/>
        </w:rPr>
        <w:t>22</w:t>
      </w:r>
      <w:r w:rsidRPr="00E71D0E">
        <w:rPr>
          <w:color w:val="000000"/>
          <w:lang w:val="ru-RU"/>
        </w:rPr>
        <w:t xml:space="preserve"> </w:t>
      </w:r>
      <w:bookmarkEnd w:id="1"/>
      <w:r w:rsidRPr="00E71D0E">
        <w:rPr>
          <w:color w:val="000000"/>
          <w:lang w:val="ru-RU"/>
        </w:rPr>
        <w:t>РР</w:t>
      </w:r>
    </w:p>
    <w:p w14:paraId="668949BC" w14:textId="1C406FC2" w:rsidR="00C25CBF" w:rsidRPr="00E71D0E" w:rsidRDefault="00C25CBF" w:rsidP="00C25CBF">
      <w:pPr>
        <w:pStyle w:val="Heading8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22.5K</w:t>
      </w:r>
      <w:r w:rsidR="00D900B7" w:rsidRPr="00E71D0E">
        <w:rPr>
          <w:rFonts w:asciiTheme="majorBidi" w:hAnsiTheme="majorBidi" w:cstheme="majorBidi"/>
          <w:b w:val="0"/>
          <w:bCs w:val="0"/>
          <w:lang w:val="ru-RU"/>
        </w:rPr>
        <w:tab/>
      </w:r>
      <w:r w:rsidR="00D900B7" w:rsidRPr="00E71D0E">
        <w:rPr>
          <w:rFonts w:asciiTheme="majorBidi" w:hAnsiTheme="majorBidi" w:cstheme="majorBidi"/>
          <w:b w:val="0"/>
          <w:bCs w:val="0"/>
          <w:lang w:val="ru-RU"/>
        </w:rPr>
        <w:tab/>
      </w:r>
      <w:r w:rsidR="00D900B7" w:rsidRPr="00E71D0E">
        <w:rPr>
          <w:b w:val="0"/>
          <w:bCs w:val="0"/>
          <w:sz w:val="16"/>
          <w:szCs w:val="16"/>
          <w:lang w:val="ru-RU"/>
        </w:rPr>
        <w:t>(ADD RRB24/510)</w:t>
      </w:r>
    </w:p>
    <w:p w14:paraId="3BDEACDB" w14:textId="77777777" w:rsidR="00C25CBF" w:rsidRPr="00E71D0E" w:rsidRDefault="00C25CBF" w:rsidP="00C25CBF">
      <w:pPr>
        <w:spacing w:before="120"/>
        <w:jc w:val="both"/>
        <w:rPr>
          <w:sz w:val="22"/>
          <w:szCs w:val="22"/>
          <w:lang w:val="ru-RU"/>
        </w:rPr>
      </w:pPr>
      <w:r w:rsidRPr="00E71D0E">
        <w:rPr>
          <w:sz w:val="22"/>
          <w:szCs w:val="22"/>
          <w:lang w:val="ru-RU"/>
        </w:rPr>
        <w:t xml:space="preserve">Отметив, что Всемирная конференция радиосвязи (Дубай, 2023 г.) (ВКР-23) не обновила ссылки на </w:t>
      </w:r>
      <w:r w:rsidRPr="00E71D0E">
        <w:rPr>
          <w:color w:val="000000"/>
          <w:sz w:val="22"/>
          <w:szCs w:val="22"/>
          <w:lang w:val="ru-RU"/>
        </w:rPr>
        <w:t>Резолюцию</w:t>
      </w:r>
      <w:r w:rsidRPr="00E71D0E">
        <w:rPr>
          <w:sz w:val="22"/>
          <w:szCs w:val="22"/>
          <w:lang w:val="ru-RU"/>
        </w:rPr>
        <w:t> </w:t>
      </w:r>
      <w:r w:rsidRPr="00E71D0E">
        <w:rPr>
          <w:b/>
          <w:bCs/>
          <w:sz w:val="22"/>
          <w:szCs w:val="22"/>
          <w:lang w:val="ru-RU"/>
        </w:rPr>
        <w:t>76 (</w:t>
      </w:r>
      <w:proofErr w:type="spellStart"/>
      <w:r w:rsidRPr="00E71D0E">
        <w:rPr>
          <w:b/>
          <w:bCs/>
          <w:sz w:val="22"/>
          <w:szCs w:val="22"/>
          <w:lang w:val="ru-RU"/>
        </w:rPr>
        <w:t>Пересм</w:t>
      </w:r>
      <w:proofErr w:type="spellEnd"/>
      <w:r w:rsidRPr="00E71D0E">
        <w:rPr>
          <w:b/>
          <w:bCs/>
          <w:sz w:val="22"/>
          <w:szCs w:val="22"/>
          <w:lang w:val="ru-RU"/>
        </w:rPr>
        <w:t>. ВКР-23)</w:t>
      </w:r>
      <w:r w:rsidRPr="00E71D0E">
        <w:rPr>
          <w:sz w:val="22"/>
          <w:szCs w:val="22"/>
          <w:lang w:val="ru-RU"/>
        </w:rPr>
        <w:t xml:space="preserve"> в п. </w:t>
      </w:r>
      <w:r w:rsidRPr="00E71D0E">
        <w:rPr>
          <w:b/>
          <w:bCs/>
          <w:sz w:val="22"/>
          <w:szCs w:val="22"/>
          <w:lang w:val="ru-RU"/>
        </w:rPr>
        <w:t>22.5K</w:t>
      </w:r>
      <w:r w:rsidRPr="00E71D0E">
        <w:rPr>
          <w:sz w:val="22"/>
          <w:szCs w:val="22"/>
          <w:lang w:val="ru-RU"/>
        </w:rPr>
        <w:t>, Комитет принял решение, что это положение применяется к системам на негеостационарной спутниковой орбите (НГСО), работающим в фиксированной спутниковой службе в полосах частот и Районах, перечисленных в Таблицах 1A, 1B, 1C и 1D Резолюции </w:t>
      </w:r>
      <w:r w:rsidRPr="00E71D0E">
        <w:rPr>
          <w:b/>
          <w:bCs/>
          <w:sz w:val="22"/>
          <w:szCs w:val="22"/>
          <w:lang w:val="ru-RU"/>
        </w:rPr>
        <w:t>76 (</w:t>
      </w:r>
      <w:proofErr w:type="spellStart"/>
      <w:r w:rsidRPr="00E71D0E">
        <w:rPr>
          <w:b/>
          <w:bCs/>
          <w:sz w:val="22"/>
          <w:szCs w:val="22"/>
          <w:lang w:val="ru-RU"/>
        </w:rPr>
        <w:t>Пересм</w:t>
      </w:r>
      <w:proofErr w:type="spellEnd"/>
      <w:r w:rsidRPr="00E71D0E">
        <w:rPr>
          <w:b/>
          <w:bCs/>
          <w:sz w:val="22"/>
          <w:szCs w:val="22"/>
          <w:lang w:val="ru-RU"/>
        </w:rPr>
        <w:t>. ВКР-23)</w:t>
      </w:r>
      <w:r w:rsidRPr="00E71D0E">
        <w:rPr>
          <w:sz w:val="22"/>
          <w:szCs w:val="22"/>
          <w:lang w:val="ru-RU"/>
        </w:rPr>
        <w:t>. Кроме того, Комитет пришел к заключению, что это положение не применяется к системам НГСО, работающим в фиксированной спутниковой службе в полосе частот 17,3–17,7 ГГц в Районе 2.</w:t>
      </w:r>
    </w:p>
    <w:p w14:paraId="765418DD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728"/>
      <w:r w:rsidRPr="00E71D0E">
        <w:rPr>
          <w:color w:val="000000"/>
          <w:sz w:val="22"/>
          <w:szCs w:val="22"/>
          <w:lang w:val="ru-RU"/>
        </w:rPr>
        <w:t>22.10</w:t>
      </w:r>
      <w:bookmarkEnd w:id="2"/>
    </w:p>
    <w:p w14:paraId="134ACCE6" w14:textId="77777777" w:rsidR="00E962C0" w:rsidRPr="00E71D0E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По мнению Комитета, данное положение означает, что именно заинтересованная администрация должна решать, может она или не может соответствовать ограничениям, определенным по п. </w:t>
      </w:r>
      <w:r w:rsidRPr="00E71D0E">
        <w:rPr>
          <w:b/>
          <w:color w:val="000000"/>
          <w:sz w:val="22"/>
          <w:szCs w:val="22"/>
          <w:lang w:val="ru-RU"/>
        </w:rPr>
        <w:t>22.8</w:t>
      </w:r>
      <w:r w:rsidRPr="00E71D0E">
        <w:rPr>
          <w:color w:val="000000"/>
          <w:sz w:val="22"/>
          <w:szCs w:val="22"/>
          <w:lang w:val="ru-RU"/>
        </w:rPr>
        <w:t>. Что касается проводимой Бюро проверки соответствия в отношении п. </w:t>
      </w:r>
      <w:r w:rsidRPr="00E71D0E">
        <w:rPr>
          <w:b/>
          <w:color w:val="000000"/>
          <w:sz w:val="22"/>
          <w:szCs w:val="22"/>
          <w:lang w:val="ru-RU"/>
        </w:rPr>
        <w:t>22.10</w:t>
      </w:r>
      <w:r w:rsidRPr="00E71D0E">
        <w:rPr>
          <w:color w:val="000000"/>
          <w:sz w:val="22"/>
          <w:szCs w:val="22"/>
          <w:lang w:val="ru-RU"/>
        </w:rPr>
        <w:t>, Бюро выносит благоприятное заключение согласно п. </w:t>
      </w:r>
      <w:r w:rsidRPr="00E71D0E">
        <w:rPr>
          <w:b/>
          <w:color w:val="000000"/>
          <w:sz w:val="22"/>
          <w:szCs w:val="22"/>
          <w:lang w:val="ru-RU"/>
        </w:rPr>
        <w:t>11.31</w:t>
      </w:r>
      <w:r w:rsidRPr="00E71D0E">
        <w:rPr>
          <w:color w:val="000000"/>
          <w:sz w:val="22"/>
          <w:szCs w:val="22"/>
          <w:lang w:val="ru-RU"/>
        </w:rPr>
        <w:t xml:space="preserve"> при рассмотрении обоснованности допустимого отклонения по долготе только в следующих случаях: </w:t>
      </w:r>
    </w:p>
    <w:p w14:paraId="37A35BB6" w14:textId="77777777" w:rsidR="00E962C0" w:rsidRPr="00E71D0E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71D0E">
        <w:rPr>
          <w:i/>
          <w:color w:val="000000"/>
          <w:sz w:val="22"/>
          <w:szCs w:val="22"/>
          <w:lang w:val="ru-RU"/>
        </w:rPr>
        <w:t>a)</w:t>
      </w:r>
      <w:r w:rsidRPr="00E71D0E">
        <w:rPr>
          <w:color w:val="000000"/>
          <w:sz w:val="22"/>
          <w:szCs w:val="22"/>
          <w:lang w:val="ru-RU"/>
        </w:rPr>
        <w:tab/>
        <w:t xml:space="preserve">если допустимое отклонение находится в пределах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0,1°, или</w:t>
      </w:r>
    </w:p>
    <w:p w14:paraId="11022BE3" w14:textId="77777777" w:rsidR="00E962C0" w:rsidRPr="00E71D0E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71D0E">
        <w:rPr>
          <w:i/>
          <w:color w:val="000000"/>
          <w:sz w:val="22"/>
          <w:szCs w:val="22"/>
          <w:lang w:val="ru-RU"/>
        </w:rPr>
        <w:t>b)</w:t>
      </w:r>
      <w:r w:rsidRPr="00E71D0E">
        <w:rPr>
          <w:color w:val="000000"/>
          <w:sz w:val="22"/>
          <w:szCs w:val="22"/>
          <w:lang w:val="ru-RU"/>
        </w:rPr>
        <w:tab/>
        <w:t xml:space="preserve">если администрация указывает, что ее космическая станция имеет возможность при необходимости поддерживать свое положение в пределах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0,1°.</w:t>
      </w:r>
    </w:p>
    <w:p w14:paraId="1B5A63FB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3" w:name="_Toc103501729"/>
      <w:r w:rsidRPr="00E71D0E">
        <w:rPr>
          <w:color w:val="000000"/>
          <w:sz w:val="22"/>
          <w:szCs w:val="22"/>
          <w:lang w:val="ru-RU"/>
        </w:rPr>
        <w:t>22.14</w:t>
      </w:r>
      <w:bookmarkEnd w:id="3"/>
    </w:p>
    <w:p w14:paraId="75BA56B8" w14:textId="77777777" w:rsidR="00E962C0" w:rsidRPr="00E71D0E" w:rsidRDefault="00E962C0" w:rsidP="0034157D">
      <w:pPr>
        <w:spacing w:before="120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Применяются замечания к Правилам процедуры, касающиеся п. </w:t>
      </w:r>
      <w:r w:rsidRPr="00E71D0E">
        <w:rPr>
          <w:rStyle w:val="Artref"/>
          <w:b/>
          <w:color w:val="000000"/>
          <w:sz w:val="22"/>
          <w:szCs w:val="22"/>
          <w:lang w:val="ru-RU"/>
        </w:rPr>
        <w:t>22.10</w:t>
      </w:r>
      <w:r w:rsidRPr="00E71D0E">
        <w:rPr>
          <w:color w:val="000000"/>
          <w:sz w:val="22"/>
          <w:szCs w:val="22"/>
          <w:lang w:val="ru-RU"/>
        </w:rPr>
        <w:t xml:space="preserve">, с заменой 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0,1° на </w:t>
      </w:r>
      <w:r w:rsidRPr="00E71D0E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71D0E">
        <w:rPr>
          <w:color w:val="000000"/>
          <w:sz w:val="22"/>
          <w:szCs w:val="22"/>
          <w:lang w:val="ru-RU"/>
        </w:rPr>
        <w:t>0,5°.</w:t>
      </w:r>
    </w:p>
    <w:p w14:paraId="089DB613" w14:textId="77777777" w:rsidR="00E962C0" w:rsidRPr="00E71D0E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30"/>
      <w:r w:rsidRPr="00E71D0E">
        <w:rPr>
          <w:color w:val="000000"/>
          <w:sz w:val="22"/>
          <w:szCs w:val="22"/>
          <w:lang w:val="ru-RU"/>
        </w:rPr>
        <w:t>22.19</w:t>
      </w:r>
      <w:bookmarkEnd w:id="4"/>
    </w:p>
    <w:p w14:paraId="255EB9AA" w14:textId="77777777" w:rsidR="00E962C0" w:rsidRPr="00E71D0E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В случае точности наведения отсутствуют обязательные значения, которые должны соблюдаться. Администрация должна показать, что ее космическая станция имеет возможность поддерживать точность наведения в пределах, указанных в данном положении. В случае отсутствия такого заявления Бюро выносит неблагоприятное заключение согласно п. </w:t>
      </w:r>
      <w:r w:rsidRPr="00E71D0E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E71D0E">
        <w:rPr>
          <w:color w:val="000000"/>
          <w:sz w:val="22"/>
          <w:szCs w:val="22"/>
          <w:lang w:val="ru-RU"/>
        </w:rPr>
        <w:t>.</w:t>
      </w:r>
    </w:p>
    <w:p w14:paraId="3E058287" w14:textId="77777777" w:rsidR="00E962C0" w:rsidRPr="00E71D0E" w:rsidRDefault="00E962C0" w:rsidP="00E962C0">
      <w:pPr>
        <w:jc w:val="both"/>
        <w:rPr>
          <w:color w:val="000000"/>
          <w:sz w:val="22"/>
          <w:szCs w:val="22"/>
          <w:lang w:val="ru-RU"/>
        </w:rPr>
      </w:pPr>
    </w:p>
    <w:p w14:paraId="746D51BA" w14:textId="77777777" w:rsidR="000A5071" w:rsidRPr="00E71D0E" w:rsidRDefault="00E962C0" w:rsidP="00E962C0">
      <w:pPr>
        <w:jc w:val="center"/>
        <w:rPr>
          <w:color w:val="000000"/>
          <w:sz w:val="22"/>
          <w:szCs w:val="22"/>
          <w:lang w:val="ru-RU"/>
        </w:rPr>
      </w:pPr>
      <w:r w:rsidRPr="00E71D0E">
        <w:rPr>
          <w:color w:val="000000"/>
          <w:sz w:val="22"/>
          <w:szCs w:val="22"/>
          <w:lang w:val="ru-RU"/>
        </w:rPr>
        <w:t>_________________</w:t>
      </w:r>
    </w:p>
    <w:p w14:paraId="20E540DC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15F60E2B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1B8A3DB9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216E9B3B" w14:textId="77777777" w:rsidR="00875BFB" w:rsidRPr="00E71D0E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14:paraId="2B45E2AD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</w:pPr>
    </w:p>
    <w:p w14:paraId="3315E230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  <w:sectPr w:rsidR="0034157D" w:rsidRPr="00E71D0E" w:rsidSect="00FD0970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69930F05" w14:textId="77777777" w:rsidR="0034157D" w:rsidRPr="00E71D0E" w:rsidRDefault="0034157D" w:rsidP="00E962C0">
      <w:pPr>
        <w:jc w:val="center"/>
        <w:rPr>
          <w:color w:val="000000"/>
          <w:sz w:val="22"/>
          <w:szCs w:val="22"/>
          <w:lang w:val="ru-RU"/>
        </w:rPr>
      </w:pPr>
    </w:p>
    <w:sectPr w:rsidR="0034157D" w:rsidRPr="00E71D0E" w:rsidSect="00E962C0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B6E4F" w14:textId="77777777" w:rsidR="005E150E" w:rsidRDefault="005E150E">
      <w:r>
        <w:separator/>
      </w:r>
    </w:p>
  </w:endnote>
  <w:endnote w:type="continuationSeparator" w:id="0">
    <w:p w14:paraId="45F1841F" w14:textId="77777777" w:rsidR="005E150E" w:rsidRDefault="005E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A6318" w14:textId="77777777" w:rsidR="005E150E" w:rsidRDefault="005E150E">
      <w:r>
        <w:separator/>
      </w:r>
    </w:p>
  </w:footnote>
  <w:footnote w:type="continuationSeparator" w:id="0">
    <w:p w14:paraId="493B7212" w14:textId="77777777" w:rsidR="005E150E" w:rsidRDefault="005E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5BFB" w14:paraId="2CFF78D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5B722" w14:textId="77777777" w:rsidR="00875BFB" w:rsidRDefault="00875BFB" w:rsidP="00FD0970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7F7462" w14:textId="77777777" w:rsidR="00875BFB" w:rsidRPr="002E161B" w:rsidRDefault="00875BFB" w:rsidP="00FD0970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>
            <w:rPr>
              <w:lang w:val="en-GB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A0B60E" w14:textId="77777777" w:rsidR="00875BFB" w:rsidRDefault="00875BFB" w:rsidP="00FD097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679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752B00" w14:textId="09364D6F" w:rsidR="00875BFB" w:rsidRPr="009212B8" w:rsidRDefault="00875BFB" w:rsidP="00FD0970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A47198">
            <w:rPr>
              <w:lang w:val="en-GB"/>
            </w:rPr>
            <w:t>5</w:t>
          </w:r>
        </w:p>
      </w:tc>
    </w:tr>
  </w:tbl>
  <w:p w14:paraId="5FCBA1C7" w14:textId="77777777" w:rsidR="00875BFB" w:rsidRDefault="00875BFB" w:rsidP="00FD0970">
    <w:pPr>
      <w:pStyle w:val="Header"/>
      <w:spacing w:before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7D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157D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D66DE"/>
    <w:rsid w:val="005E0B61"/>
    <w:rsid w:val="005E150E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1F6E"/>
    <w:rsid w:val="00852401"/>
    <w:rsid w:val="00854971"/>
    <w:rsid w:val="0087540D"/>
    <w:rsid w:val="00875BFB"/>
    <w:rsid w:val="00876796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4A93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47198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1CF5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25CB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00B7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2664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1D0E"/>
    <w:rsid w:val="00E72CEC"/>
    <w:rsid w:val="00E72E5D"/>
    <w:rsid w:val="00E73FF9"/>
    <w:rsid w:val="00E8015B"/>
    <w:rsid w:val="00E828C7"/>
    <w:rsid w:val="00E9190B"/>
    <w:rsid w:val="00E92666"/>
    <w:rsid w:val="00E962C0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0970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BEB81F"/>
  <w15:docId w15:val="{6FDBEBE6-11F6-44EA-BFFE-CE96CFC6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62C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62C0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962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962C0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E962C0"/>
  </w:style>
  <w:style w:type="paragraph" w:customStyle="1" w:styleId="enumlev1">
    <w:name w:val="enumlev1"/>
    <w:basedOn w:val="Normal"/>
    <w:rsid w:val="00E962C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962C0"/>
  </w:style>
  <w:style w:type="character" w:styleId="PageNumber">
    <w:name w:val="page number"/>
    <w:basedOn w:val="DefaultParagraphFont"/>
    <w:rsid w:val="00E962C0"/>
  </w:style>
  <w:style w:type="paragraph" w:customStyle="1" w:styleId="HeaderRegProc">
    <w:name w:val="Header_RegProc"/>
    <w:basedOn w:val="Normal"/>
    <w:rsid w:val="00E962C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creator>POOL</dc:creator>
  <cp:lastModifiedBy>Berdyeva, Elena</cp:lastModifiedBy>
  <cp:revision>7</cp:revision>
  <cp:lastPrinted>1999-11-03T08:25:00Z</cp:lastPrinted>
  <dcterms:created xsi:type="dcterms:W3CDTF">2012-09-05T09:12:00Z</dcterms:created>
  <dcterms:modified xsi:type="dcterms:W3CDTF">2024-12-04T09:22:00Z</dcterms:modified>
</cp:coreProperties>
</file>