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03A32" w14:textId="77777777" w:rsidR="00FF5E31" w:rsidRPr="00574DA9" w:rsidRDefault="00FF5E31" w:rsidP="00FF5E31">
      <w:pPr>
        <w:rPr>
          <w:rStyle w:val="href"/>
          <w:sz w:val="16"/>
          <w:szCs w:val="16"/>
        </w:rPr>
      </w:pPr>
      <w:r w:rsidRPr="00574DA9">
        <w:rPr>
          <w:rStyle w:val="href"/>
          <w:sz w:val="16"/>
          <w:szCs w:val="16"/>
        </w:rPr>
        <w:t>(ADD RRB2</w:t>
      </w:r>
      <w:r>
        <w:rPr>
          <w:rStyle w:val="href"/>
          <w:sz w:val="16"/>
          <w:szCs w:val="16"/>
        </w:rPr>
        <w:t>2</w:t>
      </w:r>
      <w:r w:rsidRPr="00574DA9">
        <w:rPr>
          <w:rStyle w:val="href"/>
          <w:sz w:val="16"/>
          <w:szCs w:val="16"/>
        </w:rPr>
        <w:t>/4</w:t>
      </w:r>
      <w:r>
        <w:rPr>
          <w:rStyle w:val="href"/>
          <w:sz w:val="16"/>
          <w:szCs w:val="16"/>
        </w:rPr>
        <w:t>84</w:t>
      </w:r>
      <w:r w:rsidRPr="00574DA9">
        <w:rPr>
          <w:rStyle w:val="href"/>
          <w:sz w:val="16"/>
          <w:szCs w:val="16"/>
        </w:rPr>
        <w:t>)</w:t>
      </w:r>
    </w:p>
    <w:p w14:paraId="0247612B" w14:textId="77777777" w:rsidR="00991CA1" w:rsidRPr="006C66E7" w:rsidRDefault="00991CA1" w:rsidP="00991CA1">
      <w:pPr>
        <w:pStyle w:val="Arttitle"/>
        <w:rPr>
          <w:lang w:val="ru-RU"/>
        </w:rPr>
      </w:pPr>
      <w:r w:rsidRPr="006C66E7">
        <w:rPr>
          <w:rStyle w:val="AnnextitleChar1"/>
          <w:rFonts w:eastAsiaTheme="minorEastAsia"/>
          <w:lang w:val="ru-RU"/>
        </w:rPr>
        <w:t xml:space="preserve">Правила, касающиеся одновременного ввода в действие или повторного ввода в действие нескольких геостационарных спутниковых сетей </w:t>
      </w:r>
      <w:r w:rsidRPr="006C66E7">
        <w:rPr>
          <w:rStyle w:val="AnnextitleChar1"/>
          <w:rFonts w:eastAsiaTheme="minorEastAsia"/>
          <w:lang w:val="ru-RU"/>
        </w:rPr>
        <w:br/>
        <w:t>с помощью одного спутника</w:t>
      </w:r>
      <w:r w:rsidRPr="006C66E7">
        <w:rPr>
          <w:rStyle w:val="FootnoteReference"/>
          <w:b w:val="0"/>
          <w:bCs/>
          <w:szCs w:val="24"/>
          <w:lang w:val="ru-RU"/>
        </w:rPr>
        <w:footnoteReference w:id="1"/>
      </w:r>
    </w:p>
    <w:p w14:paraId="07675CB5" w14:textId="77777777" w:rsidR="00991CA1" w:rsidRPr="006C66E7" w:rsidRDefault="00991CA1" w:rsidP="00991CA1">
      <w:pPr>
        <w:pStyle w:val="Normalaftertitle"/>
        <w:rPr>
          <w:lang w:val="ru-RU"/>
        </w:rPr>
      </w:pPr>
      <w:r w:rsidRPr="006C66E7">
        <w:rPr>
          <w:lang w:val="ru-RU"/>
        </w:rPr>
        <w:t xml:space="preserve">Для целей эксплуатации, как, например, в случае риска столкновения, для операций телеметрии, слежения и управления, координационного соглашения и т. д., может потребоваться незначительно переместить спутник из заявленной номинальной орбитальной позиции (включая допустимое отклонение на ±0,1 градуса для космических станций на борту геостационарных спутников фиксированной спутниковой службы или радиовещательной спутниковой службы), чтобы обеспечивать требуемые службы. Комитет принял решение, что в этом конкретном случае, когда запрашиваются разъяснения согласно </w:t>
      </w:r>
      <w:proofErr w:type="spellStart"/>
      <w:r w:rsidRPr="006C66E7">
        <w:rPr>
          <w:lang w:val="ru-RU"/>
        </w:rPr>
        <w:t>п</w:t>
      </w:r>
      <w:r>
        <w:rPr>
          <w:lang w:val="ru-RU"/>
        </w:rPr>
        <w:t>п</w:t>
      </w:r>
      <w:proofErr w:type="spellEnd"/>
      <w:r>
        <w:rPr>
          <w:lang w:val="ru-RU"/>
        </w:rPr>
        <w:t>. </w:t>
      </w:r>
      <w:r w:rsidRPr="006C66E7">
        <w:rPr>
          <w:b/>
          <w:bCs/>
          <w:lang w:val="ru-RU"/>
        </w:rPr>
        <w:t>11.44</w:t>
      </w:r>
      <w:r w:rsidRPr="006C66E7">
        <w:rPr>
          <w:lang w:val="ru-RU"/>
        </w:rPr>
        <w:t xml:space="preserve">, </w:t>
      </w:r>
      <w:r w:rsidRPr="006C66E7">
        <w:rPr>
          <w:b/>
          <w:bCs/>
          <w:lang w:val="ru-RU"/>
        </w:rPr>
        <w:t>11.44B</w:t>
      </w:r>
      <w:r w:rsidRPr="006C66E7">
        <w:rPr>
          <w:lang w:val="ru-RU"/>
        </w:rPr>
        <w:t xml:space="preserve">, </w:t>
      </w:r>
      <w:r w:rsidRPr="006C66E7">
        <w:rPr>
          <w:b/>
          <w:bCs/>
          <w:lang w:val="ru-RU"/>
        </w:rPr>
        <w:t>11.49</w:t>
      </w:r>
      <w:r w:rsidRPr="006C66E7">
        <w:rPr>
          <w:lang w:val="ru-RU"/>
        </w:rPr>
        <w:t xml:space="preserve"> или </w:t>
      </w:r>
      <w:r w:rsidRPr="006C66E7">
        <w:rPr>
          <w:b/>
          <w:bCs/>
          <w:lang w:val="ru-RU"/>
        </w:rPr>
        <w:t>13.6</w:t>
      </w:r>
      <w:r w:rsidRPr="006C66E7">
        <w:rPr>
          <w:lang w:val="ru-RU"/>
        </w:rPr>
        <w:t xml:space="preserve"> Регламента радиосвязи относительно ввода в действие, повторного ввода в действие или непрерывного использования заявленных характеристик спутниковой сети, Бюро должно учитывать, что спутник, расположенный на расстоянии не более чем 0,5 градуса по заявленной долготе от номинальной позиции спутниковой сети, будет считаться соответствующим требованиям </w:t>
      </w:r>
      <w:proofErr w:type="spellStart"/>
      <w:r w:rsidRPr="006C66E7">
        <w:rPr>
          <w:lang w:val="ru-RU"/>
        </w:rPr>
        <w:t>п</w:t>
      </w:r>
      <w:r>
        <w:rPr>
          <w:lang w:val="ru-RU"/>
        </w:rPr>
        <w:t>п</w:t>
      </w:r>
      <w:proofErr w:type="spellEnd"/>
      <w:r>
        <w:rPr>
          <w:lang w:val="ru-RU"/>
        </w:rPr>
        <w:t>. </w:t>
      </w:r>
      <w:r w:rsidRPr="006C66E7">
        <w:rPr>
          <w:b/>
          <w:bCs/>
          <w:lang w:val="ru-RU"/>
        </w:rPr>
        <w:t>11.44</w:t>
      </w:r>
      <w:r w:rsidRPr="006C66E7">
        <w:rPr>
          <w:lang w:val="ru-RU"/>
        </w:rPr>
        <w:t xml:space="preserve">, </w:t>
      </w:r>
      <w:r w:rsidRPr="006C66E7">
        <w:rPr>
          <w:b/>
          <w:bCs/>
          <w:lang w:val="ru-RU"/>
        </w:rPr>
        <w:t>11.44B</w:t>
      </w:r>
      <w:r w:rsidRPr="006C66E7">
        <w:rPr>
          <w:lang w:val="ru-RU"/>
        </w:rPr>
        <w:t xml:space="preserve">, </w:t>
      </w:r>
      <w:r w:rsidRPr="006C66E7">
        <w:rPr>
          <w:b/>
          <w:bCs/>
          <w:lang w:val="ru-RU"/>
        </w:rPr>
        <w:t>11.49</w:t>
      </w:r>
      <w:r w:rsidRPr="006C66E7">
        <w:rPr>
          <w:lang w:val="ru-RU"/>
        </w:rPr>
        <w:t xml:space="preserve"> или </w:t>
      </w:r>
      <w:r w:rsidRPr="006C66E7">
        <w:rPr>
          <w:b/>
          <w:bCs/>
          <w:lang w:val="ru-RU"/>
        </w:rPr>
        <w:t>13.6</w:t>
      </w:r>
      <w:r w:rsidRPr="006C66E7">
        <w:rPr>
          <w:lang w:val="ru-RU"/>
        </w:rPr>
        <w:t>, в зависимости от случая, при следующих условиях:</w:t>
      </w:r>
    </w:p>
    <w:p w14:paraId="235C3412"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1</w:t>
      </w:r>
      <w:r w:rsidRPr="006C66E7">
        <w:rPr>
          <w:lang w:val="ru-RU"/>
        </w:rPr>
        <w:tab/>
        <w:t xml:space="preserve">космическая станция связана с одной или несколькими заявками на регистрацию спутниковых сетей в одной отдельной орбитальной позиции; </w:t>
      </w:r>
    </w:p>
    <w:p w14:paraId="2346565F"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2</w:t>
      </w:r>
      <w:r w:rsidRPr="006C66E7">
        <w:rPr>
          <w:lang w:val="ru-RU"/>
        </w:rPr>
        <w:tab/>
        <w:t>космическая станция может удерживать свою позицию в пределах ±0,1 градуса от своих номинальных позиций;</w:t>
      </w:r>
    </w:p>
    <w:p w14:paraId="5C6C3BCF"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3</w:t>
      </w:r>
      <w:r w:rsidRPr="006C66E7">
        <w:rPr>
          <w:lang w:val="ru-RU"/>
        </w:rPr>
        <w:tab/>
        <w:t>не будут поступать донесения о любых неприемлемых помехах, когда отклонение спутника превысит это допуск (не более 0,5 градуса); а также</w:t>
      </w:r>
    </w:p>
    <w:p w14:paraId="3F3F6CB9"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4</w:t>
      </w:r>
      <w:r w:rsidRPr="006C66E7">
        <w:rPr>
          <w:lang w:val="ru-RU"/>
        </w:rPr>
        <w:tab/>
        <w:t>такая работа не вызывает большего объема помех или не требует большей защиты, чем если бы космическая станция работала с допустимым отклонением в пределах ±0,1 градуса от заявленной орбитальной позиции.</w:t>
      </w:r>
    </w:p>
    <w:p w14:paraId="7F3AC261" w14:textId="77777777" w:rsidR="00991CA1" w:rsidRPr="006C66E7" w:rsidRDefault="00991CA1" w:rsidP="00991CA1">
      <w:pPr>
        <w:rPr>
          <w:b/>
          <w:bCs/>
          <w:lang w:val="ru-RU"/>
        </w:rPr>
      </w:pPr>
      <w:r w:rsidRPr="006C66E7">
        <w:rPr>
          <w:lang w:val="ru-RU"/>
        </w:rPr>
        <w:t xml:space="preserve">Наряду с этим Комитет принял решение, что Бюро должно считать, что спутник, расположенный на расстоянии не более чем 0,5 градуса от нескольких заявленных номинальных позиций спутниковых сетей, может использоваться для ввода в действие, повторного ввода в действие или непрерывного использования заявленных характеристик частотных присвоений этих спутниковых сетей согласно </w:t>
      </w:r>
      <w:proofErr w:type="spellStart"/>
      <w:r w:rsidRPr="006C66E7">
        <w:rPr>
          <w:lang w:val="ru-RU"/>
        </w:rPr>
        <w:t>п</w:t>
      </w:r>
      <w:r>
        <w:rPr>
          <w:lang w:val="ru-RU"/>
        </w:rPr>
        <w:t>п</w:t>
      </w:r>
      <w:proofErr w:type="spellEnd"/>
      <w:r>
        <w:rPr>
          <w:lang w:val="ru-RU"/>
        </w:rPr>
        <w:t>. </w:t>
      </w:r>
      <w:r w:rsidRPr="006C66E7">
        <w:rPr>
          <w:b/>
          <w:lang w:val="ru-RU"/>
        </w:rPr>
        <w:t>11.44</w:t>
      </w:r>
      <w:r w:rsidRPr="006C66E7">
        <w:rPr>
          <w:lang w:val="ru-RU"/>
        </w:rPr>
        <w:t xml:space="preserve">, </w:t>
      </w:r>
      <w:r w:rsidRPr="006C66E7">
        <w:rPr>
          <w:b/>
          <w:lang w:val="ru-RU"/>
        </w:rPr>
        <w:t>11.44B</w:t>
      </w:r>
      <w:r w:rsidRPr="006C66E7">
        <w:rPr>
          <w:bCs/>
          <w:lang w:val="ru-RU"/>
        </w:rPr>
        <w:t xml:space="preserve">, </w:t>
      </w:r>
      <w:r w:rsidRPr="006C66E7">
        <w:rPr>
          <w:b/>
          <w:bCs/>
          <w:lang w:val="ru-RU"/>
        </w:rPr>
        <w:t>11.49</w:t>
      </w:r>
      <w:r w:rsidRPr="006C66E7">
        <w:rPr>
          <w:lang w:val="ru-RU"/>
        </w:rPr>
        <w:t xml:space="preserve"> или </w:t>
      </w:r>
      <w:r w:rsidRPr="006C66E7">
        <w:rPr>
          <w:b/>
          <w:lang w:val="ru-RU"/>
        </w:rPr>
        <w:t>13.6</w:t>
      </w:r>
      <w:r w:rsidRPr="006C66E7">
        <w:rPr>
          <w:bCs/>
          <w:lang w:val="ru-RU"/>
        </w:rPr>
        <w:t>, только если</w:t>
      </w:r>
      <w:r w:rsidRPr="006C66E7">
        <w:rPr>
          <w:lang w:val="ru-RU"/>
        </w:rPr>
        <w:t xml:space="preserve"> эти частотные присвоения не перекрывается по ширине полосы. Применяются также условия 2–4, перечисленные выше.</w:t>
      </w:r>
    </w:p>
    <w:p w14:paraId="18AA2AC3" w14:textId="77777777" w:rsidR="00FF5E31" w:rsidRPr="00896F1E" w:rsidRDefault="00FF5E31" w:rsidP="00FF5E31">
      <w:pPr>
        <w:tabs>
          <w:tab w:val="left" w:pos="3402"/>
        </w:tabs>
        <w:spacing w:line="280" w:lineRule="exact"/>
        <w:rPr>
          <w:szCs w:val="24"/>
          <w:rPrChange w:id="0"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1"/>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0C4006E4" w14:textId="77777777" w:rsidR="00991CA1" w:rsidRPr="00FE019D" w:rsidRDefault="00991CA1" w:rsidP="00991CA1">
      <w:pPr>
        <w:pStyle w:val="FootnoteText"/>
        <w:rPr>
          <w:lang w:val="ru-RU"/>
        </w:rPr>
      </w:pPr>
      <w:r>
        <w:rPr>
          <w:rStyle w:val="FootnoteReference"/>
        </w:rPr>
        <w:footnoteRef/>
      </w:r>
      <w:r w:rsidRPr="00FE019D">
        <w:rPr>
          <w:lang w:val="ru-RU"/>
        </w:rPr>
        <w:tab/>
      </w:r>
      <w:r>
        <w:rPr>
          <w:lang w:val="ru-RU"/>
        </w:rPr>
        <w:t>См</w:t>
      </w:r>
      <w:r w:rsidRPr="00FE019D">
        <w:rPr>
          <w:lang w:val="ru-RU"/>
        </w:rPr>
        <w:t xml:space="preserve">. </w:t>
      </w:r>
      <w:r>
        <w:rPr>
          <w:lang w:val="ru-RU"/>
        </w:rPr>
        <w:t>также положения</w:t>
      </w:r>
      <w:r w:rsidRPr="00FE019D">
        <w:rPr>
          <w:lang w:val="ru-RU"/>
        </w:rPr>
        <w:t xml:space="preserve"> </w:t>
      </w:r>
      <w:r>
        <w:rPr>
          <w:lang w:val="ru-RU"/>
        </w:rPr>
        <w:t>Дополнения</w:t>
      </w:r>
      <w:r w:rsidRPr="00FE019D">
        <w:t> </w:t>
      </w:r>
      <w:r w:rsidRPr="00FE019D">
        <w:rPr>
          <w:lang w:val="ru-RU"/>
        </w:rPr>
        <w:t xml:space="preserve">7 "Ограничения орбитальных позиций" </w:t>
      </w:r>
      <w:r>
        <w:rPr>
          <w:lang w:val="ru-RU"/>
        </w:rPr>
        <w:t>Приложения</w:t>
      </w:r>
      <w:r w:rsidRPr="00FE019D">
        <w:t> </w:t>
      </w:r>
      <w:r w:rsidRPr="00FE019D">
        <w:rPr>
          <w:b/>
          <w:bCs/>
          <w:lang w:val="ru-RU"/>
        </w:rPr>
        <w:t>30</w:t>
      </w:r>
      <w:r w:rsidRPr="00FE019D">
        <w:rPr>
          <w:lang w:val="ru-RU"/>
        </w:rPr>
        <w:t xml:space="preserve"> </w:t>
      </w:r>
      <w:r>
        <w:rPr>
          <w:lang w:val="ru-RU"/>
        </w:rPr>
        <w:t>и</w:t>
      </w:r>
      <w:r w:rsidRPr="00FE019D">
        <w:rPr>
          <w:lang w:val="ru-RU"/>
        </w:rPr>
        <w:t xml:space="preserve"> </w:t>
      </w:r>
      <w:r>
        <w:rPr>
          <w:lang w:val="ru-RU"/>
        </w:rPr>
        <w:t>Резолюции </w:t>
      </w:r>
      <w:r w:rsidRPr="00FE019D">
        <w:rPr>
          <w:b/>
          <w:bCs/>
          <w:lang w:val="ru-RU"/>
        </w:rPr>
        <w:t>548</w:t>
      </w:r>
      <w:r>
        <w:rPr>
          <w:b/>
          <w:bCs/>
          <w:lang w:val="en-US"/>
        </w:rPr>
        <w:t> </w:t>
      </w:r>
      <w:r w:rsidRPr="00FE019D">
        <w:rPr>
          <w:b/>
          <w:bCs/>
          <w:lang w:val="ru-RU"/>
        </w:rPr>
        <w:t>(</w:t>
      </w:r>
      <w:r>
        <w:rPr>
          <w:b/>
          <w:bCs/>
          <w:lang w:val="ru-RU"/>
        </w:rPr>
        <w:t>ВКР</w:t>
      </w:r>
      <w:r w:rsidRPr="00FE019D">
        <w:rPr>
          <w:b/>
          <w:bCs/>
          <w:lang w:val="ru-RU"/>
        </w:rPr>
        <w:noBreakHyphen/>
        <w:t>12)</w:t>
      </w:r>
      <w:r w:rsidRPr="00FE019D">
        <w:rPr>
          <w:lang w:val="ru-RU"/>
        </w:rPr>
        <w:t xml:space="preserve"> "Применение </w:t>
      </w:r>
      <w:r w:rsidRPr="00860A78">
        <w:rPr>
          <w:lang w:val="ru-RU"/>
        </w:rPr>
        <w:t>концепции</w:t>
      </w:r>
      <w:r w:rsidRPr="00FE019D">
        <w:rPr>
          <w:lang w:val="ru-RU"/>
        </w:rPr>
        <w:t xml:space="preserve"> группирования в Приложениях</w:t>
      </w:r>
      <w:r>
        <w:rPr>
          <w:lang w:val="ru-RU"/>
        </w:rPr>
        <w:t> </w:t>
      </w:r>
      <w:r w:rsidRPr="00FE019D">
        <w:rPr>
          <w:b/>
          <w:bCs/>
          <w:lang w:val="ru-RU"/>
        </w:rPr>
        <w:t>30</w:t>
      </w:r>
      <w:r w:rsidRPr="00FE019D">
        <w:rPr>
          <w:lang w:val="ru-RU"/>
        </w:rPr>
        <w:t xml:space="preserve"> и </w:t>
      </w:r>
      <w:r w:rsidRPr="00FE019D">
        <w:rPr>
          <w:b/>
          <w:bCs/>
          <w:lang w:val="ru-RU"/>
        </w:rPr>
        <w:t>30А</w:t>
      </w:r>
      <w:r w:rsidRPr="00FE019D">
        <w:rPr>
          <w:lang w:val="ru-RU"/>
        </w:rPr>
        <w:t xml:space="preserve"> в Районах</w:t>
      </w:r>
      <w:r>
        <w:rPr>
          <w:lang w:val="ru-RU"/>
        </w:rPr>
        <w:t> </w:t>
      </w:r>
      <w:r w:rsidRPr="00FE019D">
        <w:rPr>
          <w:lang w:val="ru-RU"/>
        </w:rPr>
        <w:t>1 и</w:t>
      </w:r>
      <w:r>
        <w:rPr>
          <w:lang w:val="ru-RU"/>
        </w:rPr>
        <w:t> </w:t>
      </w:r>
      <w:r w:rsidRPr="00FE019D">
        <w:rPr>
          <w:lang w:val="ru-RU"/>
        </w:rPr>
        <w:t>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proofErr w:type="spellStart"/>
          <w:r>
            <w:rPr>
              <w:lang w:val="fr-CH"/>
            </w:rPr>
            <w:t>rev</w:t>
          </w:r>
          <w:proofErr w:type="spellEnd"/>
          <w:r>
            <w:rPr>
              <w:lang w:val="fr-CH"/>
            </w:rPr>
            <w:t>.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proofErr w:type="spellStart"/>
          <w:r>
            <w:rPr>
              <w:lang w:val="fr-CH"/>
            </w:rPr>
            <w:t>rev</w:t>
          </w:r>
          <w:proofErr w:type="spellEnd"/>
          <w:r>
            <w:rPr>
              <w:lang w:val="fr-CH"/>
            </w:rPr>
            <w:t>.</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43"/>
      <w:gridCol w:w="3684"/>
      <w:gridCol w:w="1701"/>
      <w:gridCol w:w="1701"/>
    </w:tblGrid>
    <w:tr w:rsidR="00A46460" w14:paraId="127AAEAA" w14:textId="77777777" w:rsidTr="00991CA1">
      <w:trPr>
        <w:cantSplit/>
        <w:jc w:val="right"/>
      </w:trPr>
      <w:tc>
        <w:tcPr>
          <w:tcW w:w="1843" w:type="dxa"/>
          <w:tcBorders>
            <w:top w:val="single" w:sz="6" w:space="0" w:color="auto"/>
            <w:left w:val="single" w:sz="6" w:space="0" w:color="auto"/>
            <w:bottom w:val="single" w:sz="6" w:space="0" w:color="auto"/>
            <w:right w:val="single" w:sz="6" w:space="0" w:color="auto"/>
          </w:tcBorders>
        </w:tcPr>
        <w:p w14:paraId="03606B9C" w14:textId="34625FA4" w:rsidR="00A46460" w:rsidRDefault="00991CA1" w:rsidP="00A46460">
          <w:pPr>
            <w:pStyle w:val="HeaderRegProc"/>
            <w:ind w:right="360" w:firstLine="360"/>
            <w:jc w:val="left"/>
          </w:pPr>
          <w:r w:rsidRPr="00991CA1">
            <w:rPr>
              <w:lang w:val="ru-RU"/>
            </w:rPr>
            <w:t>Часть</w:t>
          </w:r>
          <w:r w:rsidR="00A46460">
            <w:t xml:space="preserve"> A1</w:t>
          </w:r>
        </w:p>
      </w:tc>
      <w:tc>
        <w:tcPr>
          <w:tcW w:w="3684" w:type="dxa"/>
          <w:tcBorders>
            <w:top w:val="single" w:sz="6" w:space="0" w:color="auto"/>
            <w:left w:val="single" w:sz="6" w:space="0" w:color="auto"/>
            <w:bottom w:val="single" w:sz="6" w:space="0" w:color="auto"/>
            <w:right w:val="single" w:sz="6" w:space="0" w:color="auto"/>
          </w:tcBorders>
        </w:tcPr>
        <w:p w14:paraId="250CF459" w14:textId="271EAF20" w:rsidR="00A46460" w:rsidRPr="00F31DD9" w:rsidRDefault="00991CA1" w:rsidP="00A46460">
          <w:pPr>
            <w:pStyle w:val="HeaderRegProc"/>
            <w:rPr>
              <w:lang w:val="fr-FR"/>
            </w:rPr>
          </w:pPr>
          <w:proofErr w:type="spellStart"/>
          <w:r w:rsidRPr="00991CA1">
            <w:rPr>
              <w:rFonts w:eastAsia="SimSun"/>
              <w:szCs w:val="24"/>
              <w:lang w:val="fr-FR"/>
            </w:rPr>
            <w:t>Одновремен</w:t>
          </w:r>
          <w:r w:rsidRPr="00991CA1">
            <w:rPr>
              <w:rFonts w:eastAsia="SimSun"/>
              <w:szCs w:val="24"/>
              <w:lang w:val="ru-RU"/>
            </w:rPr>
            <w:t>ный</w:t>
          </w:r>
          <w:proofErr w:type="spellEnd"/>
          <w:r w:rsidRPr="00991CA1">
            <w:rPr>
              <w:rFonts w:eastAsia="SimSun"/>
              <w:szCs w:val="24"/>
              <w:lang w:val="fr-FR"/>
            </w:rPr>
            <w:t xml:space="preserve"> </w:t>
          </w:r>
          <w:proofErr w:type="spellStart"/>
          <w:r w:rsidRPr="00991CA1">
            <w:rPr>
              <w:rFonts w:eastAsia="SimSun"/>
              <w:szCs w:val="24"/>
              <w:lang w:val="fr-FR"/>
            </w:rPr>
            <w:t>ввод</w:t>
          </w:r>
          <w:proofErr w:type="spellEnd"/>
          <w:r w:rsidRPr="00991CA1">
            <w:rPr>
              <w:rFonts w:eastAsia="SimSun"/>
              <w:szCs w:val="24"/>
              <w:lang w:val="fr-FR"/>
            </w:rPr>
            <w:t xml:space="preserve"> в </w:t>
          </w:r>
          <w:proofErr w:type="spellStart"/>
          <w:r w:rsidRPr="00991CA1">
            <w:rPr>
              <w:rFonts w:eastAsia="SimSun"/>
              <w:szCs w:val="24"/>
              <w:lang w:val="fr-FR"/>
            </w:rPr>
            <w:t>действие</w:t>
          </w:r>
          <w:proofErr w:type="spellEnd"/>
        </w:p>
      </w:tc>
      <w:tc>
        <w:tcPr>
          <w:tcW w:w="1701" w:type="dxa"/>
          <w:tcBorders>
            <w:top w:val="single" w:sz="6" w:space="0" w:color="auto"/>
            <w:left w:val="single" w:sz="6" w:space="0" w:color="auto"/>
            <w:bottom w:val="single" w:sz="6" w:space="0" w:color="auto"/>
            <w:right w:val="single" w:sz="6" w:space="0" w:color="auto"/>
          </w:tcBorders>
        </w:tcPr>
        <w:p w14:paraId="7D06C867" w14:textId="01A035F6" w:rsidR="00A46460" w:rsidRDefault="00991CA1" w:rsidP="00A46460">
          <w:pPr>
            <w:pStyle w:val="HeaderRegProc"/>
            <w:rPr>
              <w:lang w:val="fr-CH"/>
            </w:rPr>
          </w:pPr>
          <w:proofErr w:type="spellStart"/>
          <w:r w:rsidRPr="00991CA1">
            <w:rPr>
              <w:lang w:val="ru-RU"/>
            </w:rPr>
            <w:t>Стр</w:t>
          </w:r>
          <w:proofErr w:type="spellEnd"/>
          <w:r w:rsidRPr="00991CA1">
            <w:rPr>
              <w:lang w:val="en-US"/>
            </w:rPr>
            <w:t>.</w:t>
          </w:r>
          <w:r w:rsidR="00A46460">
            <w:rPr>
              <w:lang w:val="fr-FR"/>
            </w:rPr>
            <w:t xml:space="preserve"> </w:t>
          </w:r>
          <w:r w:rsidR="00A46460">
            <w:rPr>
              <w:rStyle w:val="PageNumber"/>
            </w:rPr>
            <w:fldChar w:fldCharType="begin"/>
          </w:r>
          <w:r w:rsidR="00A46460">
            <w:rPr>
              <w:rStyle w:val="PageNumber"/>
            </w:rPr>
            <w:instrText xml:space="preserve">PAGE  </w:instrText>
          </w:r>
          <w:r w:rsidR="00A46460">
            <w:rPr>
              <w:rStyle w:val="PageNumber"/>
            </w:rPr>
            <w:fldChar w:fldCharType="separate"/>
          </w:r>
          <w:r w:rsidR="00A46460">
            <w:rPr>
              <w:rStyle w:val="PageNumber"/>
              <w:noProof/>
            </w:rPr>
            <w:t>15</w:t>
          </w:r>
          <w:r w:rsidR="00A4646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47058355" w:rsidR="00A46460" w:rsidRDefault="00991CA1" w:rsidP="00A46460">
          <w:pPr>
            <w:pStyle w:val="HeaderRegProc"/>
            <w:rPr>
              <w:lang w:val="fr-CH"/>
            </w:rPr>
          </w:pPr>
          <w:proofErr w:type="spellStart"/>
          <w:r w:rsidRPr="00991CA1">
            <w:rPr>
              <w:lang w:val="fr-CH"/>
            </w:rPr>
            <w:t>Пересм</w:t>
          </w:r>
          <w:proofErr w:type="spellEnd"/>
          <w:r w:rsidRPr="00991CA1">
            <w:rPr>
              <w:lang w:val="en-US"/>
            </w:rPr>
            <w:t>.</w:t>
          </w:r>
          <w:r w:rsidR="00747BF9">
            <w:t>2</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CC6B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A0B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A484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7C95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681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14C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6615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56E3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9E5E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6C2F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C08ED"/>
    <w:rsid w:val="000C6AFF"/>
    <w:rsid w:val="000D6D11"/>
    <w:rsid w:val="000F1F42"/>
    <w:rsid w:val="000F264F"/>
    <w:rsid w:val="00145B32"/>
    <w:rsid w:val="0016757F"/>
    <w:rsid w:val="001A0553"/>
    <w:rsid w:val="001A5382"/>
    <w:rsid w:val="001D530B"/>
    <w:rsid w:val="001D56EA"/>
    <w:rsid w:val="002106DE"/>
    <w:rsid w:val="0023504D"/>
    <w:rsid w:val="00241E1D"/>
    <w:rsid w:val="002B0706"/>
    <w:rsid w:val="002C18EA"/>
    <w:rsid w:val="002C76FC"/>
    <w:rsid w:val="002F1791"/>
    <w:rsid w:val="002F1FC2"/>
    <w:rsid w:val="00305A8C"/>
    <w:rsid w:val="0035062F"/>
    <w:rsid w:val="003809B6"/>
    <w:rsid w:val="003955F8"/>
    <w:rsid w:val="003A2A4D"/>
    <w:rsid w:val="003B41E5"/>
    <w:rsid w:val="003D5CCB"/>
    <w:rsid w:val="003E451F"/>
    <w:rsid w:val="003E610A"/>
    <w:rsid w:val="00404E18"/>
    <w:rsid w:val="0041362E"/>
    <w:rsid w:val="00450730"/>
    <w:rsid w:val="004518CE"/>
    <w:rsid w:val="004B0044"/>
    <w:rsid w:val="00503E9E"/>
    <w:rsid w:val="005058C5"/>
    <w:rsid w:val="00547728"/>
    <w:rsid w:val="005838BD"/>
    <w:rsid w:val="005909E8"/>
    <w:rsid w:val="005F039F"/>
    <w:rsid w:val="005F183C"/>
    <w:rsid w:val="00611A23"/>
    <w:rsid w:val="00642765"/>
    <w:rsid w:val="00643B88"/>
    <w:rsid w:val="00646EBE"/>
    <w:rsid w:val="00664897"/>
    <w:rsid w:val="00670019"/>
    <w:rsid w:val="0067377C"/>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E65"/>
    <w:rsid w:val="00991CA1"/>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5D32"/>
    <w:rsid w:val="00F21188"/>
    <w:rsid w:val="00F31DD9"/>
    <w:rsid w:val="00F71A96"/>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CA1"/>
    <w:pPr>
      <w:tabs>
        <w:tab w:val="left" w:pos="1134"/>
        <w:tab w:val="left" w:pos="1871"/>
        <w:tab w:val="left" w:pos="2268"/>
      </w:tabs>
      <w:overflowPunct w:val="0"/>
      <w:autoSpaceDE w:val="0"/>
      <w:autoSpaceDN w:val="0"/>
      <w:adjustRightInd w:val="0"/>
      <w:spacing w:before="200"/>
      <w:jc w:val="both"/>
      <w:textAlignment w:val="baseline"/>
    </w:pPr>
    <w:rPr>
      <w:sz w:val="22"/>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Text 1"/>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qForma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val="en-US" w:eastAsia="zh-CN"/>
    </w:rPr>
  </w:style>
  <w:style w:type="character" w:customStyle="1" w:styleId="hgkelc">
    <w:name w:val="hgkelc"/>
    <w:basedOn w:val="DefaultParagraphFont"/>
    <w:rsid w:val="00FF5E31"/>
  </w:style>
  <w:style w:type="paragraph" w:customStyle="1" w:styleId="Annextitle0">
    <w:name w:val="Annex_title"/>
    <w:basedOn w:val="Normal"/>
    <w:next w:val="Normal"/>
    <w:link w:val="AnnextitleChar1"/>
    <w:rsid w:val="00991CA1"/>
    <w:pPr>
      <w:keepNext/>
      <w:keepLines/>
      <w:spacing w:before="240" w:after="280"/>
      <w:jc w:val="center"/>
    </w:pPr>
    <w:rPr>
      <w:rFonts w:cs="Times New Roman Bold"/>
      <w:sz w:val="26"/>
    </w:rPr>
  </w:style>
  <w:style w:type="character" w:customStyle="1" w:styleId="AnnextitleChar1">
    <w:name w:val="Annex_title Char1"/>
    <w:basedOn w:val="DefaultParagraphFont"/>
    <w:link w:val="Annextitle0"/>
    <w:locked/>
    <w:rsid w:val="00991CA1"/>
    <w:rPr>
      <w:rFonts w:cs="Times New Roman Bold"/>
      <w:sz w:val="26"/>
      <w:lang w:val="en-GB" w:eastAsia="en-US"/>
    </w:rPr>
  </w:style>
  <w:style w:type="character" w:customStyle="1" w:styleId="ArttitleCar">
    <w:name w:val="Art_title Car"/>
    <w:basedOn w:val="DefaultParagraphFont"/>
    <w:link w:val="Arttitle"/>
    <w:locked/>
    <w:rsid w:val="00991CA1"/>
    <w:rPr>
      <w:b/>
      <w:noProof/>
      <w:sz w:val="28"/>
      <w:lang w:eastAsia="en-US"/>
    </w:rPr>
  </w:style>
  <w:style w:type="character" w:customStyle="1" w:styleId="enumlev1Char">
    <w:name w:val="enumlev1 Char"/>
    <w:basedOn w:val="DefaultParagraphFont"/>
    <w:link w:val="enumlev1"/>
    <w:locked/>
    <w:rsid w:val="00991CA1"/>
    <w:rPr>
      <w:sz w:val="24"/>
      <w:lang w:val="en-GB" w:eastAsia="en-US"/>
    </w:rPr>
  </w:style>
  <w:style w:type="character" w:customStyle="1" w:styleId="NormalaftertitleChar">
    <w:name w:val="Normal after title Char"/>
    <w:basedOn w:val="DefaultParagraphFont"/>
    <w:link w:val="Normalaftertitle"/>
    <w:locked/>
    <w:rsid w:val="00991CA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TotalTime>
  <Pages>3</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Berdyeva, Elena</cp:lastModifiedBy>
  <cp:revision>6</cp:revision>
  <cp:lastPrinted>2022-03-30T06:24:00Z</cp:lastPrinted>
  <dcterms:created xsi:type="dcterms:W3CDTF">2022-03-30T06:23:00Z</dcterms:created>
  <dcterms:modified xsi:type="dcterms:W3CDTF">2022-03-31T12:31:00Z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