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58B83" w14:textId="77777777" w:rsidR="00995357" w:rsidRPr="00DE7075" w:rsidRDefault="00995357">
      <w:pPr>
        <w:pStyle w:val="Heading1"/>
        <w:spacing w:before="0"/>
        <w:ind w:left="0" w:firstLine="0"/>
        <w:jc w:val="center"/>
        <w:rPr>
          <w:lang w:val="fr-FR"/>
        </w:rPr>
      </w:pPr>
      <w:r w:rsidRPr="00DE7075">
        <w:rPr>
          <w:lang w:val="fr-FR"/>
        </w:rPr>
        <w:t>INTRODUCTION</w:t>
      </w:r>
    </w:p>
    <w:p w14:paraId="08B5DC50" w14:textId="77777777" w:rsidR="00995357" w:rsidRPr="00DE7075" w:rsidRDefault="00995357">
      <w:pPr>
        <w:pStyle w:val="Heading1"/>
        <w:rPr>
          <w:lang w:val="fr-FR"/>
        </w:rPr>
      </w:pPr>
      <w:r w:rsidRPr="00DE7075">
        <w:rPr>
          <w:lang w:val="fr-FR"/>
        </w:rPr>
        <w:t>PARTIE  A</w:t>
      </w:r>
    </w:p>
    <w:p w14:paraId="43D1939F" w14:textId="77777777" w:rsidR="00995357" w:rsidRPr="00DE7075" w:rsidRDefault="00995357">
      <w:pPr>
        <w:rPr>
          <w:lang w:val="fr-FR"/>
        </w:rPr>
      </w:pPr>
      <w:r w:rsidRPr="00DE7075">
        <w:rPr>
          <w:lang w:val="fr-FR"/>
        </w:rPr>
        <w:t>La Partie A des Règles de procédure concerne les dispositions  spécifiques du Règlement des radiocommunications et des Accords régionaux. Elle comprend les sections suivantes:</w:t>
      </w:r>
    </w:p>
    <w:p w14:paraId="5A191B31"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A1 </w:t>
      </w:r>
      <w:r w:rsidR="00DE7075" w:rsidRPr="00DE7075">
        <w:rPr>
          <w:b/>
          <w:lang w:val="fr-FR"/>
        </w:rPr>
        <w:t>–</w:t>
      </w:r>
      <w:r w:rsidRPr="00DE7075">
        <w:rPr>
          <w:b/>
          <w:lang w:val="fr-FR"/>
        </w:rPr>
        <w:t xml:space="preserve"> RR</w:t>
      </w:r>
      <w:r w:rsidRPr="00DE7075">
        <w:rPr>
          <w:lang w:val="fr-FR"/>
        </w:rPr>
        <w:t>:</w:t>
      </w:r>
      <w:r w:rsidRPr="00DE7075">
        <w:rPr>
          <w:lang w:val="fr-FR"/>
        </w:rPr>
        <w:tab/>
        <w:t>Règlement des radiocommunications (Articles, Appendices et Résolutions).</w:t>
      </w:r>
    </w:p>
    <w:p w14:paraId="10351E3D"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A2 </w:t>
      </w:r>
      <w:r w:rsidR="00DE7075" w:rsidRPr="00DE7075">
        <w:rPr>
          <w:b/>
          <w:lang w:val="fr-FR"/>
        </w:rPr>
        <w:t>–</w:t>
      </w:r>
      <w:r w:rsidRPr="00DE7075">
        <w:rPr>
          <w:b/>
          <w:lang w:val="fr-FR"/>
        </w:rPr>
        <w:t xml:space="preserve"> ST61</w:t>
      </w:r>
      <w:r w:rsidRPr="00DE7075">
        <w:rPr>
          <w:lang w:val="fr-FR"/>
        </w:rPr>
        <w:t>:</w:t>
      </w:r>
      <w:r w:rsidRPr="00DE7075">
        <w:rPr>
          <w:lang w:val="fr-FR"/>
        </w:rPr>
        <w:tab/>
        <w:t>Règles relatives à l'Accord régional pour la Zone européenne de radiodiffusion relatif à l'utilisation par le service de radio</w:t>
      </w:r>
      <w:r w:rsidR="00DE7075" w:rsidRPr="00DE7075">
        <w:rPr>
          <w:lang w:val="fr-FR"/>
        </w:rPr>
        <w:softHyphen/>
      </w:r>
      <w:r w:rsidRPr="00DE7075">
        <w:rPr>
          <w:lang w:val="fr-FR"/>
        </w:rPr>
        <w:t>diffusion de fréquences des bandes des ondes métriques et décimétriques (Stockholm, 1961) (ST61).</w:t>
      </w:r>
    </w:p>
    <w:p w14:paraId="60D5D22A"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A3 </w:t>
      </w:r>
      <w:r w:rsidR="00DE7075" w:rsidRPr="00DE7075">
        <w:rPr>
          <w:b/>
          <w:lang w:val="fr-FR"/>
        </w:rPr>
        <w:t>–</w:t>
      </w:r>
      <w:r w:rsidRPr="00DE7075">
        <w:rPr>
          <w:b/>
          <w:lang w:val="fr-FR"/>
        </w:rPr>
        <w:t xml:space="preserve"> GE75</w:t>
      </w:r>
      <w:r w:rsidRPr="00DE7075">
        <w:rPr>
          <w:lang w:val="fr-FR"/>
        </w:rPr>
        <w:t>:</w:t>
      </w:r>
      <w:r w:rsidRPr="00DE7075">
        <w:rPr>
          <w:lang w:val="fr-FR"/>
        </w:rPr>
        <w:tab/>
        <w:t>Règles relatives à l'Accord régional relatif à l'utilisation par le</w:t>
      </w:r>
      <w:r w:rsidR="00DE7075" w:rsidRPr="00DE7075">
        <w:rPr>
          <w:lang w:val="fr-FR"/>
        </w:rPr>
        <w:t xml:space="preserve"> </w:t>
      </w:r>
      <w:r w:rsidRPr="00DE7075">
        <w:rPr>
          <w:lang w:val="fr-FR"/>
        </w:rPr>
        <w:t>service de radiodiffusion de fréquences dans les bandes des ondes hectométriques dans les Régions 1 et 3 et dans les bandes des ondes kilométriques dans la Région</w:t>
      </w:r>
      <w:r w:rsidR="00DE7075" w:rsidRPr="00DE7075">
        <w:rPr>
          <w:lang w:val="fr-FR"/>
        </w:rPr>
        <w:t xml:space="preserve"> </w:t>
      </w:r>
      <w:r w:rsidRPr="00DE7075">
        <w:rPr>
          <w:lang w:val="fr-FR"/>
        </w:rPr>
        <w:t>1 (Genève, 1975) (GE75).</w:t>
      </w:r>
    </w:p>
    <w:p w14:paraId="05EC8475"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A4 </w:t>
      </w:r>
      <w:r w:rsidR="00DE7075" w:rsidRPr="00DE7075">
        <w:rPr>
          <w:b/>
          <w:lang w:val="fr-FR"/>
        </w:rPr>
        <w:t>–</w:t>
      </w:r>
      <w:r w:rsidRPr="00DE7075">
        <w:rPr>
          <w:b/>
          <w:lang w:val="fr-FR"/>
        </w:rPr>
        <w:t xml:space="preserve"> RJ81</w:t>
      </w:r>
      <w:r w:rsidRPr="00DE7075">
        <w:rPr>
          <w:lang w:val="fr-FR"/>
        </w:rPr>
        <w:t>:</w:t>
      </w:r>
      <w:r w:rsidRPr="00DE7075">
        <w:rPr>
          <w:lang w:val="fr-FR"/>
        </w:rPr>
        <w:tab/>
        <w:t>Règles relatives à l'Accord régional relatif à l'utilisation de la bande 535</w:t>
      </w:r>
      <w:r w:rsidR="00B97F3C">
        <w:rPr>
          <w:lang w:val="fr-FR"/>
        </w:rPr>
        <w:t>-</w:t>
      </w:r>
      <w:r w:rsidRPr="00DE7075">
        <w:rPr>
          <w:lang w:val="fr-FR"/>
        </w:rPr>
        <w:t>1</w:t>
      </w:r>
      <w:r w:rsidR="00B97F3C">
        <w:rPr>
          <w:rFonts w:ascii="Tms Rmn" w:hAnsi="Tms Rmn"/>
          <w:sz w:val="12"/>
          <w:lang w:val="fr-FR"/>
        </w:rPr>
        <w:t> </w:t>
      </w:r>
      <w:r w:rsidRPr="00DE7075">
        <w:rPr>
          <w:lang w:val="fr-FR"/>
        </w:rPr>
        <w:t>605</w:t>
      </w:r>
      <w:r w:rsidR="00B97F3C">
        <w:rPr>
          <w:lang w:val="fr-FR"/>
        </w:rPr>
        <w:t xml:space="preserve"> </w:t>
      </w:r>
      <w:r w:rsidRPr="00DE7075">
        <w:rPr>
          <w:lang w:val="fr-FR"/>
        </w:rPr>
        <w:t>kHz dans la Région</w:t>
      </w:r>
      <w:r w:rsidR="00B97F3C">
        <w:rPr>
          <w:lang w:val="fr-FR"/>
        </w:rPr>
        <w:t xml:space="preserve"> </w:t>
      </w:r>
      <w:r w:rsidRPr="00DE7075">
        <w:rPr>
          <w:lang w:val="fr-FR"/>
        </w:rPr>
        <w:t>2 par le service de radiodiffusion (R</w:t>
      </w:r>
      <w:r w:rsidR="00B90F10" w:rsidRPr="00DE7075">
        <w:rPr>
          <w:lang w:val="fr-FR"/>
        </w:rPr>
        <w:t>í</w:t>
      </w:r>
      <w:r w:rsidRPr="00DE7075">
        <w:rPr>
          <w:lang w:val="fr-FR"/>
        </w:rPr>
        <w:t>o de Janeiro, 1981) (RJ81).</w:t>
      </w:r>
    </w:p>
    <w:p w14:paraId="5DA21EE5"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A5 </w:t>
      </w:r>
      <w:r w:rsidR="00DE7075" w:rsidRPr="00DE7075">
        <w:rPr>
          <w:b/>
          <w:lang w:val="fr-FR"/>
        </w:rPr>
        <w:t>–</w:t>
      </w:r>
      <w:r w:rsidRPr="00DE7075">
        <w:rPr>
          <w:b/>
          <w:lang w:val="fr-FR"/>
        </w:rPr>
        <w:t xml:space="preserve"> GE84</w:t>
      </w:r>
      <w:r w:rsidRPr="00DE7075">
        <w:rPr>
          <w:lang w:val="fr-FR"/>
        </w:rPr>
        <w:t>:</w:t>
      </w:r>
      <w:r w:rsidRPr="00DE7075">
        <w:rPr>
          <w:lang w:val="fr-FR"/>
        </w:rPr>
        <w:tab/>
      </w:r>
      <w:r w:rsidRPr="00DE7075">
        <w:rPr>
          <w:noProof/>
          <w:lang w:val="fr-FR"/>
        </w:rPr>
        <w:t>Règles relatives à</w:t>
      </w:r>
      <w:r w:rsidRPr="00DE7075">
        <w:rPr>
          <w:lang w:val="fr-FR"/>
        </w:rPr>
        <w:t xml:space="preserve"> l'Accord régional relatif à l'utilisation de la bande 87,5-108 MHz pour la radiodiffusion sonore à modu</w:t>
      </w:r>
      <w:r w:rsidR="00B97F3C">
        <w:rPr>
          <w:lang w:val="fr-FR"/>
        </w:rPr>
        <w:softHyphen/>
      </w:r>
      <w:r w:rsidRPr="00DE7075">
        <w:rPr>
          <w:lang w:val="fr-FR"/>
        </w:rPr>
        <w:t>lation de fréquence (Genève, 1984) (GE84).</w:t>
      </w:r>
    </w:p>
    <w:p w14:paraId="2F881F58"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A6 </w:t>
      </w:r>
      <w:r w:rsidR="00DE7075" w:rsidRPr="00DE7075">
        <w:rPr>
          <w:b/>
          <w:lang w:val="fr-FR"/>
        </w:rPr>
        <w:t>–</w:t>
      </w:r>
      <w:r w:rsidRPr="00DE7075">
        <w:rPr>
          <w:b/>
          <w:lang w:val="fr-FR"/>
        </w:rPr>
        <w:t xml:space="preserve"> GE89</w:t>
      </w:r>
      <w:r w:rsidRPr="00DE7075">
        <w:rPr>
          <w:lang w:val="fr-FR"/>
        </w:rPr>
        <w:t>:</w:t>
      </w:r>
      <w:r w:rsidRPr="00DE7075">
        <w:rPr>
          <w:lang w:val="fr-FR"/>
        </w:rPr>
        <w:tab/>
        <w:t>Règles relatives à l'Accord régional relatif à la planification de la radiodiffusion télévisuelle en ondes métriques/décimétriques dans la Zone de radiodiffusion africaine et les pays voisins (Genève, 1989) (GE89).</w:t>
      </w:r>
    </w:p>
    <w:p w14:paraId="142738E1" w14:textId="77777777" w:rsidR="00995357" w:rsidRPr="00DE7075" w:rsidRDefault="00995357" w:rsidP="00B97F3C">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A7 </w:t>
      </w:r>
      <w:r w:rsidR="00DE7075" w:rsidRPr="00DE7075">
        <w:rPr>
          <w:b/>
          <w:lang w:val="fr-FR"/>
        </w:rPr>
        <w:t>–</w:t>
      </w:r>
      <w:r w:rsidRPr="00DE7075">
        <w:rPr>
          <w:b/>
          <w:lang w:val="fr-FR"/>
        </w:rPr>
        <w:t xml:space="preserve"> RJ88</w:t>
      </w:r>
      <w:r w:rsidRPr="00DE7075">
        <w:rPr>
          <w:lang w:val="fr-FR"/>
        </w:rPr>
        <w:t>:</w:t>
      </w:r>
      <w:r w:rsidRPr="00DE7075">
        <w:rPr>
          <w:lang w:val="fr-FR"/>
        </w:rPr>
        <w:tab/>
        <w:t>Règles relatives à la Résolution 1 de la Conférence RJ88 et à l'Article  6 de l'Accord</w:t>
      </w:r>
      <w:r w:rsidR="00B97F3C">
        <w:rPr>
          <w:lang w:val="fr-FR"/>
        </w:rPr>
        <w:t> </w:t>
      </w:r>
      <w:r w:rsidRPr="00DE7075">
        <w:rPr>
          <w:lang w:val="fr-FR"/>
        </w:rPr>
        <w:t>RJ88.</w:t>
      </w:r>
    </w:p>
    <w:p w14:paraId="3FBDD546"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A8 </w:t>
      </w:r>
      <w:r w:rsidR="00DE7075" w:rsidRPr="00DE7075">
        <w:rPr>
          <w:b/>
          <w:lang w:val="fr-FR"/>
        </w:rPr>
        <w:t>–</w:t>
      </w:r>
      <w:r w:rsidRPr="00DE7075">
        <w:rPr>
          <w:b/>
          <w:lang w:val="fr-FR"/>
        </w:rPr>
        <w:t xml:space="preserve"> GE85-R1</w:t>
      </w:r>
      <w:r w:rsidRPr="00DE7075">
        <w:rPr>
          <w:lang w:val="fr-FR"/>
        </w:rPr>
        <w:t>:</w:t>
      </w:r>
      <w:r w:rsidRPr="00DE7075">
        <w:rPr>
          <w:lang w:val="fr-FR"/>
        </w:rPr>
        <w:tab/>
        <w:t>Règles relatives à l'Accord régional relatif aux services mobile maritime et de radionavigation aéronautique en ondes hecto</w:t>
      </w:r>
      <w:r w:rsidR="00B97F3C">
        <w:rPr>
          <w:lang w:val="fr-FR"/>
        </w:rPr>
        <w:softHyphen/>
      </w:r>
      <w:r w:rsidRPr="00DE7075">
        <w:rPr>
          <w:lang w:val="fr-FR"/>
        </w:rPr>
        <w:t>métriques (Région 1) (Genève, 1985) (GE85-MM-R1).</w:t>
      </w:r>
    </w:p>
    <w:p w14:paraId="70ABA77B" w14:textId="77777777" w:rsidR="00995357" w:rsidRPr="00DE7075" w:rsidRDefault="00995357" w:rsidP="00DE7075">
      <w:pPr>
        <w:tabs>
          <w:tab w:val="clear" w:pos="1134"/>
          <w:tab w:val="clear" w:pos="1871"/>
          <w:tab w:val="clear" w:pos="2268"/>
          <w:tab w:val="left" w:pos="907"/>
          <w:tab w:val="left" w:pos="2948"/>
        </w:tabs>
        <w:spacing w:before="100"/>
        <w:ind w:left="2948" w:hanging="2948"/>
        <w:rPr>
          <w:lang w:val="fr-FR"/>
        </w:rPr>
      </w:pPr>
      <w:r w:rsidRPr="00DE7075">
        <w:rPr>
          <w:b/>
          <w:lang w:val="fr-FR"/>
        </w:rPr>
        <w:tab/>
        <w:t xml:space="preserve">A9 </w:t>
      </w:r>
      <w:r w:rsidR="00DE7075" w:rsidRPr="00DE7075">
        <w:rPr>
          <w:b/>
          <w:lang w:val="fr-FR"/>
        </w:rPr>
        <w:t>–</w:t>
      </w:r>
      <w:r w:rsidRPr="00DE7075">
        <w:rPr>
          <w:b/>
          <w:lang w:val="fr-FR"/>
        </w:rPr>
        <w:t xml:space="preserve"> GE85-EMA</w:t>
      </w:r>
      <w:r w:rsidRPr="00DE7075">
        <w:rPr>
          <w:lang w:val="fr-FR"/>
        </w:rPr>
        <w:t>:</w:t>
      </w:r>
      <w:r w:rsidRPr="00DE7075">
        <w:rPr>
          <w:lang w:val="fr-FR"/>
        </w:rPr>
        <w:tab/>
        <w:t>Règles relatives à l'Accord régional relatif à la planification du service de radionavigation maritime (radiophares) dans la Zone européenne maritime (Genève, 1985) (GE85-EMA).</w:t>
      </w:r>
    </w:p>
    <w:p w14:paraId="04451DB6" w14:textId="72A27E46" w:rsidR="00E83F64" w:rsidRPr="00DE7075" w:rsidRDefault="00E83F64" w:rsidP="00B97F3C">
      <w:pPr>
        <w:tabs>
          <w:tab w:val="clear" w:pos="1134"/>
          <w:tab w:val="clear" w:pos="1871"/>
          <w:tab w:val="clear" w:pos="2268"/>
          <w:tab w:val="left" w:pos="907"/>
          <w:tab w:val="left" w:pos="2948"/>
        </w:tabs>
        <w:spacing w:before="100"/>
        <w:ind w:left="2948" w:hanging="2948"/>
        <w:rPr>
          <w:lang w:val="fr-FR"/>
        </w:rPr>
      </w:pPr>
      <w:r w:rsidRPr="00DE7075">
        <w:rPr>
          <w:lang w:val="fr-FR"/>
        </w:rPr>
        <w:tab/>
      </w:r>
      <w:r w:rsidRPr="00DE7075">
        <w:rPr>
          <w:b/>
          <w:lang w:val="fr-FR"/>
        </w:rPr>
        <w:t xml:space="preserve">A10 </w:t>
      </w:r>
      <w:r w:rsidR="00DE7075" w:rsidRPr="00DE7075">
        <w:rPr>
          <w:b/>
          <w:lang w:val="fr-FR"/>
        </w:rPr>
        <w:t>–</w:t>
      </w:r>
      <w:r w:rsidRPr="00DE7075">
        <w:rPr>
          <w:b/>
          <w:lang w:val="fr-FR"/>
        </w:rPr>
        <w:t xml:space="preserve"> GE06:</w:t>
      </w:r>
      <w:r w:rsidRPr="00DE7075">
        <w:rPr>
          <w:b/>
          <w:lang w:val="fr-FR"/>
        </w:rPr>
        <w:tab/>
      </w:r>
      <w:r w:rsidRPr="00DE7075">
        <w:rPr>
          <w:spacing w:val="-2"/>
          <w:szCs w:val="24"/>
          <w:lang w:val="fr-FR"/>
        </w:rPr>
        <w:t>Règles relatives à l'Accord régional relatif à la planification du service de radiodiffusion numérique de Terre dans certaines parties des Régions 1 et 3, dans les bandes de fréquences 174</w:t>
      </w:r>
      <w:r w:rsidR="009609FE">
        <w:rPr>
          <w:spacing w:val="-2"/>
          <w:szCs w:val="24"/>
          <w:lang w:val="fr-FR"/>
        </w:rPr>
        <w:noBreakHyphen/>
      </w:r>
      <w:r w:rsidRPr="00DE7075">
        <w:rPr>
          <w:spacing w:val="-2"/>
          <w:szCs w:val="24"/>
          <w:lang w:val="fr-FR"/>
        </w:rPr>
        <w:t>230</w:t>
      </w:r>
      <w:r w:rsidR="00B97F3C">
        <w:rPr>
          <w:spacing w:val="-2"/>
          <w:szCs w:val="24"/>
          <w:lang w:val="fr-FR"/>
        </w:rPr>
        <w:t> </w:t>
      </w:r>
      <w:r w:rsidRPr="00DE7075">
        <w:rPr>
          <w:spacing w:val="-2"/>
          <w:szCs w:val="24"/>
          <w:lang w:val="fr-FR"/>
        </w:rPr>
        <w:t>MHz et 470-862 MHz (Genève, 2006) (GE06)</w:t>
      </w:r>
      <w:r w:rsidR="00F75906">
        <w:rPr>
          <w:spacing w:val="-2"/>
          <w:szCs w:val="24"/>
          <w:lang w:val="fr-FR"/>
        </w:rPr>
        <w:t>.</w:t>
      </w:r>
    </w:p>
    <w:p w14:paraId="6A9184B0" w14:textId="77777777" w:rsidR="00995357" w:rsidRPr="00DE7075" w:rsidRDefault="00DE7075" w:rsidP="00DE7075">
      <w:pPr>
        <w:pStyle w:val="Heading1"/>
        <w:rPr>
          <w:lang w:val="fr-FR"/>
        </w:rPr>
      </w:pPr>
      <w:r w:rsidRPr="00DE7075">
        <w:rPr>
          <w:lang w:val="fr-FR"/>
        </w:rPr>
        <w:br w:type="page"/>
      </w:r>
      <w:r w:rsidR="00995357" w:rsidRPr="00DE7075">
        <w:rPr>
          <w:lang w:val="fr-FR"/>
        </w:rPr>
        <w:lastRenderedPageBreak/>
        <w:t>PARTIE  B</w:t>
      </w:r>
    </w:p>
    <w:p w14:paraId="6B9C4F44" w14:textId="77777777" w:rsidR="00995357" w:rsidRPr="00DE7075" w:rsidRDefault="00995357">
      <w:pPr>
        <w:rPr>
          <w:lang w:val="fr-FR"/>
        </w:rPr>
      </w:pPr>
      <w:r w:rsidRPr="00DE7075">
        <w:rPr>
          <w:lang w:val="fr-FR"/>
        </w:rPr>
        <w:t>La Partie B des Règles de procédure concerne les règles applicables à des procédures techniques complexes qui ont une partie étendue et qui ne renvoient pas directement, à une disposition unique du Règlement des radiocommunications ou des Accords régionaux. Elle comporte les sections suivantes:</w:t>
      </w:r>
    </w:p>
    <w:p w14:paraId="6699E327"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B1</w:t>
      </w:r>
      <w:r w:rsidRPr="00DE7075">
        <w:rPr>
          <w:lang w:val="fr-FR"/>
        </w:rPr>
        <w:t>:</w:t>
      </w:r>
      <w:r w:rsidRPr="00DE7075">
        <w:rPr>
          <w:lang w:val="fr-FR"/>
        </w:rPr>
        <w:tab/>
        <w:t>(Non utilisé)</w:t>
      </w:r>
    </w:p>
    <w:p w14:paraId="38AC4E52"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B2</w:t>
      </w:r>
      <w:r w:rsidRPr="00DE7075">
        <w:rPr>
          <w:lang w:val="fr-FR"/>
        </w:rPr>
        <w:t>:</w:t>
      </w:r>
      <w:r w:rsidRPr="00DE7075">
        <w:rPr>
          <w:lang w:val="fr-FR"/>
        </w:rPr>
        <w:tab/>
        <w:t>(Non utilisé)</w:t>
      </w:r>
    </w:p>
    <w:p w14:paraId="454582FE"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B3</w:t>
      </w:r>
      <w:r w:rsidRPr="00DE7075">
        <w:rPr>
          <w:lang w:val="fr-FR"/>
        </w:rPr>
        <w:t>:</w:t>
      </w:r>
      <w:r w:rsidRPr="00DE7075">
        <w:rPr>
          <w:lang w:val="fr-FR"/>
        </w:rPr>
        <w:tab/>
        <w:t xml:space="preserve">Règles relatives à la méthode de calcul de la probabilité de brouillage préjudiciable entre réseaux à satellite (rapports </w:t>
      </w:r>
      <w:r w:rsidR="00DE7075" w:rsidRPr="00DE7075">
        <w:rPr>
          <w:i/>
          <w:lang w:val="fr-FR"/>
        </w:rPr>
        <w:t>C</w:t>
      </w:r>
      <w:r w:rsidR="00DE7075" w:rsidRPr="00DE7075">
        <w:rPr>
          <w:lang w:val="fr-FR"/>
        </w:rPr>
        <w:t>/</w:t>
      </w:r>
      <w:r w:rsidR="00DE7075" w:rsidRPr="00DE7075">
        <w:rPr>
          <w:i/>
          <w:lang w:val="fr-FR"/>
        </w:rPr>
        <w:t>I</w:t>
      </w:r>
      <w:r w:rsidR="00DE7075" w:rsidRPr="00DE7075">
        <w:rPr>
          <w:rFonts w:ascii="Tms Rmn" w:hAnsi="Tms Rmn"/>
          <w:iCs/>
          <w:sz w:val="12"/>
          <w:lang w:val="fr-FR"/>
        </w:rPr>
        <w:t> </w:t>
      </w:r>
      <w:r w:rsidRPr="00DE7075">
        <w:rPr>
          <w:lang w:val="fr-FR"/>
        </w:rPr>
        <w:t>).</w:t>
      </w:r>
    </w:p>
    <w:p w14:paraId="16BF36FF"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B4</w:t>
      </w:r>
      <w:r w:rsidRPr="00DE7075">
        <w:rPr>
          <w:lang w:val="fr-FR"/>
        </w:rPr>
        <w:t>:</w:t>
      </w:r>
      <w:r w:rsidRPr="00DE7075">
        <w:rPr>
          <w:lang w:val="fr-FR"/>
        </w:rPr>
        <w:tab/>
        <w:t>Règles relatives à la méthode de calcul et normes techniques à appliquer pour déterminer les administrations affectées et pour évaluer la probabilité de brouillage préjudiciable dans les bandes comprises entre 9</w:t>
      </w:r>
      <w:r w:rsidR="00DE7075" w:rsidRPr="00DE7075">
        <w:rPr>
          <w:lang w:val="fr-FR"/>
        </w:rPr>
        <w:t xml:space="preserve"> </w:t>
      </w:r>
      <w:r w:rsidRPr="00DE7075">
        <w:rPr>
          <w:lang w:val="fr-FR"/>
        </w:rPr>
        <w:t>kHz et 28</w:t>
      </w:r>
      <w:r w:rsidRPr="00DE7075">
        <w:rPr>
          <w:rFonts w:ascii="Tms Rmn" w:hAnsi="Tms Rmn"/>
          <w:sz w:val="12"/>
          <w:lang w:val="fr-FR"/>
        </w:rPr>
        <w:t> </w:t>
      </w:r>
      <w:r w:rsidRPr="00DE7075">
        <w:rPr>
          <w:lang w:val="fr-FR"/>
        </w:rPr>
        <w:t>000 kHz.</w:t>
      </w:r>
    </w:p>
    <w:p w14:paraId="40AD9D9E" w14:textId="77777777" w:rsidR="00995357" w:rsidRPr="00DE7075"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B5</w:t>
      </w:r>
      <w:r w:rsidRPr="00DE7075">
        <w:rPr>
          <w:lang w:val="fr-FR"/>
        </w:rPr>
        <w:t>:</w:t>
      </w:r>
      <w:r w:rsidRPr="00DE7075">
        <w:rPr>
          <w:lang w:val="fr-FR"/>
        </w:rPr>
        <w:tab/>
        <w:t>Règles relatives aux critères nécessaires pour appliquer les dispositions du numéro </w:t>
      </w:r>
      <w:r w:rsidRPr="00DE7075">
        <w:rPr>
          <w:rStyle w:val="Artref0"/>
          <w:b/>
          <w:bCs/>
          <w:color w:val="000000"/>
          <w:lang w:val="fr-FR"/>
        </w:rPr>
        <w:t>9.36</w:t>
      </w:r>
      <w:r w:rsidRPr="00DE7075">
        <w:rPr>
          <w:lang w:val="fr-FR"/>
        </w:rPr>
        <w:t xml:space="preserve"> à une assignation de fréquence dans les bandes régies par le numéro </w:t>
      </w:r>
      <w:r w:rsidRPr="00DE7075">
        <w:rPr>
          <w:rStyle w:val="Artref0"/>
          <w:b/>
          <w:bCs/>
          <w:color w:val="000000"/>
          <w:lang w:val="fr-FR"/>
        </w:rPr>
        <w:t>5.92</w:t>
      </w:r>
      <w:r w:rsidRPr="00DE7075">
        <w:rPr>
          <w:lang w:val="fr-FR"/>
        </w:rPr>
        <w:t>.</w:t>
      </w:r>
    </w:p>
    <w:p w14:paraId="5F848D17" w14:textId="2D131FB9" w:rsidR="00995357" w:rsidRPr="009609FE" w:rsidRDefault="00995357" w:rsidP="00DE7075">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B6</w:t>
      </w:r>
      <w:r w:rsidRPr="00DE7075">
        <w:rPr>
          <w:lang w:val="fr-FR"/>
        </w:rPr>
        <w:t>:</w:t>
      </w:r>
      <w:r w:rsidRPr="00DE7075">
        <w:rPr>
          <w:lang w:val="fr-FR"/>
        </w:rPr>
        <w:tab/>
      </w:r>
      <w:r w:rsidR="00F74B34" w:rsidRPr="00F74B34">
        <w:rPr>
          <w:bCs/>
          <w:color w:val="000000"/>
          <w:lang w:val="fr-FR"/>
        </w:rPr>
        <w:t xml:space="preserve">Règles relatives aux critères d'application des dispositions du numéro </w:t>
      </w:r>
      <w:r w:rsidR="00F74B34" w:rsidRPr="00F74B34">
        <w:rPr>
          <w:b/>
          <w:color w:val="000000"/>
          <w:lang w:val="fr-FR"/>
        </w:rPr>
        <w:t>9.36</w:t>
      </w:r>
      <w:r w:rsidR="00F74B34" w:rsidRPr="00F74B34">
        <w:rPr>
          <w:bCs/>
          <w:color w:val="000000"/>
          <w:lang w:val="fr-FR"/>
        </w:rPr>
        <w:t xml:space="preserve"> à une assignation de fréquence dans les services dont l'attribution ou l'identification est régie par les numéros </w:t>
      </w:r>
      <w:r w:rsidR="00F74B34" w:rsidRPr="00F74B34">
        <w:rPr>
          <w:b/>
          <w:color w:val="000000"/>
          <w:lang w:val="fr-FR"/>
        </w:rPr>
        <w:t>5.292</w:t>
      </w:r>
      <w:r w:rsidR="00F74B34" w:rsidRPr="00F74B34">
        <w:rPr>
          <w:bCs/>
          <w:color w:val="000000"/>
          <w:lang w:val="fr-FR"/>
        </w:rPr>
        <w:t xml:space="preserve">, </w:t>
      </w:r>
      <w:r w:rsidR="00F74B34" w:rsidRPr="00F74B34">
        <w:rPr>
          <w:b/>
          <w:color w:val="000000"/>
          <w:lang w:val="fr-FR"/>
        </w:rPr>
        <w:t>5.293</w:t>
      </w:r>
      <w:r w:rsidR="00F74B34" w:rsidRPr="00F74B34">
        <w:rPr>
          <w:bCs/>
          <w:color w:val="000000"/>
          <w:lang w:val="fr-FR"/>
        </w:rPr>
        <w:t xml:space="preserve">, </w:t>
      </w:r>
      <w:r w:rsidR="00F74B34" w:rsidRPr="00F74B34">
        <w:rPr>
          <w:b/>
          <w:color w:val="000000"/>
          <w:lang w:val="fr-FR"/>
        </w:rPr>
        <w:t>5.295</w:t>
      </w:r>
      <w:r w:rsidR="00F74B34" w:rsidRPr="00F74B34">
        <w:rPr>
          <w:bCs/>
          <w:color w:val="000000"/>
          <w:lang w:val="fr-FR"/>
        </w:rPr>
        <w:t xml:space="preserve">, </w:t>
      </w:r>
      <w:r w:rsidR="00F74B34" w:rsidRPr="00F74B34">
        <w:rPr>
          <w:b/>
          <w:color w:val="000000"/>
          <w:lang w:val="fr-FR"/>
        </w:rPr>
        <w:t>5.295A</w:t>
      </w:r>
      <w:r w:rsidR="00F74B34" w:rsidRPr="00F74B34">
        <w:rPr>
          <w:bCs/>
          <w:color w:val="000000"/>
          <w:lang w:val="fr-FR"/>
        </w:rPr>
        <w:t xml:space="preserve">, </w:t>
      </w:r>
      <w:r w:rsidR="00F74B34" w:rsidRPr="00F74B34">
        <w:rPr>
          <w:b/>
          <w:color w:val="000000"/>
          <w:lang w:val="fr-FR"/>
        </w:rPr>
        <w:t>5.296A</w:t>
      </w:r>
      <w:r w:rsidR="00F74B34" w:rsidRPr="00F74B34">
        <w:rPr>
          <w:bCs/>
          <w:color w:val="000000"/>
          <w:lang w:val="fr-FR"/>
        </w:rPr>
        <w:t xml:space="preserve">, </w:t>
      </w:r>
      <w:r w:rsidR="00F74B34" w:rsidRPr="00F74B34">
        <w:rPr>
          <w:b/>
          <w:color w:val="000000"/>
          <w:lang w:val="fr-FR"/>
        </w:rPr>
        <w:t>5.297</w:t>
      </w:r>
      <w:r w:rsidR="00F74B34" w:rsidRPr="00F74B34">
        <w:rPr>
          <w:bCs/>
          <w:color w:val="000000"/>
          <w:lang w:val="fr-FR"/>
        </w:rPr>
        <w:t xml:space="preserve">, </w:t>
      </w:r>
      <w:r w:rsidR="00F74B34" w:rsidRPr="00F74B34">
        <w:rPr>
          <w:b/>
          <w:color w:val="000000"/>
          <w:lang w:val="fr-FR"/>
        </w:rPr>
        <w:t>5.307A</w:t>
      </w:r>
      <w:r w:rsidR="00F74B34" w:rsidRPr="00F74B34">
        <w:rPr>
          <w:bCs/>
          <w:color w:val="000000"/>
          <w:lang w:val="fr-FR"/>
        </w:rPr>
        <w:t xml:space="preserve">, </w:t>
      </w:r>
      <w:r w:rsidR="00F74B34" w:rsidRPr="00F74B34">
        <w:rPr>
          <w:b/>
          <w:color w:val="000000"/>
          <w:lang w:val="fr-FR"/>
        </w:rPr>
        <w:t>5.308</w:t>
      </w:r>
      <w:r w:rsidR="00F74B34" w:rsidRPr="00F74B34">
        <w:rPr>
          <w:bCs/>
          <w:color w:val="000000"/>
          <w:lang w:val="fr-FR"/>
        </w:rPr>
        <w:t xml:space="preserve">, </w:t>
      </w:r>
      <w:r w:rsidR="00F74B34" w:rsidRPr="00F74B34">
        <w:rPr>
          <w:b/>
          <w:color w:val="000000"/>
          <w:lang w:val="fr-FR"/>
        </w:rPr>
        <w:t>5.308A</w:t>
      </w:r>
      <w:r w:rsidR="00F74B34" w:rsidRPr="00F74B34">
        <w:rPr>
          <w:bCs/>
          <w:color w:val="000000"/>
          <w:lang w:val="fr-FR"/>
        </w:rPr>
        <w:t xml:space="preserve">, </w:t>
      </w:r>
      <w:r w:rsidR="00F74B34" w:rsidRPr="00F74B34">
        <w:rPr>
          <w:b/>
          <w:color w:val="000000"/>
          <w:lang w:val="fr-FR"/>
        </w:rPr>
        <w:t>5.309</w:t>
      </w:r>
      <w:r w:rsidR="00F74B34" w:rsidRPr="00F74B34">
        <w:rPr>
          <w:bCs/>
          <w:color w:val="000000"/>
          <w:lang w:val="fr-FR"/>
        </w:rPr>
        <w:t xml:space="preserve">, </w:t>
      </w:r>
      <w:r w:rsidR="00F74B34" w:rsidRPr="00F74B34">
        <w:rPr>
          <w:b/>
          <w:color w:val="000000"/>
          <w:lang w:val="fr-FR"/>
        </w:rPr>
        <w:t>5.323</w:t>
      </w:r>
      <w:r w:rsidR="00F74B34" w:rsidRPr="00F74B34">
        <w:rPr>
          <w:bCs/>
          <w:color w:val="000000"/>
          <w:lang w:val="fr-FR"/>
        </w:rPr>
        <w:t xml:space="preserve">, </w:t>
      </w:r>
      <w:r w:rsidR="00F74B34" w:rsidRPr="00F74B34">
        <w:rPr>
          <w:b/>
          <w:color w:val="000000"/>
          <w:lang w:val="fr-FR"/>
        </w:rPr>
        <w:t>5.325</w:t>
      </w:r>
      <w:r w:rsidR="00F74B34" w:rsidRPr="00F74B34">
        <w:rPr>
          <w:bCs/>
          <w:color w:val="000000"/>
          <w:lang w:val="fr-FR"/>
        </w:rPr>
        <w:t xml:space="preserve">, </w:t>
      </w:r>
      <w:r w:rsidR="00F74B34" w:rsidRPr="00F74B34">
        <w:rPr>
          <w:b/>
          <w:color w:val="000000"/>
          <w:lang w:val="fr-FR"/>
        </w:rPr>
        <w:t>5.326</w:t>
      </w:r>
      <w:r w:rsidR="00F74B34" w:rsidRPr="00F74B34">
        <w:rPr>
          <w:bCs/>
          <w:color w:val="000000"/>
          <w:lang w:val="fr-FR"/>
        </w:rPr>
        <w:t xml:space="preserve">, </w:t>
      </w:r>
      <w:r w:rsidR="00F74B34" w:rsidRPr="00F74B34">
        <w:rPr>
          <w:b/>
          <w:color w:val="000000"/>
          <w:lang w:val="fr-FR"/>
        </w:rPr>
        <w:t>5.341A</w:t>
      </w:r>
      <w:r w:rsidR="00F74B34" w:rsidRPr="00F74B34">
        <w:rPr>
          <w:bCs/>
          <w:color w:val="000000"/>
          <w:lang w:val="fr-FR"/>
        </w:rPr>
        <w:t xml:space="preserve">, </w:t>
      </w:r>
      <w:r w:rsidR="00F74B34" w:rsidRPr="00F74B34">
        <w:rPr>
          <w:b/>
          <w:color w:val="000000"/>
          <w:lang w:val="fr-FR"/>
        </w:rPr>
        <w:t>5.341C</w:t>
      </w:r>
      <w:r w:rsidR="00F74B34" w:rsidRPr="00F74B34">
        <w:rPr>
          <w:bCs/>
          <w:color w:val="000000"/>
          <w:lang w:val="fr-FR"/>
        </w:rPr>
        <w:t xml:space="preserve">, </w:t>
      </w:r>
      <w:r w:rsidR="00F74B34" w:rsidRPr="00F74B34">
        <w:rPr>
          <w:b/>
          <w:color w:val="000000"/>
          <w:lang w:val="fr-FR"/>
        </w:rPr>
        <w:t>5.346</w:t>
      </w:r>
      <w:r w:rsidR="00F74B34" w:rsidRPr="00F74B34">
        <w:rPr>
          <w:bCs/>
          <w:color w:val="000000"/>
          <w:lang w:val="fr-FR"/>
        </w:rPr>
        <w:t xml:space="preserve">, </w:t>
      </w:r>
      <w:r w:rsidR="00F74B34" w:rsidRPr="00F74B34">
        <w:rPr>
          <w:b/>
          <w:color w:val="000000"/>
          <w:lang w:val="fr-FR"/>
        </w:rPr>
        <w:t>5.346A</w:t>
      </w:r>
      <w:r w:rsidR="00F74B34" w:rsidRPr="00F74B34">
        <w:rPr>
          <w:bCs/>
          <w:color w:val="000000"/>
          <w:lang w:val="fr-FR"/>
        </w:rPr>
        <w:t xml:space="preserve">, </w:t>
      </w:r>
      <w:r w:rsidR="00F74B34" w:rsidRPr="00F74B34">
        <w:rPr>
          <w:b/>
          <w:color w:val="000000"/>
          <w:lang w:val="fr-FR"/>
        </w:rPr>
        <w:t>5.429F</w:t>
      </w:r>
      <w:r w:rsidR="00F74B34" w:rsidRPr="00F74B34">
        <w:rPr>
          <w:bCs/>
          <w:color w:val="000000"/>
          <w:lang w:val="fr-FR"/>
        </w:rPr>
        <w:t xml:space="preserve">, </w:t>
      </w:r>
      <w:r w:rsidR="00F74B34" w:rsidRPr="00F74B34">
        <w:rPr>
          <w:b/>
          <w:color w:val="000000"/>
          <w:lang w:val="fr-FR"/>
        </w:rPr>
        <w:t>5.430A</w:t>
      </w:r>
      <w:r w:rsidR="00F74B34" w:rsidRPr="00F74B34">
        <w:rPr>
          <w:bCs/>
          <w:color w:val="000000"/>
          <w:lang w:val="fr-FR"/>
        </w:rPr>
        <w:t xml:space="preserve">, </w:t>
      </w:r>
      <w:r w:rsidR="00F74B34" w:rsidRPr="00F74B34">
        <w:rPr>
          <w:b/>
          <w:color w:val="000000"/>
          <w:lang w:val="fr-FR"/>
        </w:rPr>
        <w:t>5.431A</w:t>
      </w:r>
      <w:r w:rsidR="00F74B34" w:rsidRPr="00F74B34">
        <w:rPr>
          <w:bCs/>
          <w:color w:val="000000"/>
          <w:lang w:val="fr-FR"/>
        </w:rPr>
        <w:t xml:space="preserve">, </w:t>
      </w:r>
      <w:r w:rsidR="00F74B34" w:rsidRPr="00F74B34">
        <w:rPr>
          <w:b/>
          <w:color w:val="000000"/>
          <w:lang w:val="fr-FR"/>
        </w:rPr>
        <w:t>5.431B</w:t>
      </w:r>
      <w:r w:rsidR="00F74B34" w:rsidRPr="00F74B34">
        <w:rPr>
          <w:bCs/>
          <w:color w:val="000000"/>
          <w:lang w:val="fr-FR"/>
        </w:rPr>
        <w:t xml:space="preserve">, </w:t>
      </w:r>
      <w:r w:rsidR="00F74B34" w:rsidRPr="00F74B34">
        <w:rPr>
          <w:b/>
          <w:color w:val="000000"/>
          <w:lang w:val="fr-FR"/>
        </w:rPr>
        <w:t>5.432B</w:t>
      </w:r>
      <w:r w:rsidR="00F74B34" w:rsidRPr="00F74B34">
        <w:rPr>
          <w:bCs/>
          <w:color w:val="000000"/>
          <w:lang w:val="fr-FR"/>
        </w:rPr>
        <w:t xml:space="preserve">, </w:t>
      </w:r>
      <w:r w:rsidR="00F74B34" w:rsidRPr="00F74B34">
        <w:rPr>
          <w:b/>
          <w:color w:val="000000"/>
          <w:lang w:val="fr-FR"/>
        </w:rPr>
        <w:t>5.434A</w:t>
      </w:r>
      <w:r w:rsidR="00F74B34" w:rsidRPr="00F74B34">
        <w:rPr>
          <w:bCs/>
          <w:color w:val="000000"/>
          <w:lang w:val="fr-FR"/>
        </w:rPr>
        <w:t xml:space="preserve">, </w:t>
      </w:r>
      <w:r w:rsidR="00F74B34" w:rsidRPr="00F74B34">
        <w:rPr>
          <w:b/>
          <w:color w:val="000000"/>
          <w:lang w:val="fr-FR"/>
        </w:rPr>
        <w:t>5.457F</w:t>
      </w:r>
      <w:r w:rsidR="00F74B34" w:rsidRPr="00F74B34">
        <w:rPr>
          <w:bCs/>
          <w:color w:val="000000"/>
          <w:lang w:val="fr-FR"/>
        </w:rPr>
        <w:t xml:space="preserve">, </w:t>
      </w:r>
      <w:r w:rsidR="00F74B34" w:rsidRPr="00F74B34">
        <w:rPr>
          <w:b/>
          <w:color w:val="000000"/>
          <w:lang w:val="fr-FR"/>
        </w:rPr>
        <w:t>5.480A</w:t>
      </w:r>
      <w:r w:rsidR="00F74B34" w:rsidRPr="00F74B34">
        <w:rPr>
          <w:bCs/>
          <w:color w:val="000000"/>
          <w:lang w:val="fr-FR"/>
        </w:rPr>
        <w:t xml:space="preserve"> et </w:t>
      </w:r>
      <w:r w:rsidR="00F74B34" w:rsidRPr="00F74B34">
        <w:rPr>
          <w:b/>
          <w:color w:val="000000"/>
          <w:lang w:val="fr-FR"/>
        </w:rPr>
        <w:t>5.553A</w:t>
      </w:r>
      <w:r w:rsidR="00F74B34">
        <w:rPr>
          <w:lang w:val="fr-FR"/>
        </w:rPr>
        <w:t>.</w:t>
      </w:r>
    </w:p>
    <w:p w14:paraId="7B258B43" w14:textId="77777777" w:rsidR="008C364F" w:rsidRPr="00DE7075" w:rsidRDefault="008C364F" w:rsidP="008C364F">
      <w:pPr>
        <w:tabs>
          <w:tab w:val="clear" w:pos="1134"/>
          <w:tab w:val="clear" w:pos="1871"/>
          <w:tab w:val="clear" w:pos="2268"/>
          <w:tab w:val="left" w:pos="907"/>
          <w:tab w:val="left" w:pos="1701"/>
        </w:tabs>
        <w:spacing w:before="100"/>
        <w:ind w:left="1701" w:hanging="1701"/>
        <w:rPr>
          <w:lang w:val="fr-FR"/>
        </w:rPr>
      </w:pPr>
      <w:r w:rsidRPr="00DE7075">
        <w:rPr>
          <w:lang w:val="fr-FR"/>
        </w:rPr>
        <w:tab/>
      </w:r>
      <w:r w:rsidRPr="00DE7075">
        <w:rPr>
          <w:b/>
          <w:lang w:val="fr-FR"/>
        </w:rPr>
        <w:t>B</w:t>
      </w:r>
      <w:r>
        <w:rPr>
          <w:b/>
          <w:lang w:val="fr-FR"/>
        </w:rPr>
        <w:t>7</w:t>
      </w:r>
      <w:r w:rsidRPr="00DE7075">
        <w:rPr>
          <w:lang w:val="fr-FR"/>
        </w:rPr>
        <w:t>:</w:t>
      </w:r>
      <w:r w:rsidRPr="00DE7075">
        <w:rPr>
          <w:lang w:val="fr-FR"/>
        </w:rPr>
        <w:tab/>
      </w:r>
      <w:r w:rsidRPr="008C364F">
        <w:rPr>
          <w:lang w:val="fr-FR"/>
        </w:rPr>
        <w:t>Règles relatives aux valeurs des rapports de protection et aux valeurs du champ minimal à utiliser dans le cas de systèmes de transmission utilisant la modulation numérique lors de l'application des dispositions de l'Article 4 de l'Accord régional GE75</w:t>
      </w:r>
      <w:r>
        <w:rPr>
          <w:lang w:val="fr-FR"/>
        </w:rPr>
        <w:t>.</w:t>
      </w:r>
    </w:p>
    <w:p w14:paraId="4CBBA491" w14:textId="24B3988E" w:rsidR="00F74B34" w:rsidRPr="001D138F" w:rsidRDefault="00F74B34" w:rsidP="00F74B34">
      <w:pPr>
        <w:tabs>
          <w:tab w:val="clear" w:pos="1134"/>
          <w:tab w:val="clear" w:pos="1871"/>
          <w:tab w:val="clear" w:pos="2268"/>
          <w:tab w:val="left" w:pos="907"/>
          <w:tab w:val="left" w:pos="1701"/>
        </w:tabs>
        <w:spacing w:before="100"/>
        <w:ind w:left="1701" w:hanging="1701"/>
      </w:pPr>
      <w:r>
        <w:rPr>
          <w:b/>
        </w:rPr>
        <w:tab/>
        <w:t>B8</w:t>
      </w:r>
      <w:r>
        <w:rPr>
          <w:b/>
        </w:rPr>
        <w:tab/>
      </w:r>
      <w:r w:rsidRPr="00F74B34">
        <w:rPr>
          <w:bCs/>
        </w:rPr>
        <w:t>Calcul des niveaux de puissance surfacique produits par les stations terriennes aéronautiques en mouvement (A-ESIM) et validation de ces niveaux par rapport aux limites indiquées dans l'Annexe</w:t>
      </w:r>
      <w:r>
        <w:rPr>
          <w:bCs/>
        </w:rPr>
        <w:t> </w:t>
      </w:r>
      <w:r w:rsidRPr="00F74B34">
        <w:rPr>
          <w:bCs/>
        </w:rPr>
        <w:t>3 de la Résolution</w:t>
      </w:r>
      <w:r>
        <w:rPr>
          <w:bCs/>
        </w:rPr>
        <w:t> </w:t>
      </w:r>
      <w:r w:rsidRPr="00F74B34">
        <w:rPr>
          <w:b/>
        </w:rPr>
        <w:t>169 (Rév.CMR-23)</w:t>
      </w:r>
      <w:r w:rsidRPr="00F74B34">
        <w:rPr>
          <w:bCs/>
        </w:rPr>
        <w:t xml:space="preserve">, l'Annexe 2 de la Résolution </w:t>
      </w:r>
      <w:r w:rsidRPr="00F74B34">
        <w:rPr>
          <w:b/>
        </w:rPr>
        <w:t>121 (CMR-23)</w:t>
      </w:r>
      <w:r w:rsidRPr="00F74B34">
        <w:rPr>
          <w:bCs/>
        </w:rPr>
        <w:t xml:space="preserve"> et l'Annexe 2 de la Résolution </w:t>
      </w:r>
      <w:r w:rsidRPr="00F74B34">
        <w:rPr>
          <w:b/>
        </w:rPr>
        <w:t>123 (CMR-23)</w:t>
      </w:r>
      <w:r>
        <w:rPr>
          <w:lang w:val="fr-FR"/>
        </w:rPr>
        <w:t>.</w:t>
      </w:r>
    </w:p>
    <w:p w14:paraId="78358C59" w14:textId="77777777" w:rsidR="00995357" w:rsidRPr="00DE7075" w:rsidRDefault="00995357" w:rsidP="00DE7075">
      <w:pPr>
        <w:rPr>
          <w:lang w:val="fr-FR"/>
        </w:rPr>
      </w:pPr>
    </w:p>
    <w:p w14:paraId="395625DF" w14:textId="77777777" w:rsidR="00995357" w:rsidRPr="00DE7075" w:rsidRDefault="00995357">
      <w:pPr>
        <w:pStyle w:val="Heading1"/>
        <w:rPr>
          <w:lang w:val="fr-FR"/>
        </w:rPr>
      </w:pPr>
      <w:r w:rsidRPr="00DE7075">
        <w:rPr>
          <w:lang w:val="fr-FR"/>
        </w:rPr>
        <w:t>PARTIE  C</w:t>
      </w:r>
    </w:p>
    <w:p w14:paraId="38F7B973" w14:textId="77777777" w:rsidR="00995357" w:rsidRPr="00DE7075" w:rsidRDefault="00DE7075" w:rsidP="00B97F3C">
      <w:pPr>
        <w:tabs>
          <w:tab w:val="clear" w:pos="1134"/>
          <w:tab w:val="clear" w:pos="1871"/>
          <w:tab w:val="clear" w:pos="2268"/>
          <w:tab w:val="left" w:pos="907"/>
          <w:tab w:val="left" w:pos="1701"/>
        </w:tabs>
        <w:spacing w:before="100"/>
        <w:ind w:left="1701" w:hanging="1701"/>
        <w:rPr>
          <w:lang w:val="fr-FR"/>
        </w:rPr>
      </w:pPr>
      <w:r w:rsidRPr="00DE7075">
        <w:rPr>
          <w:lang w:val="fr-FR"/>
        </w:rPr>
        <w:tab/>
      </w:r>
      <w:r w:rsidR="00995357" w:rsidRPr="00DE7075">
        <w:rPr>
          <w:b/>
          <w:lang w:val="fr-FR"/>
        </w:rPr>
        <w:t>C</w:t>
      </w:r>
      <w:r w:rsidR="00995357" w:rsidRPr="00DE7075">
        <w:rPr>
          <w:lang w:val="fr-FR"/>
        </w:rPr>
        <w:t>:</w:t>
      </w:r>
      <w:r w:rsidR="00995357" w:rsidRPr="00DE7075">
        <w:rPr>
          <w:lang w:val="fr-FR"/>
        </w:rPr>
        <w:tab/>
      </w:r>
      <w:r w:rsidR="00AA011A" w:rsidRPr="00DE7075">
        <w:rPr>
          <w:lang w:val="fr-FR"/>
        </w:rPr>
        <w:t>Dispositions internes et méthodes de travail du Comité du Règlement des radiocommunications.</w:t>
      </w:r>
    </w:p>
    <w:p w14:paraId="129237AA" w14:textId="77777777" w:rsidR="00995357" w:rsidRPr="00DE7075" w:rsidRDefault="00995357" w:rsidP="00DE7075">
      <w:pPr>
        <w:rPr>
          <w:lang w:val="fr-FR"/>
        </w:rPr>
      </w:pPr>
    </w:p>
    <w:p w14:paraId="2322DD63" w14:textId="77777777" w:rsidR="00995357" w:rsidRPr="00DE7075" w:rsidRDefault="00995357" w:rsidP="00DE7075">
      <w:pPr>
        <w:rPr>
          <w:lang w:val="fr-FR"/>
        </w:rPr>
      </w:pPr>
    </w:p>
    <w:p w14:paraId="0B93F356" w14:textId="77777777" w:rsidR="00DE7075" w:rsidRPr="00DE7075" w:rsidRDefault="00DE7075" w:rsidP="00DE7075">
      <w:pPr>
        <w:rPr>
          <w:lang w:val="fr-FR"/>
        </w:rPr>
      </w:pPr>
    </w:p>
    <w:p w14:paraId="442CD4FC" w14:textId="26C70881" w:rsidR="00486E07" w:rsidRDefault="00995357">
      <w:pPr>
        <w:tabs>
          <w:tab w:val="clear" w:pos="1134"/>
          <w:tab w:val="clear" w:pos="1871"/>
          <w:tab w:val="clear" w:pos="2268"/>
        </w:tabs>
        <w:overflowPunct/>
        <w:autoSpaceDE/>
        <w:autoSpaceDN/>
        <w:adjustRightInd/>
        <w:spacing w:before="0"/>
        <w:jc w:val="left"/>
        <w:textAlignment w:val="auto"/>
        <w:rPr>
          <w:b/>
          <w:sz w:val="28"/>
          <w:lang w:val="fr-FR"/>
        </w:rPr>
      </w:pPr>
      <w:r w:rsidRPr="00DE7075">
        <w:rPr>
          <w:lang w:val="fr-FR"/>
        </w:rPr>
        <w:br w:type="page"/>
      </w:r>
    </w:p>
    <w:p w14:paraId="45EAF1F3" w14:textId="254787AE" w:rsidR="00995357" w:rsidRPr="00DE7075" w:rsidRDefault="00995357">
      <w:pPr>
        <w:pStyle w:val="Heading1"/>
        <w:ind w:left="0" w:firstLine="0"/>
        <w:jc w:val="center"/>
        <w:rPr>
          <w:lang w:val="fr-FR"/>
        </w:rPr>
      </w:pPr>
      <w:r w:rsidRPr="00DE7075">
        <w:rPr>
          <w:lang w:val="fr-FR"/>
        </w:rPr>
        <w:lastRenderedPageBreak/>
        <w:t>PRÉSENTATION</w:t>
      </w:r>
    </w:p>
    <w:p w14:paraId="6150CA99" w14:textId="77777777" w:rsidR="00995357" w:rsidRPr="00DE7075" w:rsidRDefault="00995357">
      <w:pPr>
        <w:pStyle w:val="Normalaftertitle"/>
        <w:rPr>
          <w:lang w:val="fr-FR"/>
        </w:rPr>
      </w:pPr>
      <w:r w:rsidRPr="00DE7075">
        <w:rPr>
          <w:lang w:val="fr-FR"/>
        </w:rPr>
        <w:t>1</w:t>
      </w:r>
      <w:r w:rsidRPr="00DE7075">
        <w:rPr>
          <w:lang w:val="fr-FR"/>
        </w:rPr>
        <w:tab/>
        <w:t>Les Règles de procédure renvoient directement au numéro de paragraphe ou de dispositions spécifiques du Règlement des radiocommunications ou des Accords régionaux. Le numéro entouré d'un double cadre situé contre la marge gauche au-dessus de l'énoncé renvoie aux dispositions (ou aux paragraphes) du Règlement des radiocommunications ou des Accords régionaux, par exemple:</w:t>
      </w:r>
    </w:p>
    <w:p w14:paraId="737928D2" w14:textId="77777777" w:rsidR="00995357" w:rsidRPr="00DE7075" w:rsidRDefault="00995357">
      <w:pPr>
        <w:pStyle w:val="Heading8"/>
        <w:rPr>
          <w:lang w:val="fr-FR"/>
        </w:rPr>
      </w:pPr>
      <w:r w:rsidRPr="00DE7075">
        <w:rPr>
          <w:lang w:val="fr-FR"/>
        </w:rPr>
        <w:t>1.23</w:t>
      </w:r>
    </w:p>
    <w:p w14:paraId="0A1FE6F2" w14:textId="77777777" w:rsidR="00995357" w:rsidRPr="00DE7075" w:rsidRDefault="00995357">
      <w:pPr>
        <w:rPr>
          <w:lang w:val="fr-FR"/>
        </w:rPr>
      </w:pPr>
      <w:r w:rsidRPr="00DE7075">
        <w:rPr>
          <w:lang w:val="fr-FR"/>
        </w:rPr>
        <w:t xml:space="preserve">La Règle de procédure ainsi désignée concerne l'application des dispositions du numéro </w:t>
      </w:r>
      <w:r w:rsidRPr="00DE7075">
        <w:rPr>
          <w:rStyle w:val="Artref0"/>
          <w:b/>
          <w:bCs/>
          <w:color w:val="000000"/>
          <w:lang w:val="fr-FR"/>
        </w:rPr>
        <w:t>1.23</w:t>
      </w:r>
      <w:r w:rsidRPr="00DE7075">
        <w:rPr>
          <w:lang w:val="fr-FR"/>
        </w:rPr>
        <w:t xml:space="preserve"> du Règlement des radiocommunications.</w:t>
      </w:r>
    </w:p>
    <w:p w14:paraId="04EB7FB3" w14:textId="77777777" w:rsidR="00995357" w:rsidRPr="00DE7075" w:rsidRDefault="00995357">
      <w:pPr>
        <w:rPr>
          <w:lang w:val="fr-FR"/>
        </w:rPr>
      </w:pPr>
      <w:r w:rsidRPr="00DE7075">
        <w:rPr>
          <w:lang w:val="fr-FR"/>
        </w:rPr>
        <w:t>2</w:t>
      </w:r>
      <w:r w:rsidRPr="00DE7075">
        <w:rPr>
          <w:lang w:val="fr-FR"/>
        </w:rPr>
        <w:tab/>
        <w:t>Pour faciliter la consultation des Règles de procédure, un système de pagination à en</w:t>
      </w:r>
      <w:r w:rsidRPr="00DE7075">
        <w:rPr>
          <w:lang w:val="fr-FR"/>
        </w:rPr>
        <w:noBreakHyphen/>
        <w:t>tête de localisation a été utilisé selon l'exemple suivant:</w:t>
      </w:r>
    </w:p>
    <w:p w14:paraId="598EA8D4" w14:textId="77777777" w:rsidR="00B97F3C" w:rsidRPr="009609FE" w:rsidRDefault="00B97F3C" w:rsidP="00B97F3C">
      <w:pPr>
        <w:spacing w:before="0"/>
        <w:rPr>
          <w:lang w:val="fr-CH"/>
        </w:rPr>
      </w:pPr>
    </w:p>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F3C" w:rsidRPr="001D138F" w14:paraId="75FF4345" w14:textId="77777777" w:rsidTr="00357E23">
        <w:trPr>
          <w:cantSplit/>
        </w:trPr>
        <w:tc>
          <w:tcPr>
            <w:tcW w:w="1701" w:type="dxa"/>
            <w:tcBorders>
              <w:top w:val="single" w:sz="6" w:space="0" w:color="auto"/>
              <w:left w:val="single" w:sz="6" w:space="0" w:color="auto"/>
              <w:bottom w:val="single" w:sz="6" w:space="0" w:color="auto"/>
              <w:right w:val="single" w:sz="6" w:space="0" w:color="auto"/>
            </w:tcBorders>
          </w:tcPr>
          <w:p w14:paraId="50EFACB3"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Part</w:t>
            </w:r>
            <w:r>
              <w:rPr>
                <w:rFonts w:ascii="Arial" w:hAnsi="Arial"/>
                <w:bCs/>
                <w:sz w:val="20"/>
              </w:rPr>
              <w:t>ie</w:t>
            </w:r>
            <w:r w:rsidRPr="001D138F">
              <w:rPr>
                <w:rFonts w:ascii="Arial" w:hAnsi="Arial"/>
                <w:bCs/>
                <w:sz w:val="20"/>
              </w:rPr>
              <w:t xml:space="preserve"> A1</w:t>
            </w:r>
          </w:p>
        </w:tc>
        <w:tc>
          <w:tcPr>
            <w:tcW w:w="1701" w:type="dxa"/>
            <w:tcBorders>
              <w:top w:val="single" w:sz="6" w:space="0" w:color="auto"/>
              <w:left w:val="single" w:sz="6" w:space="0" w:color="auto"/>
              <w:bottom w:val="single" w:sz="6" w:space="0" w:color="auto"/>
              <w:right w:val="single" w:sz="6" w:space="0" w:color="auto"/>
            </w:tcBorders>
          </w:tcPr>
          <w:p w14:paraId="15C12725"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AR11</w:t>
            </w:r>
          </w:p>
        </w:tc>
        <w:tc>
          <w:tcPr>
            <w:tcW w:w="1701" w:type="dxa"/>
            <w:tcBorders>
              <w:top w:val="single" w:sz="6" w:space="0" w:color="auto"/>
              <w:left w:val="single" w:sz="6" w:space="0" w:color="auto"/>
              <w:bottom w:val="single" w:sz="6" w:space="0" w:color="auto"/>
              <w:right w:val="single" w:sz="6" w:space="0" w:color="auto"/>
            </w:tcBorders>
          </w:tcPr>
          <w:p w14:paraId="2E07814C"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p</w:t>
            </w:r>
            <w:r>
              <w:rPr>
                <w:rFonts w:ascii="Arial" w:hAnsi="Arial"/>
                <w:bCs/>
                <w:sz w:val="20"/>
              </w:rPr>
              <w:t>age</w:t>
            </w:r>
            <w:r w:rsidRPr="001D138F">
              <w:rPr>
                <w:rFonts w:ascii="Arial" w:hAnsi="Arial"/>
                <w:bCs/>
                <w:sz w:val="20"/>
              </w:rPr>
              <w:t xml:space="preserve"> </w:t>
            </w:r>
            <w:r w:rsidRPr="001D138F">
              <w:rPr>
                <w:rStyle w:val="PageNumber"/>
                <w:rFonts w:ascii="Arial" w:hAnsi="Arial"/>
                <w:bCs/>
                <w:sz w:val="20"/>
              </w:rPr>
              <w:t>7</w:t>
            </w:r>
          </w:p>
        </w:tc>
        <w:tc>
          <w:tcPr>
            <w:tcW w:w="1701" w:type="dxa"/>
            <w:tcBorders>
              <w:top w:val="single" w:sz="6" w:space="0" w:color="auto"/>
              <w:left w:val="single" w:sz="6" w:space="0" w:color="auto"/>
              <w:bottom w:val="single" w:sz="6" w:space="0" w:color="auto"/>
              <w:right w:val="single" w:sz="6" w:space="0" w:color="auto"/>
            </w:tcBorders>
          </w:tcPr>
          <w:p w14:paraId="70F805B1" w14:textId="77777777" w:rsidR="00B97F3C" w:rsidRPr="001D138F" w:rsidRDefault="00B97F3C" w:rsidP="00357E23">
            <w:pPr>
              <w:pStyle w:val="Header"/>
              <w:spacing w:before="4" w:after="4"/>
              <w:ind w:left="142"/>
              <w:rPr>
                <w:rFonts w:ascii="Arial" w:hAnsi="Arial"/>
                <w:bCs/>
                <w:sz w:val="20"/>
              </w:rPr>
            </w:pPr>
            <w:r w:rsidRPr="001D138F">
              <w:rPr>
                <w:rFonts w:ascii="Arial" w:hAnsi="Arial"/>
                <w:bCs/>
                <w:sz w:val="20"/>
              </w:rPr>
              <w:t>rev.-</w:t>
            </w:r>
          </w:p>
        </w:tc>
      </w:tr>
    </w:tbl>
    <w:p w14:paraId="5CC4A487" w14:textId="77777777" w:rsidR="00B97F3C" w:rsidRPr="001D138F" w:rsidRDefault="00B97F3C" w:rsidP="00B97F3C">
      <w:pPr>
        <w:spacing w:before="0"/>
        <w:rPr>
          <w:rStyle w:val="Artref"/>
        </w:rPr>
      </w:pPr>
    </w:p>
    <w:p w14:paraId="7EE8AF9F" w14:textId="77777777" w:rsidR="00995357" w:rsidRPr="00DE7075" w:rsidRDefault="00995357" w:rsidP="00DE7075">
      <w:pPr>
        <w:rPr>
          <w:lang w:val="fr-FR"/>
        </w:rPr>
      </w:pPr>
      <w:r w:rsidRPr="00DE7075">
        <w:rPr>
          <w:lang w:val="fr-FR"/>
        </w:rPr>
        <w:t xml:space="preserve">Il s'agit, dans la Partie A1, de la page 7 du chapitre consacré à l'Article </w:t>
      </w:r>
      <w:r w:rsidRPr="00DE7075">
        <w:rPr>
          <w:rStyle w:val="Artref0"/>
          <w:b/>
          <w:bCs/>
          <w:color w:val="000000"/>
          <w:lang w:val="fr-FR"/>
        </w:rPr>
        <w:t>11</w:t>
      </w:r>
      <w:r w:rsidRPr="00DE7075">
        <w:rPr>
          <w:lang w:val="fr-FR"/>
        </w:rPr>
        <w:t xml:space="preserve"> du Règlement des radiocommunications. La mention «rév.-» signifie que les dispositions reproduites à la page 7 sont celles de la version initiale des Règles de procédure et qu'aucune révision n'a été effectuée.</w:t>
      </w:r>
    </w:p>
    <w:p w14:paraId="3FA66C22" w14:textId="77777777" w:rsidR="00DE7075" w:rsidRPr="00DE7075" w:rsidRDefault="00DE7075" w:rsidP="00DE7075">
      <w:pPr>
        <w:rPr>
          <w:lang w:val="fr-FR"/>
        </w:rPr>
      </w:pPr>
    </w:p>
    <w:p w14:paraId="6E8F3A7A" w14:textId="77777777" w:rsidR="00DE7075" w:rsidRPr="00DE7075" w:rsidRDefault="00DE7075" w:rsidP="00DE7075">
      <w:pPr>
        <w:jc w:val="center"/>
        <w:rPr>
          <w:lang w:val="fr-FR"/>
        </w:rPr>
      </w:pPr>
      <w:r w:rsidRPr="00DE7075">
        <w:rPr>
          <w:lang w:val="fr-FR"/>
        </w:rPr>
        <w:t>____________________</w:t>
      </w:r>
    </w:p>
    <w:p w14:paraId="07C34A44" w14:textId="77777777" w:rsidR="00DE7075" w:rsidRPr="00DE7075" w:rsidRDefault="00DE7075" w:rsidP="00DE7075">
      <w:pPr>
        <w:rPr>
          <w:lang w:val="fr-FR"/>
        </w:rPr>
      </w:pPr>
    </w:p>
    <w:p w14:paraId="6A04D490" w14:textId="77777777" w:rsidR="00DE7075" w:rsidRPr="00DE7075" w:rsidRDefault="00DE7075" w:rsidP="00DE7075">
      <w:pPr>
        <w:rPr>
          <w:lang w:val="fr-FR"/>
        </w:rPr>
      </w:pPr>
    </w:p>
    <w:p w14:paraId="565B8B8D" w14:textId="77777777" w:rsidR="00DE7075" w:rsidRPr="00DE7075" w:rsidRDefault="00DE7075" w:rsidP="00DE7075">
      <w:pPr>
        <w:rPr>
          <w:lang w:val="fr-FR"/>
        </w:rPr>
      </w:pPr>
    </w:p>
    <w:p w14:paraId="11058800" w14:textId="77777777" w:rsidR="00DE7075" w:rsidRPr="00DE7075" w:rsidRDefault="00DE7075" w:rsidP="00DE7075">
      <w:pPr>
        <w:rPr>
          <w:lang w:val="fr-FR"/>
        </w:rPr>
      </w:pPr>
    </w:p>
    <w:p w14:paraId="1C3F316F" w14:textId="77777777" w:rsidR="00DE7075" w:rsidRPr="00DE7075" w:rsidRDefault="00DE7075" w:rsidP="00DE7075">
      <w:pPr>
        <w:rPr>
          <w:lang w:val="fr-FR"/>
        </w:rPr>
      </w:pPr>
    </w:p>
    <w:p w14:paraId="3F58231A" w14:textId="77777777" w:rsidR="00DE7075" w:rsidRPr="00DE7075" w:rsidRDefault="00DE7075" w:rsidP="00DE7075">
      <w:pPr>
        <w:rPr>
          <w:lang w:val="fr-FR"/>
        </w:rPr>
      </w:pPr>
    </w:p>
    <w:p w14:paraId="334763A1" w14:textId="77777777" w:rsidR="00DE7075" w:rsidRPr="00DE7075" w:rsidRDefault="00DE7075" w:rsidP="00DE7075">
      <w:pPr>
        <w:rPr>
          <w:lang w:val="fr-FR"/>
        </w:rPr>
      </w:pPr>
    </w:p>
    <w:p w14:paraId="54C5E064" w14:textId="77777777" w:rsidR="00DE7075" w:rsidRPr="00DE7075" w:rsidRDefault="00DE7075" w:rsidP="00DE7075">
      <w:pPr>
        <w:rPr>
          <w:lang w:val="fr-FR"/>
        </w:rPr>
      </w:pPr>
    </w:p>
    <w:p w14:paraId="463E526A" w14:textId="77777777" w:rsidR="00DE7075" w:rsidRPr="00DE7075" w:rsidRDefault="00DE7075" w:rsidP="00DE7075">
      <w:pPr>
        <w:rPr>
          <w:lang w:val="fr-FR"/>
        </w:rPr>
      </w:pPr>
    </w:p>
    <w:p w14:paraId="5FEC9089" w14:textId="77777777" w:rsidR="00DE7075" w:rsidRPr="00DE7075" w:rsidRDefault="00DE7075" w:rsidP="00DE7075">
      <w:pPr>
        <w:rPr>
          <w:lang w:val="fr-FR"/>
        </w:rPr>
      </w:pPr>
    </w:p>
    <w:p w14:paraId="1171C46B" w14:textId="77777777" w:rsidR="00DE7075" w:rsidRPr="00DE7075" w:rsidRDefault="00DE7075" w:rsidP="00DE7075">
      <w:pPr>
        <w:rPr>
          <w:lang w:val="fr-FR"/>
        </w:rPr>
        <w:sectPr w:rsidR="00DE7075" w:rsidRPr="00DE7075" w:rsidSect="00B97F3C">
          <w:headerReference w:type="even" r:id="rId6"/>
          <w:headerReference w:type="default" r:id="rId7"/>
          <w:footnotePr>
            <w:pos w:val="beneathText"/>
          </w:footnotePr>
          <w:type w:val="oddPage"/>
          <w:pgSz w:w="11907" w:h="16840" w:code="9"/>
          <w:pgMar w:top="1701" w:right="851" w:bottom="1134" w:left="1985" w:header="720" w:footer="482" w:gutter="0"/>
          <w:cols w:space="720"/>
          <w:vAlign w:val="both"/>
        </w:sectPr>
      </w:pPr>
    </w:p>
    <w:p w14:paraId="5488FEE2" w14:textId="77777777" w:rsidR="00DE7075" w:rsidRPr="00DE7075" w:rsidRDefault="00DE7075" w:rsidP="00DE7075">
      <w:pPr>
        <w:rPr>
          <w:lang w:val="fr-FR"/>
        </w:rPr>
      </w:pPr>
    </w:p>
    <w:sectPr w:rsidR="00DE7075" w:rsidRPr="00DE7075" w:rsidSect="00DE7075">
      <w:headerReference w:type="even" r:id="rId8"/>
      <w:headerReference w:type="default"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A646FE" w14:textId="77777777" w:rsidR="00714C26" w:rsidRDefault="00714C26">
      <w:r>
        <w:separator/>
      </w:r>
    </w:p>
  </w:endnote>
  <w:endnote w:type="continuationSeparator" w:id="0">
    <w:p w14:paraId="61510731" w14:textId="77777777" w:rsidR="00714C26" w:rsidRDefault="0071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6FEEB" w14:textId="77777777" w:rsidR="00714C26" w:rsidRDefault="00714C26">
      <w:r>
        <w:rPr>
          <w:b/>
        </w:rPr>
        <w:t>_______________</w:t>
      </w:r>
    </w:p>
  </w:footnote>
  <w:footnote w:type="continuationSeparator" w:id="0">
    <w:p w14:paraId="3DCF3CAD" w14:textId="77777777" w:rsidR="00714C26" w:rsidRDefault="00714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985"/>
      <w:gridCol w:w="1701"/>
      <w:gridCol w:w="1701"/>
    </w:tblGrid>
    <w:tr w:rsidR="00DE7075" w14:paraId="66B05AAF" w14:textId="77777777">
      <w:trPr>
        <w:cantSplit/>
      </w:trPr>
      <w:tc>
        <w:tcPr>
          <w:tcW w:w="1985" w:type="dxa"/>
          <w:tcBorders>
            <w:top w:val="single" w:sz="6" w:space="0" w:color="auto"/>
            <w:left w:val="single" w:sz="6" w:space="0" w:color="auto"/>
            <w:bottom w:val="single" w:sz="6" w:space="0" w:color="auto"/>
            <w:right w:val="single" w:sz="6" w:space="0" w:color="auto"/>
          </w:tcBorders>
        </w:tcPr>
        <w:p w14:paraId="68A1022C" w14:textId="77777777" w:rsidR="00DE7075" w:rsidRDefault="00DE7075">
          <w:pPr>
            <w:pStyle w:val="HeaderRegProc"/>
            <w:rPr>
              <w:lang w:val="fr-CH"/>
            </w:rPr>
          </w:pPr>
          <w:r>
            <w:rPr>
              <w:lang w:val="fr-CH"/>
            </w:rPr>
            <w:t>Introduc</w:t>
          </w:r>
          <w:r w:rsidR="00B97F3C">
            <w:rPr>
              <w:lang w:val="fr-CH"/>
            </w:rPr>
            <w:t>tio</w:t>
          </w:r>
          <w:r>
            <w:rPr>
              <w:lang w:val="fr-CH"/>
            </w:rPr>
            <w:t>n</w:t>
          </w:r>
        </w:p>
      </w:tc>
      <w:tc>
        <w:tcPr>
          <w:tcW w:w="1701" w:type="dxa"/>
          <w:tcBorders>
            <w:top w:val="single" w:sz="6" w:space="0" w:color="auto"/>
            <w:left w:val="single" w:sz="6" w:space="0" w:color="auto"/>
            <w:bottom w:val="single" w:sz="6" w:space="0" w:color="auto"/>
            <w:right w:val="single" w:sz="6" w:space="0" w:color="auto"/>
          </w:tcBorders>
        </w:tcPr>
        <w:p w14:paraId="03DD4DFF" w14:textId="77777777" w:rsidR="00DE7075" w:rsidRDefault="00DE7075">
          <w:pPr>
            <w:pStyle w:val="HeaderRegProc"/>
            <w:rPr>
              <w:lang w:val="fr-CH"/>
            </w:rPr>
          </w:pPr>
          <w:r>
            <w:rPr>
              <w:lang w:val="fr-FR"/>
            </w:rPr>
            <w:t>p</w:t>
          </w:r>
          <w:r w:rsidR="00B97F3C">
            <w:rPr>
              <w:lang w:val="fr-FR"/>
            </w:rPr>
            <w:t>age</w:t>
          </w:r>
          <w:r>
            <w:rPr>
              <w:lang w:val="fr-FR"/>
            </w:rPr>
            <w:t xml:space="preserve"> </w:t>
          </w:r>
          <w:r w:rsidR="00600601">
            <w:rPr>
              <w:rStyle w:val="PageNumber"/>
            </w:rPr>
            <w:fldChar w:fldCharType="begin"/>
          </w:r>
          <w:r>
            <w:rPr>
              <w:rStyle w:val="PageNumber"/>
              <w:lang w:val="fr-CH"/>
            </w:rPr>
            <w:instrText xml:space="preserve"> PAGE </w:instrText>
          </w:r>
          <w:r w:rsidR="00600601">
            <w:rPr>
              <w:rStyle w:val="PageNumber"/>
            </w:rPr>
            <w:fldChar w:fldCharType="separate"/>
          </w:r>
          <w:r w:rsidR="008C364F">
            <w:rPr>
              <w:rStyle w:val="PageNumber"/>
              <w:noProof/>
              <w:lang w:val="fr-CH"/>
            </w:rPr>
            <w:t>2</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05D45A" w14:textId="65BFBC50" w:rsidR="00DE7075" w:rsidRDefault="00DE7075">
          <w:pPr>
            <w:pStyle w:val="HeaderRegProc"/>
            <w:rPr>
              <w:lang w:val="fr-CH"/>
            </w:rPr>
          </w:pPr>
          <w:r>
            <w:rPr>
              <w:lang w:val="fr-CH"/>
            </w:rPr>
            <w:t>r</w:t>
          </w:r>
          <w:r w:rsidR="00B97F3C">
            <w:rPr>
              <w:lang w:val="fr-CH"/>
            </w:rPr>
            <w:t>é</w:t>
          </w:r>
          <w:r>
            <w:rPr>
              <w:lang w:val="fr-CH"/>
            </w:rPr>
            <w:t>v.</w:t>
          </w:r>
          <w:r w:rsidR="00486E07">
            <w:t xml:space="preserve"> 5</w:t>
          </w:r>
        </w:p>
      </w:tc>
    </w:tr>
  </w:tbl>
  <w:p w14:paraId="1693CB30" w14:textId="77777777" w:rsidR="00DE7075" w:rsidRDefault="00DE707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985"/>
      <w:gridCol w:w="1701"/>
      <w:gridCol w:w="1701"/>
    </w:tblGrid>
    <w:tr w:rsidR="00DE7075" w14:paraId="27F1AFEF" w14:textId="77777777">
      <w:trPr>
        <w:cantSplit/>
        <w:jc w:val="right"/>
      </w:trPr>
      <w:tc>
        <w:tcPr>
          <w:tcW w:w="1985" w:type="dxa"/>
          <w:tcBorders>
            <w:top w:val="single" w:sz="6" w:space="0" w:color="auto"/>
            <w:left w:val="single" w:sz="6" w:space="0" w:color="auto"/>
            <w:bottom w:val="single" w:sz="6" w:space="0" w:color="auto"/>
            <w:right w:val="single" w:sz="6" w:space="0" w:color="auto"/>
          </w:tcBorders>
        </w:tcPr>
        <w:p w14:paraId="2FDDA8AF" w14:textId="77777777" w:rsidR="00DE7075" w:rsidRDefault="00DE7075">
          <w:pPr>
            <w:pStyle w:val="HeaderRegProc"/>
          </w:pPr>
          <w:r>
            <w:t>Introduc</w:t>
          </w:r>
          <w:r w:rsidR="00B97F3C">
            <w:t>tion</w:t>
          </w:r>
        </w:p>
      </w:tc>
      <w:tc>
        <w:tcPr>
          <w:tcW w:w="1701" w:type="dxa"/>
          <w:tcBorders>
            <w:top w:val="single" w:sz="6" w:space="0" w:color="auto"/>
            <w:left w:val="single" w:sz="6" w:space="0" w:color="auto"/>
            <w:bottom w:val="single" w:sz="6" w:space="0" w:color="auto"/>
            <w:right w:val="single" w:sz="6" w:space="0" w:color="auto"/>
          </w:tcBorders>
        </w:tcPr>
        <w:p w14:paraId="659D0648" w14:textId="77777777" w:rsidR="00DE7075" w:rsidRDefault="00DE7075">
          <w:pPr>
            <w:pStyle w:val="HeaderRegProc"/>
            <w:rPr>
              <w:lang w:val="es-ES_tradnl"/>
            </w:rPr>
          </w:pPr>
          <w:r>
            <w:rPr>
              <w:lang w:val="es-ES_tradnl"/>
            </w:rPr>
            <w:t>p</w:t>
          </w:r>
          <w:r w:rsidR="00B97F3C">
            <w:rPr>
              <w:lang w:val="es-ES_tradnl"/>
            </w:rPr>
            <w:t>age</w:t>
          </w:r>
          <w:r>
            <w:rPr>
              <w:lang w:val="es-ES_tradnl"/>
            </w:rPr>
            <w:t xml:space="preserve"> </w:t>
          </w:r>
          <w:r w:rsidR="00600601">
            <w:rPr>
              <w:rStyle w:val="PageNumber"/>
            </w:rPr>
            <w:fldChar w:fldCharType="begin"/>
          </w:r>
          <w:r>
            <w:rPr>
              <w:rStyle w:val="PageNumber"/>
            </w:rPr>
            <w:instrText xml:space="preserve"> PAGE </w:instrText>
          </w:r>
          <w:r w:rsidR="00600601">
            <w:rPr>
              <w:rStyle w:val="PageNumber"/>
            </w:rPr>
            <w:fldChar w:fldCharType="separate"/>
          </w:r>
          <w:r w:rsidR="008C364F">
            <w:rPr>
              <w:rStyle w:val="PageNumber"/>
              <w:noProof/>
            </w:rPr>
            <w:t>1</w:t>
          </w:r>
          <w:r w:rsidR="00600601">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06E7A6" w14:textId="14C44DCA" w:rsidR="00DE7075" w:rsidRDefault="00DE7075">
          <w:pPr>
            <w:pStyle w:val="HeaderRegProc"/>
            <w:rPr>
              <w:lang w:val="fr-CH"/>
            </w:rPr>
          </w:pPr>
          <w:r>
            <w:rPr>
              <w:lang w:val="es-ES_tradnl"/>
            </w:rPr>
            <w:t>r</w:t>
          </w:r>
          <w:r w:rsidR="00B97F3C">
            <w:rPr>
              <w:lang w:val="es-ES_tradnl"/>
            </w:rPr>
            <w:t>é</w:t>
          </w:r>
          <w:r>
            <w:rPr>
              <w:lang w:val="es-ES_tradnl"/>
            </w:rPr>
            <w:t>v.</w:t>
          </w:r>
          <w:r w:rsidR="00486E07">
            <w:rPr>
              <w:lang w:val="es-ES_tradnl"/>
            </w:rPr>
            <w:t xml:space="preserve"> </w:t>
          </w:r>
          <w:r>
            <w:t>-</w:t>
          </w:r>
        </w:p>
      </w:tc>
    </w:tr>
  </w:tbl>
  <w:p w14:paraId="7DF73B7D" w14:textId="77777777" w:rsidR="00DE7075" w:rsidRDefault="00DE70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7A99" w14:textId="77777777" w:rsidR="00B270C1" w:rsidRDefault="00B270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1B3A9" w14:textId="77777777" w:rsidR="00486E07" w:rsidRDefault="00486E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5357"/>
    <w:rsid w:val="00357E23"/>
    <w:rsid w:val="003A5890"/>
    <w:rsid w:val="00486E07"/>
    <w:rsid w:val="0054487B"/>
    <w:rsid w:val="00597B90"/>
    <w:rsid w:val="00600601"/>
    <w:rsid w:val="00696CA9"/>
    <w:rsid w:val="00714C26"/>
    <w:rsid w:val="0088514F"/>
    <w:rsid w:val="008A1E47"/>
    <w:rsid w:val="008C364F"/>
    <w:rsid w:val="00926086"/>
    <w:rsid w:val="009609FE"/>
    <w:rsid w:val="00995357"/>
    <w:rsid w:val="00AA011A"/>
    <w:rsid w:val="00B270C1"/>
    <w:rsid w:val="00B90F10"/>
    <w:rsid w:val="00B97F3C"/>
    <w:rsid w:val="00BD6675"/>
    <w:rsid w:val="00C96A00"/>
    <w:rsid w:val="00CC2DC8"/>
    <w:rsid w:val="00DE7075"/>
    <w:rsid w:val="00E83F64"/>
    <w:rsid w:val="00F74B34"/>
    <w:rsid w:val="00F75906"/>
    <w:rsid w:val="00F943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B40BC"/>
  <w15:docId w15:val="{84BC92F1-AC88-45D6-B51C-B3BA67CEC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60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060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0601"/>
    <w:pPr>
      <w:spacing w:before="480"/>
      <w:outlineLvl w:val="1"/>
    </w:pPr>
    <w:rPr>
      <w:sz w:val="26"/>
    </w:rPr>
  </w:style>
  <w:style w:type="paragraph" w:styleId="Heading3">
    <w:name w:val="heading 3"/>
    <w:basedOn w:val="Heading1"/>
    <w:next w:val="Normal"/>
    <w:qFormat/>
    <w:rsid w:val="00600601"/>
    <w:pPr>
      <w:spacing w:before="360"/>
      <w:outlineLvl w:val="2"/>
    </w:pPr>
    <w:rPr>
      <w:sz w:val="24"/>
    </w:rPr>
  </w:style>
  <w:style w:type="paragraph" w:styleId="Heading4">
    <w:name w:val="heading 4"/>
    <w:basedOn w:val="Heading3"/>
    <w:next w:val="Normal"/>
    <w:qFormat/>
    <w:rsid w:val="00600601"/>
    <w:pPr>
      <w:outlineLvl w:val="3"/>
    </w:pPr>
  </w:style>
  <w:style w:type="paragraph" w:styleId="Heading5">
    <w:name w:val="heading 5"/>
    <w:basedOn w:val="Heading3"/>
    <w:next w:val="Normal"/>
    <w:qFormat/>
    <w:rsid w:val="00600601"/>
    <w:pPr>
      <w:outlineLvl w:val="4"/>
    </w:pPr>
  </w:style>
  <w:style w:type="paragraph" w:styleId="Heading6">
    <w:name w:val="heading 6"/>
    <w:basedOn w:val="Heading3"/>
    <w:next w:val="Normal"/>
    <w:qFormat/>
    <w:rsid w:val="00600601"/>
    <w:pPr>
      <w:outlineLvl w:val="5"/>
    </w:pPr>
  </w:style>
  <w:style w:type="paragraph" w:styleId="Heading7">
    <w:name w:val="heading 7"/>
    <w:basedOn w:val="Heading3"/>
    <w:next w:val="Normal"/>
    <w:qFormat/>
    <w:rsid w:val="00600601"/>
    <w:pPr>
      <w:outlineLvl w:val="6"/>
    </w:pPr>
  </w:style>
  <w:style w:type="paragraph" w:styleId="Heading8">
    <w:name w:val="heading 8"/>
    <w:basedOn w:val="Heading3"/>
    <w:next w:val="Normal"/>
    <w:qFormat/>
    <w:rsid w:val="0060060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060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0601"/>
    <w:rPr>
      <w:vertAlign w:val="superscript"/>
    </w:rPr>
  </w:style>
  <w:style w:type="paragraph" w:styleId="TOC8">
    <w:name w:val="toc 8"/>
    <w:basedOn w:val="Normal"/>
    <w:next w:val="Normal"/>
    <w:semiHidden/>
    <w:rsid w:val="00600601"/>
    <w:pPr>
      <w:tabs>
        <w:tab w:val="left" w:pos="7711"/>
        <w:tab w:val="right" w:leader="dot" w:pos="9725"/>
      </w:tabs>
      <w:ind w:left="6350"/>
    </w:pPr>
  </w:style>
  <w:style w:type="paragraph" w:styleId="TOC7">
    <w:name w:val="toc 7"/>
    <w:basedOn w:val="Normal"/>
    <w:next w:val="Normal"/>
    <w:semiHidden/>
    <w:rsid w:val="00600601"/>
    <w:pPr>
      <w:tabs>
        <w:tab w:val="left" w:pos="6350"/>
        <w:tab w:val="right" w:leader="dot" w:pos="9725"/>
      </w:tabs>
      <w:ind w:left="5103"/>
    </w:pPr>
  </w:style>
  <w:style w:type="paragraph" w:styleId="TOC6">
    <w:name w:val="toc 6"/>
    <w:basedOn w:val="TOC4"/>
    <w:next w:val="Normal"/>
    <w:semiHidden/>
    <w:rsid w:val="00600601"/>
    <w:pPr>
      <w:ind w:left="3913"/>
    </w:pPr>
  </w:style>
  <w:style w:type="paragraph" w:styleId="TOC4">
    <w:name w:val="toc 4"/>
    <w:basedOn w:val="TOC3"/>
    <w:next w:val="Normal"/>
    <w:semiHidden/>
    <w:rsid w:val="00600601"/>
    <w:pPr>
      <w:tabs>
        <w:tab w:val="clear" w:pos="2268"/>
      </w:tabs>
      <w:spacing w:before="80"/>
      <w:ind w:left="3119" w:hanging="851"/>
    </w:pPr>
  </w:style>
  <w:style w:type="paragraph" w:styleId="TOC3">
    <w:name w:val="toc 3"/>
    <w:basedOn w:val="TOC2"/>
    <w:next w:val="Normal"/>
    <w:semiHidden/>
    <w:rsid w:val="00600601"/>
    <w:pPr>
      <w:tabs>
        <w:tab w:val="clear" w:pos="1985"/>
        <w:tab w:val="left" w:pos="2268"/>
      </w:tabs>
      <w:ind w:left="2268" w:hanging="2268"/>
    </w:pPr>
  </w:style>
  <w:style w:type="paragraph" w:styleId="TOC2">
    <w:name w:val="toc 2"/>
    <w:basedOn w:val="TOC1"/>
    <w:next w:val="Normal"/>
    <w:semiHidden/>
    <w:rsid w:val="0060060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060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0601"/>
    <w:pPr>
      <w:tabs>
        <w:tab w:val="clear" w:pos="2268"/>
        <w:tab w:val="left" w:pos="3062"/>
      </w:tabs>
      <w:ind w:left="3062" w:hanging="3062"/>
    </w:pPr>
  </w:style>
  <w:style w:type="paragraph" w:styleId="Index1">
    <w:name w:val="index 1"/>
    <w:basedOn w:val="Normal"/>
    <w:next w:val="Normal"/>
    <w:semiHidden/>
    <w:rsid w:val="00600601"/>
  </w:style>
  <w:style w:type="paragraph" w:styleId="Footer">
    <w:name w:val="footer"/>
    <w:basedOn w:val="Normal"/>
    <w:rsid w:val="00600601"/>
    <w:pPr>
      <w:tabs>
        <w:tab w:val="left" w:pos="567"/>
        <w:tab w:val="center" w:pos="3742"/>
        <w:tab w:val="right" w:pos="6974"/>
      </w:tabs>
    </w:pPr>
  </w:style>
  <w:style w:type="paragraph" w:styleId="Header">
    <w:name w:val="header"/>
    <w:aliases w:val="encabezado"/>
    <w:basedOn w:val="Normal"/>
    <w:rsid w:val="00600601"/>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00601"/>
    <w:rPr>
      <w:position w:val="6"/>
      <w:sz w:val="16"/>
    </w:rPr>
  </w:style>
  <w:style w:type="paragraph" w:styleId="FootnoteText">
    <w:name w:val="footnote text"/>
    <w:basedOn w:val="Normal"/>
    <w:semiHidden/>
    <w:rsid w:val="0060060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0601"/>
    <w:pPr>
      <w:spacing w:before="120"/>
      <w:ind w:left="1134"/>
    </w:pPr>
  </w:style>
  <w:style w:type="paragraph" w:customStyle="1" w:styleId="TableLegend">
    <w:name w:val="Table_Legend"/>
    <w:basedOn w:val="TableText"/>
    <w:next w:val="Normal"/>
    <w:rsid w:val="00600601"/>
    <w:pPr>
      <w:keepNext/>
      <w:tabs>
        <w:tab w:val="left" w:pos="284"/>
        <w:tab w:val="left" w:pos="567"/>
        <w:tab w:val="left" w:pos="851"/>
        <w:tab w:val="left" w:pos="1134"/>
      </w:tabs>
      <w:spacing w:before="120" w:after="0"/>
    </w:pPr>
  </w:style>
  <w:style w:type="paragraph" w:customStyle="1" w:styleId="TableText">
    <w:name w:val="Table_Text"/>
    <w:basedOn w:val="Normal"/>
    <w:rsid w:val="0060060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0601"/>
    <w:pPr>
      <w:spacing w:before="0"/>
    </w:pPr>
    <w:rPr>
      <w:b/>
    </w:rPr>
  </w:style>
  <w:style w:type="paragraph" w:customStyle="1" w:styleId="Table">
    <w:name w:val="Table_#"/>
    <w:basedOn w:val="Normal"/>
    <w:next w:val="TableTitle"/>
    <w:rsid w:val="0060060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00601"/>
    <w:pPr>
      <w:tabs>
        <w:tab w:val="clear" w:pos="2268"/>
        <w:tab w:val="left" w:pos="2608"/>
        <w:tab w:val="left" w:pos="3345"/>
      </w:tabs>
      <w:spacing w:before="120"/>
      <w:ind w:left="454" w:hanging="454"/>
    </w:pPr>
  </w:style>
  <w:style w:type="paragraph" w:customStyle="1" w:styleId="enumlev2">
    <w:name w:val="enumlev2"/>
    <w:basedOn w:val="enumlev1"/>
    <w:rsid w:val="00600601"/>
    <w:pPr>
      <w:tabs>
        <w:tab w:val="left" w:pos="907"/>
      </w:tabs>
      <w:ind w:left="908"/>
    </w:pPr>
  </w:style>
  <w:style w:type="paragraph" w:customStyle="1" w:styleId="enumlev3">
    <w:name w:val="enumlev3"/>
    <w:basedOn w:val="enumlev2"/>
    <w:rsid w:val="00600601"/>
    <w:pPr>
      <w:tabs>
        <w:tab w:val="clear" w:pos="1134"/>
        <w:tab w:val="clear" w:pos="1871"/>
        <w:tab w:val="clear" w:pos="2608"/>
        <w:tab w:val="left" w:pos="1361"/>
      </w:tabs>
      <w:ind w:left="1361"/>
    </w:pPr>
  </w:style>
  <w:style w:type="paragraph" w:customStyle="1" w:styleId="Figure">
    <w:name w:val="Figure"/>
    <w:basedOn w:val="Normal"/>
    <w:rsid w:val="00600601"/>
    <w:pPr>
      <w:keepNext/>
      <w:keepLines/>
      <w:spacing w:before="240"/>
      <w:jc w:val="center"/>
    </w:pPr>
  </w:style>
  <w:style w:type="paragraph" w:customStyle="1" w:styleId="FigureLegend">
    <w:name w:val="Figure_Legend"/>
    <w:basedOn w:val="TableLegend"/>
    <w:next w:val="Figure0"/>
    <w:rsid w:val="00600601"/>
  </w:style>
  <w:style w:type="paragraph" w:customStyle="1" w:styleId="Figure0">
    <w:name w:val="Figure_#"/>
    <w:basedOn w:val="Table"/>
    <w:next w:val="FigureTitle"/>
    <w:rsid w:val="00600601"/>
  </w:style>
  <w:style w:type="paragraph" w:customStyle="1" w:styleId="FigureTitle">
    <w:name w:val="Figure_Title"/>
    <w:basedOn w:val="TableTitle"/>
    <w:next w:val="Normal"/>
    <w:rsid w:val="00600601"/>
    <w:pPr>
      <w:spacing w:after="720"/>
    </w:pPr>
  </w:style>
  <w:style w:type="paragraph" w:customStyle="1" w:styleId="Annex">
    <w:name w:val="Annex_#"/>
    <w:basedOn w:val="Art"/>
    <w:next w:val="AnnexRef"/>
    <w:rsid w:val="00600601"/>
  </w:style>
  <w:style w:type="paragraph" w:customStyle="1" w:styleId="Art">
    <w:name w:val="Art_#"/>
    <w:basedOn w:val="Normal"/>
    <w:next w:val="Arttitle"/>
    <w:rsid w:val="00600601"/>
    <w:pPr>
      <w:keepNext/>
      <w:keepLines/>
      <w:spacing w:before="720"/>
      <w:jc w:val="center"/>
    </w:pPr>
    <w:rPr>
      <w:sz w:val="28"/>
    </w:rPr>
  </w:style>
  <w:style w:type="paragraph" w:customStyle="1" w:styleId="Arttitle">
    <w:name w:val="Art_title"/>
    <w:next w:val="Normalaftertitle"/>
    <w:rsid w:val="0060060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0601"/>
    <w:pPr>
      <w:spacing w:before="360"/>
    </w:pPr>
  </w:style>
  <w:style w:type="paragraph" w:customStyle="1" w:styleId="AnnexRef">
    <w:name w:val="Annex_Ref"/>
    <w:basedOn w:val="Normal"/>
    <w:rsid w:val="00600601"/>
    <w:pPr>
      <w:jc w:val="center"/>
    </w:pPr>
  </w:style>
  <w:style w:type="paragraph" w:customStyle="1" w:styleId="AnnexTitle">
    <w:name w:val="Annex_Title"/>
    <w:basedOn w:val="Arttitle"/>
    <w:next w:val="Normal"/>
    <w:rsid w:val="00600601"/>
    <w:pPr>
      <w:spacing w:after="0"/>
    </w:pPr>
  </w:style>
  <w:style w:type="paragraph" w:customStyle="1" w:styleId="Appendix">
    <w:name w:val="Appendix_#"/>
    <w:basedOn w:val="Art"/>
    <w:next w:val="AppendixTitle"/>
    <w:rsid w:val="00600601"/>
  </w:style>
  <w:style w:type="paragraph" w:customStyle="1" w:styleId="AppendixTitle">
    <w:name w:val="Appendix_Title"/>
    <w:basedOn w:val="Arttitle"/>
    <w:next w:val="Normal"/>
    <w:rsid w:val="00600601"/>
  </w:style>
  <w:style w:type="paragraph" w:customStyle="1" w:styleId="headfoot">
    <w:name w:val="head_foot"/>
    <w:basedOn w:val="Normal"/>
    <w:next w:val="Normalaftertitle"/>
    <w:rsid w:val="00600601"/>
    <w:pPr>
      <w:spacing w:before="0"/>
    </w:pPr>
    <w:rPr>
      <w:color w:val="0000FF"/>
      <w:sz w:val="20"/>
    </w:rPr>
  </w:style>
  <w:style w:type="paragraph" w:customStyle="1" w:styleId="AppendixRef">
    <w:name w:val="Appendix_Ref"/>
    <w:basedOn w:val="AnnexRef"/>
    <w:next w:val="AppendixTitle"/>
    <w:rsid w:val="00600601"/>
  </w:style>
  <w:style w:type="paragraph" w:customStyle="1" w:styleId="RefTitle">
    <w:name w:val="Ref_Title"/>
    <w:basedOn w:val="Normal"/>
    <w:next w:val="RefText"/>
    <w:rsid w:val="00600601"/>
    <w:pPr>
      <w:spacing w:before="480"/>
      <w:jc w:val="left"/>
    </w:pPr>
    <w:rPr>
      <w:b/>
    </w:rPr>
  </w:style>
  <w:style w:type="paragraph" w:customStyle="1" w:styleId="RefText">
    <w:name w:val="Ref_Text"/>
    <w:basedOn w:val="Normal"/>
    <w:rsid w:val="00600601"/>
  </w:style>
  <w:style w:type="paragraph" w:customStyle="1" w:styleId="listitem">
    <w:name w:val="listitem"/>
    <w:basedOn w:val="Normal"/>
    <w:rsid w:val="00600601"/>
    <w:pPr>
      <w:keepLines/>
      <w:spacing w:before="0"/>
      <w:jc w:val="left"/>
    </w:pPr>
  </w:style>
  <w:style w:type="paragraph" w:customStyle="1" w:styleId="TableRef">
    <w:name w:val="Table_Ref"/>
    <w:basedOn w:val="Normal"/>
    <w:next w:val="TableTitle"/>
    <w:rsid w:val="00600601"/>
    <w:pPr>
      <w:keepNext/>
      <w:spacing w:before="567"/>
      <w:jc w:val="center"/>
    </w:pPr>
    <w:rPr>
      <w:sz w:val="18"/>
    </w:rPr>
  </w:style>
  <w:style w:type="paragraph" w:customStyle="1" w:styleId="Signcountry">
    <w:name w:val="Sign_country"/>
    <w:basedOn w:val="Normal"/>
    <w:next w:val="SignPart"/>
    <w:rsid w:val="00600601"/>
    <w:pPr>
      <w:keepNext/>
      <w:keepLines/>
      <w:spacing w:before="240" w:after="57"/>
      <w:jc w:val="left"/>
    </w:pPr>
    <w:rPr>
      <w:b/>
    </w:rPr>
  </w:style>
  <w:style w:type="paragraph" w:customStyle="1" w:styleId="SignPart">
    <w:name w:val="Sign_Part"/>
    <w:basedOn w:val="Signcountry"/>
    <w:rsid w:val="00600601"/>
    <w:pPr>
      <w:keepNext w:val="0"/>
      <w:keepLines w:val="0"/>
      <w:spacing w:before="0"/>
      <w:ind w:left="284"/>
    </w:pPr>
    <w:rPr>
      <w:b w:val="0"/>
      <w:smallCaps/>
    </w:rPr>
  </w:style>
  <w:style w:type="paragraph" w:customStyle="1" w:styleId="Chap">
    <w:name w:val="Chap_#"/>
    <w:basedOn w:val="Art"/>
    <w:next w:val="Chaptitle"/>
    <w:rsid w:val="00600601"/>
    <w:pPr>
      <w:spacing w:before="1200"/>
    </w:pPr>
    <w:rPr>
      <w:sz w:val="32"/>
    </w:rPr>
  </w:style>
  <w:style w:type="paragraph" w:customStyle="1" w:styleId="Chaptitle">
    <w:name w:val="Chap_title"/>
    <w:basedOn w:val="Arttitle"/>
    <w:next w:val="Art"/>
    <w:rsid w:val="00600601"/>
    <w:rPr>
      <w:sz w:val="32"/>
    </w:rPr>
  </w:style>
  <w:style w:type="paragraph" w:customStyle="1" w:styleId="Protfin">
    <w:name w:val="Prot_fin"/>
    <w:basedOn w:val="Normal"/>
    <w:next w:val="Normalaftertitle"/>
    <w:rsid w:val="00600601"/>
    <w:pPr>
      <w:pageBreakBefore/>
      <w:spacing w:before="720" w:after="240"/>
      <w:jc w:val="center"/>
    </w:pPr>
    <w:rPr>
      <w:b/>
    </w:rPr>
  </w:style>
  <w:style w:type="paragraph" w:customStyle="1" w:styleId="Prot">
    <w:name w:val="Prot_#"/>
    <w:basedOn w:val="Normal"/>
    <w:next w:val="Protlang"/>
    <w:rsid w:val="00600601"/>
    <w:pPr>
      <w:keepNext/>
      <w:spacing w:before="240"/>
      <w:jc w:val="center"/>
    </w:pPr>
  </w:style>
  <w:style w:type="paragraph" w:customStyle="1" w:styleId="Protlang">
    <w:name w:val="Prot_lang"/>
    <w:basedOn w:val="Prot"/>
    <w:next w:val="Protpays"/>
    <w:rsid w:val="00600601"/>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0601"/>
    <w:pPr>
      <w:framePr w:wrap="auto"/>
      <w:spacing w:before="113" w:line="199" w:lineRule="exact"/>
      <w:jc w:val="left"/>
    </w:pPr>
  </w:style>
  <w:style w:type="paragraph" w:customStyle="1" w:styleId="Prottexte">
    <w:name w:val="Prot_texte"/>
    <w:basedOn w:val="Protlang"/>
    <w:rsid w:val="00600601"/>
    <w:pPr>
      <w:keepNext w:val="0"/>
      <w:keepLines w:val="0"/>
      <w:framePr w:wrap="auto"/>
      <w:spacing w:before="113" w:line="199" w:lineRule="exact"/>
      <w:jc w:val="both"/>
    </w:pPr>
    <w:rPr>
      <w:i w:val="0"/>
    </w:rPr>
  </w:style>
  <w:style w:type="paragraph" w:customStyle="1" w:styleId="Protcall">
    <w:name w:val="Prot_call"/>
    <w:basedOn w:val="Prottexte"/>
    <w:next w:val="Prottexte"/>
    <w:rsid w:val="00600601"/>
    <w:pPr>
      <w:keepNext/>
      <w:keepLines/>
      <w:framePr w:wrap="auto" w:xAlign="left"/>
      <w:spacing w:before="170"/>
      <w:ind w:left="794"/>
      <w:jc w:val="left"/>
    </w:pPr>
    <w:rPr>
      <w:i/>
    </w:rPr>
  </w:style>
  <w:style w:type="paragraph" w:customStyle="1" w:styleId="Res">
    <w:name w:val="Res_#"/>
    <w:basedOn w:val="Art"/>
    <w:next w:val="Restitle"/>
    <w:rsid w:val="00600601"/>
  </w:style>
  <w:style w:type="paragraph" w:customStyle="1" w:styleId="Restitle">
    <w:name w:val="Res_title"/>
    <w:basedOn w:val="Arttitle"/>
    <w:next w:val="headfoot"/>
    <w:rsid w:val="00600601"/>
    <w:pPr>
      <w:spacing w:after="120"/>
    </w:pPr>
  </w:style>
  <w:style w:type="paragraph" w:customStyle="1" w:styleId="Rec">
    <w:name w:val="Rec_#"/>
    <w:basedOn w:val="Res"/>
    <w:next w:val="Rectitle"/>
    <w:rsid w:val="00600601"/>
  </w:style>
  <w:style w:type="paragraph" w:customStyle="1" w:styleId="Rectitle">
    <w:name w:val="Rec_title"/>
    <w:basedOn w:val="Restitle"/>
    <w:next w:val="headfoot"/>
    <w:rsid w:val="00600601"/>
  </w:style>
  <w:style w:type="paragraph" w:customStyle="1" w:styleId="Equation">
    <w:name w:val="Equation"/>
    <w:basedOn w:val="Normal"/>
    <w:rsid w:val="00600601"/>
    <w:pPr>
      <w:tabs>
        <w:tab w:val="clear" w:pos="1871"/>
        <w:tab w:val="clear" w:pos="2268"/>
        <w:tab w:val="center" w:pos="4678"/>
        <w:tab w:val="right" w:pos="9356"/>
      </w:tabs>
      <w:jc w:val="left"/>
    </w:pPr>
  </w:style>
  <w:style w:type="paragraph" w:customStyle="1" w:styleId="Note">
    <w:name w:val="Note"/>
    <w:basedOn w:val="Normal"/>
    <w:rsid w:val="00600601"/>
    <w:pPr>
      <w:tabs>
        <w:tab w:val="left" w:pos="284"/>
      </w:tabs>
      <w:spacing w:before="160"/>
    </w:pPr>
    <w:rPr>
      <w:sz w:val="20"/>
    </w:rPr>
  </w:style>
  <w:style w:type="paragraph" w:customStyle="1" w:styleId="Signcountry0">
    <w:name w:val="Sign country"/>
    <w:basedOn w:val="Normal"/>
    <w:next w:val="Signpart0"/>
    <w:rsid w:val="00600601"/>
    <w:pPr>
      <w:keepNext/>
      <w:keepLines/>
      <w:spacing w:before="240" w:after="57"/>
      <w:jc w:val="left"/>
    </w:pPr>
    <w:rPr>
      <w:b/>
    </w:rPr>
  </w:style>
  <w:style w:type="paragraph" w:customStyle="1" w:styleId="Signpart0">
    <w:name w:val="Sign part"/>
    <w:basedOn w:val="Signcountry0"/>
    <w:rsid w:val="00600601"/>
    <w:pPr>
      <w:keepNext w:val="0"/>
      <w:keepLines w:val="0"/>
      <w:spacing w:before="0"/>
      <w:ind w:left="284"/>
    </w:pPr>
    <w:rPr>
      <w:b w:val="0"/>
      <w:smallCaps/>
    </w:rPr>
  </w:style>
  <w:style w:type="paragraph" w:customStyle="1" w:styleId="Section1">
    <w:name w:val="Section_1"/>
    <w:basedOn w:val="Normal"/>
    <w:rsid w:val="0060060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0601"/>
    <w:pPr>
      <w:pageBreakBefore/>
      <w:spacing w:before="720" w:after="240"/>
      <w:jc w:val="center"/>
    </w:pPr>
    <w:rPr>
      <w:b/>
    </w:rPr>
  </w:style>
  <w:style w:type="paragraph" w:customStyle="1" w:styleId="Prot0">
    <w:name w:val="Prot #"/>
    <w:basedOn w:val="Normal"/>
    <w:next w:val="Protlang0"/>
    <w:rsid w:val="00600601"/>
    <w:pPr>
      <w:keepNext/>
      <w:spacing w:before="240"/>
      <w:jc w:val="center"/>
    </w:pPr>
  </w:style>
  <w:style w:type="paragraph" w:customStyle="1" w:styleId="Protlang0">
    <w:name w:val="Prot lang"/>
    <w:basedOn w:val="Prot0"/>
    <w:next w:val="Protpays0"/>
    <w:rsid w:val="0060060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0601"/>
    <w:pPr>
      <w:framePr w:wrap="auto"/>
      <w:spacing w:before="113" w:line="199" w:lineRule="exact"/>
      <w:jc w:val="left"/>
    </w:pPr>
  </w:style>
  <w:style w:type="paragraph" w:customStyle="1" w:styleId="Prottexte0">
    <w:name w:val="Prot texte"/>
    <w:basedOn w:val="Protlang0"/>
    <w:rsid w:val="00600601"/>
    <w:pPr>
      <w:keepNext w:val="0"/>
      <w:keepLines w:val="0"/>
      <w:framePr w:wrap="auto"/>
      <w:spacing w:before="113" w:line="199" w:lineRule="exact"/>
      <w:jc w:val="both"/>
    </w:pPr>
    <w:rPr>
      <w:i w:val="0"/>
    </w:rPr>
  </w:style>
  <w:style w:type="paragraph" w:customStyle="1" w:styleId="Protcall0">
    <w:name w:val="Prot call"/>
    <w:basedOn w:val="Prottexte0"/>
    <w:next w:val="Prottexte0"/>
    <w:rsid w:val="00600601"/>
    <w:pPr>
      <w:keepNext/>
      <w:keepLines/>
      <w:framePr w:wrap="auto" w:xAlign="left"/>
      <w:spacing w:before="170"/>
      <w:ind w:left="794"/>
      <w:jc w:val="left"/>
    </w:pPr>
    <w:rPr>
      <w:i/>
    </w:rPr>
  </w:style>
  <w:style w:type="character" w:styleId="PageNumber">
    <w:name w:val="page number"/>
    <w:basedOn w:val="DefaultParagraphFont"/>
    <w:rsid w:val="00600601"/>
  </w:style>
  <w:style w:type="paragraph" w:customStyle="1" w:styleId="TableFin">
    <w:name w:val="Table_Fin"/>
    <w:basedOn w:val="Normal"/>
    <w:rsid w:val="00600601"/>
    <w:pPr>
      <w:tabs>
        <w:tab w:val="clear" w:pos="1134"/>
      </w:tabs>
      <w:spacing w:before="0"/>
    </w:pPr>
    <w:rPr>
      <w:sz w:val="12"/>
    </w:rPr>
  </w:style>
  <w:style w:type="paragraph" w:customStyle="1" w:styleId="MEP">
    <w:name w:val="MEP"/>
    <w:basedOn w:val="Normal"/>
    <w:rsid w:val="00600601"/>
  </w:style>
  <w:style w:type="paragraph" w:customStyle="1" w:styleId="head">
    <w:name w:val="head"/>
    <w:basedOn w:val="headfoot"/>
    <w:rsid w:val="00600601"/>
  </w:style>
  <w:style w:type="paragraph" w:customStyle="1" w:styleId="foot">
    <w:name w:val="foot"/>
    <w:basedOn w:val="headfoot"/>
    <w:rsid w:val="00600601"/>
  </w:style>
  <w:style w:type="character" w:customStyle="1" w:styleId="href">
    <w:name w:val="href"/>
    <w:basedOn w:val="DefaultParagraphFont"/>
    <w:rsid w:val="00600601"/>
  </w:style>
  <w:style w:type="paragraph" w:customStyle="1" w:styleId="Section2">
    <w:name w:val="Section_2"/>
    <w:basedOn w:val="Section1"/>
    <w:rsid w:val="00600601"/>
    <w:pPr>
      <w:jc w:val="left"/>
    </w:pPr>
    <w:rPr>
      <w:b w:val="0"/>
      <w:i/>
    </w:rPr>
  </w:style>
  <w:style w:type="paragraph" w:customStyle="1" w:styleId="Section3">
    <w:name w:val="Section_3"/>
    <w:basedOn w:val="Section1"/>
    <w:rsid w:val="00600601"/>
    <w:rPr>
      <w:b w:val="0"/>
    </w:rPr>
  </w:style>
  <w:style w:type="character" w:customStyle="1" w:styleId="Artref">
    <w:name w:val="Art#_ref"/>
    <w:basedOn w:val="DefaultParagraphFont"/>
    <w:rsid w:val="00600601"/>
  </w:style>
  <w:style w:type="character" w:customStyle="1" w:styleId="Artdef">
    <w:name w:val="Art#_def"/>
    <w:basedOn w:val="DefaultParagraphFont"/>
    <w:rsid w:val="00600601"/>
    <w:rPr>
      <w:rFonts w:ascii="Times New Roman" w:hAnsi="Times New Roman"/>
      <w:b/>
    </w:rPr>
  </w:style>
  <w:style w:type="paragraph" w:customStyle="1" w:styleId="EquationLegend">
    <w:name w:val="Equation_Legend"/>
    <w:basedOn w:val="NormalIndent"/>
    <w:rsid w:val="00600601"/>
  </w:style>
  <w:style w:type="paragraph" w:customStyle="1" w:styleId="Call">
    <w:name w:val="Call"/>
    <w:basedOn w:val="Normal"/>
    <w:next w:val="Normal"/>
    <w:rsid w:val="00600601"/>
    <w:pPr>
      <w:tabs>
        <w:tab w:val="clear" w:pos="1871"/>
        <w:tab w:val="clear" w:pos="2268"/>
      </w:tabs>
      <w:spacing w:before="360"/>
      <w:ind w:left="1134"/>
    </w:pPr>
    <w:rPr>
      <w:i/>
    </w:rPr>
  </w:style>
  <w:style w:type="paragraph" w:customStyle="1" w:styleId="Headingb">
    <w:name w:val="Heading b"/>
    <w:basedOn w:val="Heading3"/>
    <w:rsid w:val="00600601"/>
    <w:pPr>
      <w:spacing w:before="400"/>
      <w:ind w:left="0" w:firstLine="0"/>
      <w:outlineLvl w:val="9"/>
    </w:pPr>
  </w:style>
  <w:style w:type="paragraph" w:customStyle="1" w:styleId="TableHead">
    <w:name w:val="Table_Head"/>
    <w:basedOn w:val="TableText"/>
    <w:next w:val="TableText"/>
    <w:rsid w:val="00600601"/>
    <w:pPr>
      <w:spacing w:before="80" w:after="80"/>
      <w:jc w:val="center"/>
    </w:pPr>
    <w:rPr>
      <w:b/>
    </w:rPr>
  </w:style>
  <w:style w:type="character" w:customStyle="1" w:styleId="Appdef">
    <w:name w:val="App#_def"/>
    <w:basedOn w:val="DefaultParagraphFont"/>
    <w:rsid w:val="00600601"/>
    <w:rPr>
      <w:rFonts w:ascii="Times New Roman" w:hAnsi="Times New Roman"/>
      <w:b/>
    </w:rPr>
  </w:style>
  <w:style w:type="character" w:customStyle="1" w:styleId="Appref">
    <w:name w:val="App#_ref"/>
    <w:basedOn w:val="DefaultParagraphFont"/>
    <w:rsid w:val="00600601"/>
  </w:style>
  <w:style w:type="character" w:customStyle="1" w:styleId="Recdef">
    <w:name w:val="Rec#_def"/>
    <w:basedOn w:val="DefaultParagraphFont"/>
    <w:rsid w:val="00600601"/>
  </w:style>
  <w:style w:type="character" w:customStyle="1" w:styleId="Recref">
    <w:name w:val="Rec#_ref"/>
    <w:basedOn w:val="DefaultParagraphFont"/>
    <w:rsid w:val="00600601"/>
  </w:style>
  <w:style w:type="character" w:customStyle="1" w:styleId="Resdef">
    <w:name w:val="Res#_def"/>
    <w:basedOn w:val="DefaultParagraphFont"/>
    <w:rsid w:val="00600601"/>
    <w:rPr>
      <w:rFonts w:ascii="Times New Roman" w:hAnsi="Times New Roman"/>
      <w:b/>
    </w:rPr>
  </w:style>
  <w:style w:type="character" w:customStyle="1" w:styleId="Resref">
    <w:name w:val="Res#_ref"/>
    <w:basedOn w:val="DefaultParagraphFont"/>
    <w:rsid w:val="00600601"/>
  </w:style>
  <w:style w:type="paragraph" w:customStyle="1" w:styleId="Line">
    <w:name w:val="Line"/>
    <w:basedOn w:val="Normal"/>
    <w:next w:val="Normal"/>
    <w:rsid w:val="0060060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0601"/>
    <w:rPr>
      <w:b w:val="0"/>
      <w:i/>
    </w:rPr>
  </w:style>
  <w:style w:type="paragraph" w:styleId="TableofFigures">
    <w:name w:val="table of figures"/>
    <w:basedOn w:val="Normal"/>
    <w:next w:val="Normal"/>
    <w:semiHidden/>
    <w:rsid w:val="0060060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060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0601"/>
    <w:rPr>
      <w:sz w:val="16"/>
    </w:rPr>
  </w:style>
  <w:style w:type="paragraph" w:styleId="CommentText">
    <w:name w:val="annotation text"/>
    <w:basedOn w:val="Normal"/>
    <w:semiHidden/>
    <w:rsid w:val="00600601"/>
    <w:rPr>
      <w:sz w:val="20"/>
      <w:lang w:val="fr-FR"/>
    </w:rPr>
  </w:style>
  <w:style w:type="paragraph" w:customStyle="1" w:styleId="Tabletext0">
    <w:name w:val="Table_text"/>
    <w:basedOn w:val="Normal"/>
    <w:rsid w:val="0060060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060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0601"/>
    <w:pPr>
      <w:keepNext/>
      <w:spacing w:before="80" w:after="80"/>
      <w:jc w:val="center"/>
    </w:pPr>
    <w:rPr>
      <w:b/>
    </w:rPr>
  </w:style>
  <w:style w:type="character" w:customStyle="1" w:styleId="Artrefdef">
    <w:name w:val="Art_ref_def"/>
    <w:basedOn w:val="DefaultParagraphFont"/>
    <w:rsid w:val="00600601"/>
  </w:style>
  <w:style w:type="character" w:customStyle="1" w:styleId="Apprefdef">
    <w:name w:val="App_ref_def"/>
    <w:basedOn w:val="DefaultParagraphFont"/>
    <w:rsid w:val="00600601"/>
  </w:style>
  <w:style w:type="character" w:customStyle="1" w:styleId="Resrefdef">
    <w:name w:val="Res_ref_def"/>
    <w:basedOn w:val="DefaultParagraphFont"/>
    <w:rsid w:val="00600601"/>
  </w:style>
  <w:style w:type="paragraph" w:customStyle="1" w:styleId="HeaderRegProc">
    <w:name w:val="Header_RegProc"/>
    <w:basedOn w:val="Normal"/>
    <w:rsid w:val="0060060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0601"/>
    <w:pPr>
      <w:tabs>
        <w:tab w:val="clear" w:pos="907"/>
        <w:tab w:val="left" w:pos="1814"/>
      </w:tabs>
      <w:spacing w:before="80"/>
      <w:ind w:left="1815"/>
    </w:pPr>
    <w:rPr>
      <w:lang w:val="fr-CH"/>
    </w:rPr>
  </w:style>
  <w:style w:type="character" w:customStyle="1" w:styleId="href2">
    <w:name w:val="href2"/>
    <w:basedOn w:val="href"/>
    <w:rsid w:val="00600601"/>
  </w:style>
  <w:style w:type="character" w:customStyle="1" w:styleId="Style1">
    <w:name w:val="Style1"/>
    <w:basedOn w:val="DefaultParagraphFont"/>
    <w:rsid w:val="00600601"/>
  </w:style>
  <w:style w:type="character" w:customStyle="1" w:styleId="Appdef0">
    <w:name w:val="App_def"/>
    <w:basedOn w:val="DefaultParagraphFont"/>
    <w:rsid w:val="00600601"/>
    <w:rPr>
      <w:b/>
      <w:color w:val="FFCC00"/>
    </w:rPr>
  </w:style>
  <w:style w:type="character" w:customStyle="1" w:styleId="Appref0">
    <w:name w:val="App_ref"/>
    <w:basedOn w:val="DefaultParagraphFont"/>
    <w:rsid w:val="00600601"/>
    <w:rPr>
      <w:color w:val="3366FF"/>
    </w:rPr>
  </w:style>
  <w:style w:type="character" w:customStyle="1" w:styleId="Artdef0">
    <w:name w:val="Art_def"/>
    <w:basedOn w:val="DefaultParagraphFont"/>
    <w:rsid w:val="00600601"/>
    <w:rPr>
      <w:b/>
      <w:color w:val="FFCC00"/>
    </w:rPr>
  </w:style>
  <w:style w:type="character" w:customStyle="1" w:styleId="Artref0">
    <w:name w:val="Art_ref"/>
    <w:basedOn w:val="DefaultParagraphFont"/>
    <w:rsid w:val="00600601"/>
    <w:rPr>
      <w:color w:val="3366FF"/>
    </w:rPr>
  </w:style>
  <w:style w:type="character" w:customStyle="1" w:styleId="Recdef0">
    <w:name w:val="Rec_def"/>
    <w:basedOn w:val="DefaultParagraphFont"/>
    <w:rsid w:val="00600601"/>
    <w:rPr>
      <w:b/>
      <w:color w:val="FFCC00"/>
    </w:rPr>
  </w:style>
  <w:style w:type="character" w:customStyle="1" w:styleId="Recref0">
    <w:name w:val="Rec_ref"/>
    <w:basedOn w:val="DefaultParagraphFont"/>
    <w:rsid w:val="00600601"/>
    <w:rPr>
      <w:color w:val="3366FF"/>
    </w:rPr>
  </w:style>
  <w:style w:type="character" w:customStyle="1" w:styleId="Resdef0">
    <w:name w:val="Res_def"/>
    <w:basedOn w:val="DefaultParagraphFont"/>
    <w:rsid w:val="00600601"/>
    <w:rPr>
      <w:b/>
      <w:color w:val="FFCC00"/>
    </w:rPr>
  </w:style>
  <w:style w:type="character" w:customStyle="1" w:styleId="Resref0">
    <w:name w:val="Res_ref"/>
    <w:basedOn w:val="DefaultParagraphFont"/>
    <w:rsid w:val="00600601"/>
    <w:rPr>
      <w:color w:val="3366FF"/>
    </w:rPr>
  </w:style>
  <w:style w:type="character" w:customStyle="1" w:styleId="Tableref0">
    <w:name w:val="Table_ref"/>
    <w:basedOn w:val="DefaultParagraphFont"/>
    <w:rsid w:val="00600601"/>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TotalTime>
  <Pages>4</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 Introduction</dc:subject>
  <dc:creator>Composition des Publications</dc:creator>
  <cp:keywords>FOLIOS:  1  -  4 (bl)</cp:keywords>
  <dc:description>Edition 2009:  18.02.2009/DD  (dict. ok)_x000d_
Corr. 1ère interne:  13.03.2009/DD</dc:description>
  <cp:lastModifiedBy>Saez Grau, Ricardo</cp:lastModifiedBy>
  <cp:revision>7</cp:revision>
  <cp:lastPrinted>2009-02-18T11:01:00Z</cp:lastPrinted>
  <dcterms:created xsi:type="dcterms:W3CDTF">2012-08-08T15:17:00Z</dcterms:created>
  <dcterms:modified xsi:type="dcterms:W3CDTF">2024-12-05T07:59:00Z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