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D8DA1F" w14:textId="38A78E0A" w:rsidR="000A14AD" w:rsidRPr="008D2125" w:rsidRDefault="000A14AD" w:rsidP="000A14AD">
      <w:pPr>
        <w:pStyle w:val="Heading1"/>
        <w:jc w:val="center"/>
        <w:rPr>
          <w:lang w:val="en-US"/>
        </w:rPr>
      </w:pPr>
      <w:r w:rsidRPr="008D2125">
        <w:rPr>
          <w:lang w:val="en-US"/>
        </w:rPr>
        <w:t>Rules concerning</w:t>
      </w:r>
      <w:bookmarkStart w:id="0" w:name="_GoBack"/>
      <w:bookmarkEnd w:id="0"/>
    </w:p>
    <w:p w14:paraId="4334A051" w14:textId="77777777" w:rsidR="000A14AD" w:rsidRPr="008D2125" w:rsidRDefault="000A14AD" w:rsidP="000A14AD">
      <w:pPr>
        <w:pStyle w:val="Heading2"/>
        <w:jc w:val="center"/>
        <w:rPr>
          <w:lang w:val="en-US"/>
        </w:rPr>
      </w:pPr>
      <w:r w:rsidRPr="008D2125">
        <w:rPr>
          <w:lang w:val="en-US"/>
        </w:rPr>
        <w:t>RESOLUTION  750 (Rev.WRC-19)</w:t>
      </w:r>
    </w:p>
    <w:p w14:paraId="434FAAE2" w14:textId="77777777" w:rsidR="00116408" w:rsidRDefault="00116408" w:rsidP="00116408"/>
    <w:p w14:paraId="54F72116" w14:textId="1752172C" w:rsidR="000A14AD" w:rsidRPr="00917A9B" w:rsidRDefault="000A14AD" w:rsidP="000A14AD">
      <w:pPr>
        <w:rPr>
          <w:color w:val="000000"/>
        </w:rPr>
      </w:pPr>
      <w:r w:rsidRPr="008D2125">
        <w:rPr>
          <w:b/>
          <w:bCs/>
          <w:color w:val="000000"/>
        </w:rPr>
        <w:t>Note</w:t>
      </w:r>
      <w:r w:rsidRPr="008D2125">
        <w:rPr>
          <w:color w:val="000000"/>
        </w:rPr>
        <w:t xml:space="preserve">: WRC-19 took the decision related to Resolution </w:t>
      </w:r>
      <w:r w:rsidRPr="008D2125">
        <w:rPr>
          <w:b/>
          <w:bCs/>
          <w:color w:val="000000"/>
        </w:rPr>
        <w:t>750</w:t>
      </w:r>
      <w:r w:rsidRPr="008D2125">
        <w:rPr>
          <w:color w:val="000000"/>
        </w:rPr>
        <w:t>, during the 8</w:t>
      </w:r>
      <w:r w:rsidRPr="008D2125">
        <w:rPr>
          <w:color w:val="000000"/>
          <w:vertAlign w:val="superscript"/>
        </w:rPr>
        <w:t>th</w:t>
      </w:r>
      <w:r w:rsidRPr="008D2125">
        <w:rPr>
          <w:color w:val="000000"/>
        </w:rPr>
        <w:t xml:space="preserve"> Plenary,</w:t>
      </w:r>
      <w:r w:rsidRPr="00917A9B">
        <w:rPr>
          <w:color w:val="000000"/>
        </w:rPr>
        <w:t xml:space="preserve"> see items 3.19 to 3.21 of </w:t>
      </w:r>
      <w:r w:rsidRPr="00DE61D6">
        <w:rPr>
          <w:color w:val="000000"/>
        </w:rPr>
        <w:t>Document CMR19/569</w:t>
      </w:r>
      <w:r w:rsidRPr="00917A9B">
        <w:rPr>
          <w:color w:val="000000"/>
        </w:rPr>
        <w:t xml:space="preserve">, </w:t>
      </w:r>
      <w:r w:rsidRPr="00DE61D6">
        <w:rPr>
          <w:color w:val="000000"/>
        </w:rPr>
        <w:t>approval of</w:t>
      </w:r>
      <w:r w:rsidRPr="00917A9B">
        <w:rPr>
          <w:color w:val="000000"/>
        </w:rPr>
        <w:t xml:space="preserve"> Doc. </w:t>
      </w:r>
      <w:r w:rsidRPr="00DE61D6">
        <w:rPr>
          <w:color w:val="000000"/>
        </w:rPr>
        <w:t>CMR19/</w:t>
      </w:r>
      <w:r w:rsidRPr="00700163">
        <w:rPr>
          <w:color w:val="000000"/>
        </w:rPr>
        <w:t>471, as follows</w:t>
      </w:r>
      <w:r w:rsidRPr="00917A9B">
        <w:rPr>
          <w:color w:val="000000"/>
        </w:rPr>
        <w:t>:</w:t>
      </w:r>
    </w:p>
    <w:p w14:paraId="27BD24C8" w14:textId="77777777" w:rsidR="000A14AD" w:rsidRPr="00DB2259" w:rsidRDefault="000A14AD" w:rsidP="000A14AD">
      <w:pPr>
        <w:rPr>
          <w:i/>
          <w:color w:val="000000"/>
          <w:sz w:val="36"/>
          <w:szCs w:val="36"/>
        </w:rPr>
      </w:pPr>
      <w:r w:rsidRPr="00DB2259">
        <w:rPr>
          <w:i/>
          <w:szCs w:val="24"/>
          <w:lang w:val="en-CA"/>
        </w:rPr>
        <w:t xml:space="preserve">“In interpreting Resolution </w:t>
      </w:r>
      <w:r w:rsidRPr="00DB2259">
        <w:rPr>
          <w:b/>
          <w:bCs/>
          <w:i/>
          <w:szCs w:val="24"/>
          <w:lang w:val="en-CA"/>
        </w:rPr>
        <w:t>750 (Rev.WRC-15)</w:t>
      </w:r>
      <w:r w:rsidRPr="00DB2259">
        <w:rPr>
          <w:i/>
          <w:szCs w:val="24"/>
          <w:lang w:val="en-CA"/>
        </w:rPr>
        <w:t xml:space="preserve">, </w:t>
      </w:r>
      <w:r w:rsidRPr="00DB2259">
        <w:rPr>
          <w:rFonts w:asciiTheme="minorBidi" w:hAnsiTheme="minorBidi" w:cstheme="minorBidi"/>
          <w:i/>
          <w:sz w:val="22"/>
          <w:szCs w:val="22"/>
          <w:lang w:val="en-CA"/>
        </w:rPr>
        <w:t>resolves</w:t>
      </w:r>
      <w:r w:rsidRPr="00DB2259">
        <w:rPr>
          <w:i/>
          <w:szCs w:val="24"/>
          <w:lang w:val="en-CA"/>
        </w:rPr>
        <w:t xml:space="preserve"> 1 and Table 1-1 of this resolution referred to mandatory limits while </w:t>
      </w:r>
      <w:r w:rsidRPr="00DB2259">
        <w:rPr>
          <w:rFonts w:asciiTheme="minorBidi" w:hAnsiTheme="minorBidi" w:cstheme="minorBidi"/>
          <w:i/>
          <w:sz w:val="22"/>
          <w:szCs w:val="22"/>
          <w:lang w:val="en-CA"/>
        </w:rPr>
        <w:t>resolves</w:t>
      </w:r>
      <w:r w:rsidRPr="00DB2259">
        <w:rPr>
          <w:i/>
          <w:szCs w:val="24"/>
          <w:lang w:val="en-CA"/>
        </w:rPr>
        <w:t xml:space="preserve"> 2 and Table 1-2 of this resolution referred to non-mandatory limits.”</w:t>
      </w:r>
    </w:p>
    <w:p w14:paraId="1E38D3B1" w14:textId="77777777" w:rsidR="000A14AD" w:rsidRPr="005F7AFB" w:rsidRDefault="000A14AD" w:rsidP="000A14AD">
      <w:pPr>
        <w:rPr>
          <w:color w:val="000000"/>
          <w:szCs w:val="24"/>
        </w:rPr>
      </w:pPr>
      <w:r w:rsidRPr="00DE61D6">
        <w:rPr>
          <w:color w:val="000000"/>
          <w:szCs w:val="24"/>
        </w:rPr>
        <w:t xml:space="preserve">Noting that WRC-19 revised Resolution 750 but that the only modifications made to </w:t>
      </w:r>
      <w:r w:rsidRPr="00DE61D6">
        <w:rPr>
          <w:i/>
          <w:iCs/>
          <w:color w:val="000000"/>
          <w:szCs w:val="24"/>
        </w:rPr>
        <w:t>resolves</w:t>
      </w:r>
      <w:r w:rsidRPr="00DE61D6">
        <w:rPr>
          <w:color w:val="000000"/>
          <w:szCs w:val="24"/>
        </w:rPr>
        <w:t xml:space="preserve"> 1 and 2 were related to the numbering of the two Tables, the Board concluded that the interpretation provided above also applied to Resolution </w:t>
      </w:r>
      <w:r w:rsidRPr="00DE61D6">
        <w:rPr>
          <w:b/>
          <w:bCs/>
          <w:color w:val="000000"/>
          <w:szCs w:val="24"/>
        </w:rPr>
        <w:t>750 (Rev. WRC-19)</w:t>
      </w:r>
      <w:r w:rsidRPr="00DE61D6">
        <w:rPr>
          <w:color w:val="000000"/>
          <w:szCs w:val="24"/>
        </w:rPr>
        <w:t>.</w:t>
      </w:r>
    </w:p>
    <w:p w14:paraId="36E625ED" w14:textId="3240F6A5" w:rsidR="000A14AD" w:rsidRDefault="000A14AD" w:rsidP="000A14AD">
      <w:pPr>
        <w:rPr>
          <w:i/>
          <w:iCs/>
          <w:szCs w:val="24"/>
          <w:lang w:val="en-US"/>
        </w:rPr>
      </w:pPr>
    </w:p>
    <w:p w14:paraId="77DAA632" w14:textId="77777777" w:rsidR="00E052A7" w:rsidRDefault="00E052A7">
      <w:pPr>
        <w:jc w:val="center"/>
        <w:rPr>
          <w:color w:val="000000"/>
        </w:rPr>
      </w:pPr>
      <w:r>
        <w:rPr>
          <w:color w:val="000000"/>
        </w:rPr>
        <w:t>____________________</w:t>
      </w:r>
    </w:p>
    <w:p w14:paraId="1A26B8D0" w14:textId="22F56C23" w:rsidR="00E052A7" w:rsidRDefault="00E052A7" w:rsidP="0089365D"/>
    <w:p w14:paraId="3C423AEE" w14:textId="53DB897D" w:rsidR="000E7624" w:rsidRDefault="000E7624" w:rsidP="0089365D"/>
    <w:p w14:paraId="28364FC3" w14:textId="469EAD07" w:rsidR="000E7624" w:rsidRDefault="000E7624" w:rsidP="0089365D"/>
    <w:p w14:paraId="5060C06E" w14:textId="2AC32277" w:rsidR="000E7624" w:rsidRDefault="000E7624" w:rsidP="0089365D"/>
    <w:p w14:paraId="1B0DF54A" w14:textId="0187EB5B" w:rsidR="000E7624" w:rsidRDefault="000E7624" w:rsidP="0089365D"/>
    <w:p w14:paraId="565CC2DF" w14:textId="3FACC36C" w:rsidR="000E7624" w:rsidRDefault="000E7624" w:rsidP="0089365D"/>
    <w:p w14:paraId="61D1E671" w14:textId="4C825F95" w:rsidR="000E7624" w:rsidRDefault="000E7624" w:rsidP="0089365D"/>
    <w:p w14:paraId="4099AB80" w14:textId="62551534" w:rsidR="000E7624" w:rsidRDefault="000E7624" w:rsidP="0089365D"/>
    <w:p w14:paraId="751B6592" w14:textId="371491A5" w:rsidR="000E7624" w:rsidRDefault="000E7624" w:rsidP="0089365D"/>
    <w:p w14:paraId="2B24274E" w14:textId="2504B64D" w:rsidR="000E7624" w:rsidRDefault="000E7624" w:rsidP="0089365D"/>
    <w:p w14:paraId="40D26F14" w14:textId="77777777" w:rsidR="000E7624" w:rsidRDefault="000E7624" w:rsidP="0089365D"/>
    <w:p w14:paraId="5A8CC5B9" w14:textId="77777777" w:rsidR="00E052A7" w:rsidRDefault="00E052A7" w:rsidP="0089365D">
      <w:pPr>
        <w:rPr>
          <w:lang w:val="en-US"/>
        </w:rPr>
      </w:pPr>
    </w:p>
    <w:p w14:paraId="658A32F4" w14:textId="77777777" w:rsidR="00E052A7" w:rsidRDefault="00E052A7" w:rsidP="0089365D">
      <w:pPr>
        <w:rPr>
          <w:lang w:val="en-US"/>
        </w:rPr>
      </w:pPr>
    </w:p>
    <w:p w14:paraId="01D1B84D" w14:textId="77777777" w:rsidR="00E052A7" w:rsidRDefault="00E052A7" w:rsidP="0089365D">
      <w:pPr>
        <w:rPr>
          <w:lang w:val="en-US"/>
        </w:rPr>
      </w:pPr>
    </w:p>
    <w:p w14:paraId="65980689" w14:textId="77777777" w:rsidR="00E052A7" w:rsidRDefault="00E052A7" w:rsidP="0089365D">
      <w:pPr>
        <w:rPr>
          <w:lang w:val="en-US"/>
        </w:rPr>
        <w:sectPr w:rsidR="00E052A7">
          <w:headerReference w:type="even" r:id="rId6"/>
          <w:headerReference w:type="default" r:id="rId7"/>
          <w:footnotePr>
            <w:pos w:val="beneathText"/>
          </w:footnotePr>
          <w:pgSz w:w="11907" w:h="16840" w:code="9"/>
          <w:pgMar w:top="1701" w:right="851" w:bottom="1134" w:left="1985" w:header="720" w:footer="482" w:gutter="0"/>
          <w:cols w:space="720"/>
          <w:vAlign w:val="both"/>
        </w:sectPr>
      </w:pPr>
    </w:p>
    <w:p w14:paraId="143FA831" w14:textId="77777777" w:rsidR="00E052A7" w:rsidRDefault="00E052A7" w:rsidP="0089365D">
      <w:pPr>
        <w:rPr>
          <w:lang w:val="en-US"/>
        </w:rPr>
      </w:pPr>
    </w:p>
    <w:sectPr w:rsidR="00E052A7" w:rsidSect="0089365D">
      <w:headerReference w:type="first" r:id="rId8"/>
      <w:footnotePr>
        <w:pos w:val="beneathText"/>
      </w:footnotePr>
      <w:pgSz w:w="11907" w:h="16840" w:code="9"/>
      <w:pgMar w:top="1701" w:right="851" w:bottom="1134" w:left="1985" w:header="720" w:footer="482" w:gutter="0"/>
      <w:cols w:space="720"/>
      <w:vAlign w:val="both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9A7806" w14:textId="77777777" w:rsidR="00824378" w:rsidRDefault="00824378">
      <w:r>
        <w:separator/>
      </w:r>
    </w:p>
  </w:endnote>
  <w:endnote w:type="continuationSeparator" w:id="0">
    <w:p w14:paraId="30701766" w14:textId="77777777" w:rsidR="00824378" w:rsidRDefault="008243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2411ED" w14:textId="77777777" w:rsidR="00824378" w:rsidRDefault="00824378">
      <w:r>
        <w:rPr>
          <w:b/>
        </w:rPr>
        <w:t>_______________</w:t>
      </w:r>
    </w:p>
  </w:footnote>
  <w:footnote w:type="continuationSeparator" w:id="0">
    <w:p w14:paraId="0968A897" w14:textId="77777777" w:rsidR="00824378" w:rsidRDefault="008243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0A14AD" w14:paraId="6C98E896" w14:textId="77777777" w:rsidTr="000A14AD">
      <w:trPr>
        <w:cantSplit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1C116FB" w14:textId="77777777" w:rsidR="000A14AD" w:rsidRDefault="000A14AD" w:rsidP="000A14AD">
          <w:pPr>
            <w:pStyle w:val="HeaderRegProc"/>
          </w:pPr>
          <w:r>
            <w:t>Part A1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79B64B0" w14:textId="77777777" w:rsidR="000A14AD" w:rsidRDefault="000A14AD" w:rsidP="000A14AD">
          <w:pPr>
            <w:pStyle w:val="HeaderRegProc"/>
            <w:rPr>
              <w:lang w:val="fr-FR"/>
            </w:rPr>
          </w:pPr>
          <w:r>
            <w:t>RES49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F72950B" w14:textId="77777777" w:rsidR="000A14AD" w:rsidRDefault="000A14AD" w:rsidP="000A14AD">
          <w:pPr>
            <w:pStyle w:val="HeaderRegProc"/>
            <w:rPr>
              <w:lang w:val="fr-CH"/>
            </w:rPr>
          </w:pPr>
          <w:proofErr w:type="gramStart"/>
          <w:r>
            <w:rPr>
              <w:lang w:val="fr-FR"/>
            </w:rPr>
            <w:t>page</w:t>
          </w:r>
          <w:proofErr w:type="gramEnd"/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>
            <w:rPr>
              <w:rStyle w:val="PageNumber"/>
            </w:rPr>
            <w:t>1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9CCB06B" w14:textId="01190901" w:rsidR="000A14AD" w:rsidRDefault="000A14AD" w:rsidP="000A14AD">
          <w:pPr>
            <w:pStyle w:val="HeaderRegProc"/>
            <w:rPr>
              <w:lang w:val="fr-CH"/>
            </w:rPr>
          </w:pPr>
          <w:proofErr w:type="gramStart"/>
          <w:r>
            <w:rPr>
              <w:lang w:val="fr-CH"/>
            </w:rPr>
            <w:t>rev</w:t>
          </w:r>
          <w:proofErr w:type="gramEnd"/>
          <w:r>
            <w:rPr>
              <w:lang w:val="fr-CH"/>
            </w:rPr>
            <w:t>.</w:t>
          </w:r>
          <w:r w:rsidR="000E7624">
            <w:rPr>
              <w:lang w:val="fr-CH"/>
            </w:rPr>
            <w:t xml:space="preserve"> </w:t>
          </w:r>
          <w:r>
            <w:rPr>
              <w:lang w:val="fr-CH"/>
            </w:rPr>
            <w:t>7</w:t>
          </w:r>
        </w:p>
      </w:tc>
    </w:tr>
  </w:tbl>
  <w:p w14:paraId="430F01B3" w14:textId="77777777" w:rsidR="000A14AD" w:rsidRDefault="000A14A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0A14AD" w14:paraId="43B5D11C" w14:textId="77777777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DF2A2E8" w14:textId="73B38F62" w:rsidR="000A14AD" w:rsidRDefault="000A14AD" w:rsidP="001221BA">
          <w:pPr>
            <w:pStyle w:val="HeaderRegProc"/>
          </w:pPr>
          <w:r>
            <w:t>Part A1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06085C2" w14:textId="16D5A78B" w:rsidR="000A14AD" w:rsidRDefault="000A14AD" w:rsidP="001221BA">
          <w:pPr>
            <w:pStyle w:val="HeaderRegProc"/>
            <w:rPr>
              <w:lang w:val="fr-FR"/>
            </w:rPr>
          </w:pPr>
          <w:r>
            <w:t>RES</w:t>
          </w:r>
          <w:r w:rsidR="00116408">
            <w:t>750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1F83765" w14:textId="77777777" w:rsidR="000A14AD" w:rsidRDefault="000A14AD">
          <w:pPr>
            <w:pStyle w:val="HeaderRegProc"/>
            <w:rPr>
              <w:lang w:val="fr-CH"/>
            </w:rPr>
          </w:pPr>
          <w:proofErr w:type="gramStart"/>
          <w:r>
            <w:rPr>
              <w:lang w:val="fr-FR"/>
            </w:rPr>
            <w:t>page</w:t>
          </w:r>
          <w:proofErr w:type="gramEnd"/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>
            <w:rPr>
              <w:rStyle w:val="PageNumber"/>
              <w:noProof/>
            </w:rPr>
            <w:t>1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A720851" w14:textId="551C6788" w:rsidR="000A14AD" w:rsidRDefault="000A14AD" w:rsidP="006A4C0E">
          <w:pPr>
            <w:pStyle w:val="HeaderRegProc"/>
            <w:rPr>
              <w:lang w:val="fr-CH"/>
            </w:rPr>
          </w:pPr>
          <w:proofErr w:type="gramStart"/>
          <w:r>
            <w:rPr>
              <w:lang w:val="fr-CH"/>
            </w:rPr>
            <w:t>rev</w:t>
          </w:r>
          <w:proofErr w:type="gramEnd"/>
          <w:r>
            <w:rPr>
              <w:lang w:val="fr-CH"/>
            </w:rPr>
            <w:t>.</w:t>
          </w:r>
          <w:r w:rsidR="000E7624">
            <w:rPr>
              <w:lang w:val="fr-CH"/>
            </w:rPr>
            <w:t xml:space="preserve"> </w:t>
          </w:r>
          <w:r w:rsidR="001708F2">
            <w:rPr>
              <w:lang w:val="fr-CH"/>
            </w:rPr>
            <w:t>-</w:t>
          </w:r>
        </w:p>
      </w:tc>
    </w:tr>
  </w:tbl>
  <w:p w14:paraId="3123F62A" w14:textId="77777777" w:rsidR="000A14AD" w:rsidRDefault="000A14A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8EE4F4" w14:textId="77777777" w:rsidR="00E052A7" w:rsidRDefault="00E052A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mirrorMargin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052A7"/>
    <w:rsid w:val="000A14AD"/>
    <w:rsid w:val="000E7624"/>
    <w:rsid w:val="000F7D8B"/>
    <w:rsid w:val="00116408"/>
    <w:rsid w:val="00117C3F"/>
    <w:rsid w:val="001221BA"/>
    <w:rsid w:val="001708F2"/>
    <w:rsid w:val="00545224"/>
    <w:rsid w:val="006A4C0E"/>
    <w:rsid w:val="00762ECE"/>
    <w:rsid w:val="007E3EEF"/>
    <w:rsid w:val="00824378"/>
    <w:rsid w:val="00844A76"/>
    <w:rsid w:val="0089365D"/>
    <w:rsid w:val="00C91547"/>
    <w:rsid w:val="00CC1BC0"/>
    <w:rsid w:val="00D41107"/>
    <w:rsid w:val="00DB2259"/>
    <w:rsid w:val="00E052A7"/>
    <w:rsid w:val="00F715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1B6B106E"/>
  <w15:docId w15:val="{3A873873-15E5-4745-824A-8F7BDFD5FD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4"/>
      <w:lang w:val="en-GB" w:eastAsia="en-US"/>
    </w:rPr>
  </w:style>
  <w:style w:type="paragraph" w:styleId="Heading1">
    <w:name w:val="heading 1"/>
    <w:aliases w:val="h1"/>
    <w:basedOn w:val="Normal"/>
    <w:next w:val="Normal"/>
    <w:qFormat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8"/>
    </w:rPr>
  </w:style>
  <w:style w:type="paragraph" w:styleId="Heading2">
    <w:name w:val="heading 2"/>
    <w:aliases w:val="h2,UNDERRUBRIK 1-2"/>
    <w:basedOn w:val="Heading1"/>
    <w:next w:val="Normal"/>
    <w:qFormat/>
    <w:pPr>
      <w:spacing w:before="480"/>
      <w:outlineLvl w:val="1"/>
    </w:pPr>
    <w:rPr>
      <w:sz w:val="26"/>
    </w:rPr>
  </w:style>
  <w:style w:type="paragraph" w:styleId="Heading3">
    <w:name w:val="heading 3"/>
    <w:basedOn w:val="Heading1"/>
    <w:next w:val="Normal"/>
    <w:qFormat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outlineLvl w:val="3"/>
    </w:pPr>
  </w:style>
  <w:style w:type="paragraph" w:styleId="Heading5">
    <w:name w:val="heading 5"/>
    <w:basedOn w:val="Heading3"/>
    <w:next w:val="Normal"/>
    <w:qFormat/>
    <w:pPr>
      <w:outlineLvl w:val="4"/>
    </w:pPr>
  </w:style>
  <w:style w:type="paragraph" w:styleId="Heading6">
    <w:name w:val="heading 6"/>
    <w:basedOn w:val="Heading3"/>
    <w:next w:val="Normal"/>
    <w:qFormat/>
    <w:pPr>
      <w:outlineLvl w:val="5"/>
    </w:pPr>
  </w:style>
  <w:style w:type="paragraph" w:styleId="Heading7">
    <w:name w:val="heading 7"/>
    <w:basedOn w:val="Heading3"/>
    <w:next w:val="Normal"/>
    <w:qFormat/>
    <w:pPr>
      <w:outlineLvl w:val="6"/>
    </w:pPr>
  </w:style>
  <w:style w:type="paragraph" w:styleId="Heading8">
    <w:name w:val="heading 8"/>
    <w:basedOn w:val="Heading3"/>
    <w:next w:val="Normal"/>
    <w:qFormat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TOC8">
    <w:name w:val="toc 8"/>
    <w:basedOn w:val="Normal"/>
    <w:next w:val="Normal"/>
    <w:semiHidden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pPr>
      <w:ind w:left="3913"/>
    </w:pPr>
  </w:style>
  <w:style w:type="paragraph" w:styleId="TOC4">
    <w:name w:val="toc 4"/>
    <w:basedOn w:val="TOC3"/>
    <w:next w:val="Normal"/>
    <w:semiHidden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</w:style>
  <w:style w:type="paragraph" w:styleId="Footer">
    <w:name w:val="footer"/>
    <w:basedOn w:val="Normal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basedOn w:val="Normal"/>
    <w:pPr>
      <w:tabs>
        <w:tab w:val="clear" w:pos="1134"/>
        <w:tab w:val="clear" w:pos="1871"/>
        <w:tab w:val="clear" w:pos="2268"/>
        <w:tab w:val="center" w:pos="4320"/>
        <w:tab w:val="right" w:pos="8640"/>
      </w:tabs>
    </w:pPr>
  </w:style>
  <w:style w:type="character" w:styleId="FootnoteReference">
    <w:name w:val="footnote reference"/>
    <w:aliases w:val="Appel note de bas de p,Footnote Reference/"/>
    <w:basedOn w:val="DefaultParagraphFont"/>
    <w:rPr>
      <w:position w:val="6"/>
      <w:sz w:val="16"/>
    </w:rPr>
  </w:style>
  <w:style w:type="paragraph" w:styleId="FootnoteText">
    <w:name w:val="footnote text"/>
    <w:basedOn w:val="Normal"/>
    <w:link w:val="FootnoteTextChar"/>
    <w:pPr>
      <w:tabs>
        <w:tab w:val="clear" w:pos="1134"/>
        <w:tab w:val="clear" w:pos="1871"/>
        <w:tab w:val="clear" w:pos="2268"/>
        <w:tab w:val="left" w:pos="284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</w:style>
  <w:style w:type="paragraph" w:customStyle="1" w:styleId="Figure0">
    <w:name w:val="Figure_#"/>
    <w:basedOn w:val="Table"/>
    <w:next w:val="FigureTitle"/>
  </w:style>
  <w:style w:type="paragraph" w:customStyle="1" w:styleId="FigureTitle">
    <w:name w:val="Figure_Title"/>
    <w:basedOn w:val="TableTitle"/>
    <w:next w:val="Normal"/>
    <w:pPr>
      <w:spacing w:after="720"/>
    </w:pPr>
  </w:style>
  <w:style w:type="paragraph" w:customStyle="1" w:styleId="Annex">
    <w:name w:val="Annex_#"/>
    <w:basedOn w:val="Art"/>
    <w:next w:val="AnnexRef"/>
  </w:style>
  <w:style w:type="paragraph" w:customStyle="1" w:styleId="Art">
    <w:name w:val="Art_#"/>
    <w:basedOn w:val="Normal"/>
    <w:next w:val="Arttitle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pPr>
      <w:spacing w:before="360"/>
    </w:pPr>
  </w:style>
  <w:style w:type="paragraph" w:customStyle="1" w:styleId="AnnexRef">
    <w:name w:val="Annex_Ref"/>
    <w:basedOn w:val="Normal"/>
    <w:pPr>
      <w:jc w:val="center"/>
    </w:pPr>
  </w:style>
  <w:style w:type="paragraph" w:customStyle="1" w:styleId="AnnexTitle">
    <w:name w:val="Annex_Title"/>
    <w:basedOn w:val="Arttitle"/>
    <w:next w:val="Normal"/>
    <w:pPr>
      <w:spacing w:after="0"/>
    </w:pPr>
  </w:style>
  <w:style w:type="paragraph" w:customStyle="1" w:styleId="Appendix">
    <w:name w:val="Appendix_#"/>
    <w:basedOn w:val="Art"/>
    <w:next w:val="AppendixTitle"/>
  </w:style>
  <w:style w:type="paragraph" w:customStyle="1" w:styleId="AppendixTitle">
    <w:name w:val="Appendix_Title"/>
    <w:basedOn w:val="Arttitle"/>
    <w:next w:val="Normal"/>
  </w:style>
  <w:style w:type="paragraph" w:customStyle="1" w:styleId="headfoot">
    <w:name w:val="head_foot"/>
    <w:basedOn w:val="Normal"/>
    <w:next w:val="Normalaftertitle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</w:style>
  <w:style w:type="paragraph" w:customStyle="1" w:styleId="RefTitle">
    <w:name w:val="Ref_Title"/>
    <w:basedOn w:val="Normal"/>
    <w:next w:val="RefText"/>
    <w:pPr>
      <w:spacing w:before="480"/>
      <w:jc w:val="left"/>
    </w:pPr>
    <w:rPr>
      <w:b/>
    </w:rPr>
  </w:style>
  <w:style w:type="paragraph" w:customStyle="1" w:styleId="RefText">
    <w:name w:val="Ref_Text"/>
    <w:basedOn w:val="Normal"/>
  </w:style>
  <w:style w:type="paragraph" w:customStyle="1" w:styleId="listitem">
    <w:name w:val="listitem"/>
    <w:basedOn w:val="Normal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Pr>
      <w:sz w:val="32"/>
    </w:rPr>
  </w:style>
  <w:style w:type="paragraph" w:customStyle="1" w:styleId="Protfin">
    <w:name w:val="Prot_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</w:style>
  <w:style w:type="paragraph" w:customStyle="1" w:styleId="Restitle">
    <w:name w:val="Res_title"/>
    <w:basedOn w:val="Arttitle"/>
    <w:next w:val="headfoot"/>
    <w:pPr>
      <w:spacing w:after="120"/>
    </w:pPr>
  </w:style>
  <w:style w:type="paragraph" w:customStyle="1" w:styleId="Rec">
    <w:name w:val="Rec_#"/>
    <w:basedOn w:val="Res"/>
    <w:next w:val="Rectitle"/>
  </w:style>
  <w:style w:type="paragraph" w:customStyle="1" w:styleId="Rectitle">
    <w:name w:val="Rec_title"/>
    <w:basedOn w:val="Restitle"/>
    <w:next w:val="headfoot"/>
  </w:style>
  <w:style w:type="paragraph" w:customStyle="1" w:styleId="Equation">
    <w:name w:val="Equation"/>
    <w:basedOn w:val="Normal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</w:style>
  <w:style w:type="paragraph" w:customStyle="1" w:styleId="TableFin">
    <w:name w:val="Table_Fin"/>
    <w:basedOn w:val="Normal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</w:style>
  <w:style w:type="paragraph" w:customStyle="1" w:styleId="head">
    <w:name w:val="head"/>
    <w:basedOn w:val="headfoot"/>
  </w:style>
  <w:style w:type="paragraph" w:customStyle="1" w:styleId="foot">
    <w:name w:val="foot"/>
    <w:basedOn w:val="headfoot"/>
  </w:style>
  <w:style w:type="character" w:customStyle="1" w:styleId="href">
    <w:name w:val="href"/>
    <w:basedOn w:val="DefaultParagraphFont"/>
  </w:style>
  <w:style w:type="paragraph" w:customStyle="1" w:styleId="Section2">
    <w:name w:val="Section_2"/>
    <w:basedOn w:val="Section1"/>
    <w:pPr>
      <w:jc w:val="left"/>
    </w:pPr>
    <w:rPr>
      <w:b w:val="0"/>
      <w:i/>
    </w:rPr>
  </w:style>
  <w:style w:type="paragraph" w:customStyle="1" w:styleId="Section3">
    <w:name w:val="Section_3"/>
    <w:basedOn w:val="Section1"/>
    <w:rPr>
      <w:b w:val="0"/>
    </w:rPr>
  </w:style>
  <w:style w:type="paragraph" w:customStyle="1" w:styleId="EquationLegend">
    <w:name w:val="Equation_Legend"/>
    <w:basedOn w:val="NormalIndent"/>
  </w:style>
  <w:style w:type="paragraph" w:customStyle="1" w:styleId="Call">
    <w:name w:val="Call"/>
    <w:basedOn w:val="Normal"/>
    <w:next w:val="Normal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pPr>
      <w:spacing w:before="80" w:after="80"/>
      <w:jc w:val="center"/>
    </w:pPr>
    <w:rPr>
      <w:b/>
    </w:rPr>
  </w:style>
  <w:style w:type="paragraph" w:customStyle="1" w:styleId="Line">
    <w:name w:val="Line"/>
    <w:basedOn w:val="Normal"/>
    <w:next w:val="Normal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</w:rPr>
  </w:style>
  <w:style w:type="paragraph" w:customStyle="1" w:styleId="Headingi">
    <w:name w:val="Heading i"/>
    <w:basedOn w:val="Headingb"/>
    <w:rPr>
      <w:b w:val="0"/>
      <w:i/>
    </w:rPr>
  </w:style>
  <w:style w:type="paragraph" w:styleId="TableofFigures">
    <w:name w:val="table of figures"/>
    <w:basedOn w:val="Normal"/>
    <w:next w:val="Normal"/>
    <w:semiHidden/>
    <w:pPr>
      <w:tabs>
        <w:tab w:val="clear" w:pos="1134"/>
        <w:tab w:val="clear" w:pos="1871"/>
        <w:tab w:val="clear" w:pos="2268"/>
        <w:tab w:val="right" w:leader="dot" w:pos="10773"/>
      </w:tabs>
      <w:spacing w:before="0"/>
      <w:jc w:val="left"/>
    </w:pPr>
    <w:rPr>
      <w:rFonts w:ascii="Arial" w:hAnsi="Arial"/>
      <w:sz w:val="16"/>
      <w:lang w:val="en-US"/>
    </w:rPr>
  </w:style>
  <w:style w:type="paragraph" w:customStyle="1" w:styleId="Part">
    <w:name w:val="Part"/>
    <w:basedOn w:val="Normal"/>
    <w:pPr>
      <w:tabs>
        <w:tab w:val="clear" w:pos="1134"/>
        <w:tab w:val="clear" w:pos="1871"/>
        <w:tab w:val="clear" w:pos="2268"/>
        <w:tab w:val="left" w:pos="1276"/>
        <w:tab w:val="left" w:pos="1701"/>
      </w:tabs>
      <w:spacing w:before="199"/>
      <w:ind w:left="1701" w:hanging="1701"/>
      <w:jc w:val="left"/>
    </w:pPr>
    <w:rPr>
      <w:rFonts w:ascii="Arial" w:hAnsi="Arial"/>
      <w:caps/>
      <w:sz w:val="22"/>
      <w:lang w:val="fr-FR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  <w:rPr>
      <w:sz w:val="20"/>
      <w:lang w:val="fr-FR"/>
    </w:rPr>
  </w:style>
  <w:style w:type="paragraph" w:customStyle="1" w:styleId="Tabletext0">
    <w:name w:val="Table_text"/>
    <w:basedOn w:val="Normal"/>
    <w:pPr>
      <w:tabs>
        <w:tab w:val="clear" w:pos="1871"/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sz w:val="22"/>
      <w:lang w:val="fr-FR"/>
    </w:rPr>
  </w:style>
  <w:style w:type="paragraph" w:customStyle="1" w:styleId="Headingb0">
    <w:name w:val="Heading_b"/>
    <w:basedOn w:val="Normal"/>
    <w:next w:val="Normal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lang w:val="fr-FR"/>
    </w:rPr>
  </w:style>
  <w:style w:type="paragraph" w:customStyle="1" w:styleId="Tablehead0">
    <w:name w:val="Table_head"/>
    <w:basedOn w:val="Tabletext0"/>
    <w:next w:val="Tabletext0"/>
    <w:pPr>
      <w:keepNext/>
      <w:spacing w:before="80" w:after="80"/>
      <w:jc w:val="center"/>
    </w:pPr>
    <w:rPr>
      <w:b/>
    </w:rPr>
  </w:style>
  <w:style w:type="character" w:customStyle="1" w:styleId="Artrefdef">
    <w:name w:val="Art_ref_def"/>
    <w:basedOn w:val="DefaultParagraphFont"/>
  </w:style>
  <w:style w:type="character" w:customStyle="1" w:styleId="Apprefdef">
    <w:name w:val="App_ref_def"/>
    <w:basedOn w:val="DefaultParagraphFont"/>
  </w:style>
  <w:style w:type="character" w:customStyle="1" w:styleId="Resrefdef">
    <w:name w:val="Res_ref_def"/>
    <w:basedOn w:val="DefaultParagraphFont"/>
  </w:style>
  <w:style w:type="paragraph" w:customStyle="1" w:styleId="HeaderRegProc">
    <w:name w:val="Header_RegProc"/>
    <w:basedOn w:val="Normal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4"/>
      <w:ind w:left="142"/>
    </w:pPr>
    <w:rPr>
      <w:rFonts w:ascii="Arial" w:hAnsi="Arial" w:cs="Arial"/>
      <w:bCs/>
      <w:sz w:val="20"/>
      <w:lang w:val="es-ES"/>
    </w:rPr>
  </w:style>
  <w:style w:type="paragraph" w:customStyle="1" w:styleId="enumlev4">
    <w:name w:val="enumlev4"/>
    <w:basedOn w:val="enumlev3"/>
    <w:pPr>
      <w:tabs>
        <w:tab w:val="clear" w:pos="907"/>
        <w:tab w:val="left" w:pos="1814"/>
      </w:tabs>
      <w:spacing w:before="80"/>
      <w:ind w:left="1815"/>
    </w:pPr>
    <w:rPr>
      <w:lang w:val="fr-CH"/>
    </w:rPr>
  </w:style>
  <w:style w:type="character" w:customStyle="1" w:styleId="href2">
    <w:name w:val="href2"/>
    <w:basedOn w:val="href"/>
  </w:style>
  <w:style w:type="character" w:customStyle="1" w:styleId="Style1">
    <w:name w:val="Style1"/>
    <w:basedOn w:val="DefaultParagraphFont"/>
  </w:style>
  <w:style w:type="character" w:customStyle="1" w:styleId="Appdef">
    <w:name w:val="App_def"/>
    <w:basedOn w:val="DefaultParagraphFont"/>
    <w:rPr>
      <w:b/>
      <w:color w:val="FFCC00"/>
    </w:rPr>
  </w:style>
  <w:style w:type="character" w:customStyle="1" w:styleId="Appref">
    <w:name w:val="App_ref"/>
    <w:basedOn w:val="DefaultParagraphFont"/>
    <w:rPr>
      <w:color w:val="3366FF"/>
    </w:rPr>
  </w:style>
  <w:style w:type="character" w:customStyle="1" w:styleId="Artdef">
    <w:name w:val="Art_def"/>
    <w:basedOn w:val="DefaultParagraphFont"/>
    <w:rPr>
      <w:b/>
      <w:color w:val="FFCC00"/>
    </w:rPr>
  </w:style>
  <w:style w:type="character" w:customStyle="1" w:styleId="Artref">
    <w:name w:val="Art_ref"/>
    <w:basedOn w:val="DefaultParagraphFont"/>
    <w:rPr>
      <w:color w:val="3366FF"/>
    </w:rPr>
  </w:style>
  <w:style w:type="character" w:customStyle="1" w:styleId="Recdef">
    <w:name w:val="Rec_def"/>
    <w:basedOn w:val="DefaultParagraphFont"/>
    <w:rPr>
      <w:b/>
      <w:color w:val="FFCC00"/>
    </w:rPr>
  </w:style>
  <w:style w:type="character" w:customStyle="1" w:styleId="Recref">
    <w:name w:val="Rec_ref"/>
    <w:basedOn w:val="DefaultParagraphFont"/>
    <w:rPr>
      <w:color w:val="3366FF"/>
    </w:rPr>
  </w:style>
  <w:style w:type="character" w:customStyle="1" w:styleId="Resdef">
    <w:name w:val="Res_def"/>
    <w:basedOn w:val="DefaultParagraphFont"/>
    <w:rPr>
      <w:b/>
      <w:color w:val="FFCC00"/>
    </w:rPr>
  </w:style>
  <w:style w:type="character" w:customStyle="1" w:styleId="Resref">
    <w:name w:val="Res_ref"/>
    <w:basedOn w:val="DefaultParagraphFont"/>
    <w:rPr>
      <w:color w:val="3366FF"/>
    </w:rPr>
  </w:style>
  <w:style w:type="character" w:customStyle="1" w:styleId="Tableref0">
    <w:name w:val="Table_ref"/>
    <w:basedOn w:val="DefaultParagraphFont"/>
    <w:rPr>
      <w:color w:val="3366FF"/>
    </w:rPr>
  </w:style>
  <w:style w:type="character" w:customStyle="1" w:styleId="Appref0">
    <w:name w:val="App#_ref"/>
    <w:basedOn w:val="DefaultParagraphFont"/>
  </w:style>
  <w:style w:type="character" w:customStyle="1" w:styleId="Artref0">
    <w:name w:val="Art#_ref"/>
    <w:basedOn w:val="DefaultParagraphFont"/>
  </w:style>
  <w:style w:type="character" w:customStyle="1" w:styleId="Resref0">
    <w:name w:val="Res#_ref"/>
    <w:basedOn w:val="DefaultParagraphFont"/>
  </w:style>
  <w:style w:type="character" w:customStyle="1" w:styleId="FootnoteTextChar">
    <w:name w:val="Footnote Text Char"/>
    <w:basedOn w:val="DefaultParagraphFont"/>
    <w:link w:val="FootnoteText"/>
    <w:rsid w:val="000A14AD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yammouni\AppData\Roaming\Microsoft\Templates\Regl_proc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Regl_proc02.dot</Template>
  <TotalTime>23</TotalTime>
  <Pages>2</Pages>
  <Words>105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Règles de procédures / Edition 2009</vt:lpstr>
    </vt:vector>
  </TitlesOfParts>
  <Manager>CP--107223/DD</Manager>
  <Company>ITU</Company>
  <LinksUpToDate>false</LinksUpToDate>
  <CharactersWithSpaces>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Règles de procédures / Edition 2009</dc:title>
  <dc:subject>RES1 du RR</dc:subject>
  <dc:creator>Composition des Publications</dc:creator>
  <cp:keywords>FOLIOS:  1  -  2</cp:keywords>
  <dc:description>Edition 2009: 10.02.09/SdN_x000d_
Corr.:  24.02.2009/DD  (dict. ok)</dc:description>
  <cp:lastModifiedBy>Al-Yammouni, Hala</cp:lastModifiedBy>
  <cp:revision>13</cp:revision>
  <cp:lastPrinted>2009-02-24T11:01:00Z</cp:lastPrinted>
  <dcterms:created xsi:type="dcterms:W3CDTF">2016-11-16T10:23:00Z</dcterms:created>
  <dcterms:modified xsi:type="dcterms:W3CDTF">2020-12-15T09:15:00Z</dcterms:modified>
  <cp:category>ATTENTION:  Modifier le header manuellement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AR</vt:lpwstr>
  </property>
  <property fmtid="{D5CDD505-2E9C-101B-9397-08002B2CF9AE}" pid="3" name="Header1">
    <vt:lpwstr>AP</vt:lpwstr>
  </property>
  <property fmtid="{D5CDD505-2E9C-101B-9397-08002B2CF9AE}" pid="4" name="Header2">
    <vt:lpwstr>B</vt:lpwstr>
  </property>
  <property fmtid="{D5CDD505-2E9C-101B-9397-08002B2CF9AE}" pid="5" name="Header10">
    <vt:lpwstr>-</vt:lpwstr>
  </property>
</Properties>
</file>