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2D0DB" w14:textId="77777777" w:rsidR="00E052A7" w:rsidRDefault="00E052A7" w:rsidP="0089365D">
      <w:pPr>
        <w:pStyle w:val="Heading1"/>
        <w:spacing w:before="300"/>
        <w:ind w:left="0" w:firstLine="0"/>
        <w:jc w:val="center"/>
      </w:pPr>
      <w:bookmarkStart w:id="0" w:name="_GoBack"/>
      <w:r>
        <w:t>Rules concerning</w:t>
      </w:r>
    </w:p>
    <w:bookmarkEnd w:id="0"/>
    <w:p w14:paraId="6D735A6A" w14:textId="77777777" w:rsidR="00E052A7" w:rsidRDefault="00E052A7">
      <w:pPr>
        <w:pStyle w:val="Heading2"/>
        <w:ind w:left="0" w:firstLine="0"/>
        <w:jc w:val="center"/>
      </w:pPr>
      <w:r>
        <w:t xml:space="preserve">RESOLUTION  </w:t>
      </w:r>
      <w:r>
        <w:rPr>
          <w:rStyle w:val="href2"/>
        </w:rPr>
        <w:t>1</w:t>
      </w:r>
      <w:r>
        <w:t xml:space="preserve"> (Rev.WRC-97)</w:t>
      </w:r>
    </w:p>
    <w:p w14:paraId="7D60942F" w14:textId="77777777" w:rsidR="00E052A7" w:rsidRDefault="00E052A7">
      <w:pPr>
        <w:pStyle w:val="Heading1"/>
        <w:ind w:left="0" w:firstLine="0"/>
        <w:jc w:val="center"/>
      </w:pPr>
      <w:r>
        <w:t>Notification of frequency assignments</w:t>
      </w:r>
    </w:p>
    <w:p w14:paraId="7D21BCB1" w14:textId="77777777" w:rsidR="00E052A7" w:rsidRDefault="00E052A7" w:rsidP="0089365D">
      <w:pPr>
        <w:pStyle w:val="Heading1"/>
      </w:pPr>
      <w:r>
        <w:rPr>
          <w:rStyle w:val="href"/>
        </w:rPr>
        <w:t>1</w:t>
      </w:r>
      <w:r>
        <w:tab/>
        <w:t>Terrestrial services</w:t>
      </w:r>
    </w:p>
    <w:p w14:paraId="1250C89E" w14:textId="77777777" w:rsidR="00E052A7" w:rsidRDefault="00E052A7">
      <w:r>
        <w:t>In accordance with this Resolution, the Bureau should, in each case of notification or communication of information:</w:t>
      </w:r>
    </w:p>
    <w:p w14:paraId="402D01AE" w14:textId="77777777" w:rsidR="00E052A7" w:rsidRDefault="00E052A7">
      <w:pPr>
        <w:pStyle w:val="enumlev1"/>
      </w:pPr>
      <w:r>
        <w:rPr>
          <w:i/>
        </w:rPr>
        <w:t>a)</w:t>
      </w:r>
      <w:r>
        <w:tab/>
        <w:t>verify that the station is within a territory under the jurisdiction of the notifying administration, and</w:t>
      </w:r>
    </w:p>
    <w:p w14:paraId="19A65777" w14:textId="77777777" w:rsidR="00E052A7" w:rsidRDefault="00E052A7">
      <w:pPr>
        <w:pStyle w:val="enumlev1"/>
      </w:pPr>
      <w:r>
        <w:rPr>
          <w:i/>
        </w:rPr>
        <w:t>b)</w:t>
      </w:r>
      <w:r>
        <w:tab/>
        <w:t>if that is not the case, verify that a special arrangement has been communicated to the Union.</w:t>
      </w:r>
    </w:p>
    <w:p w14:paraId="1D762F3F" w14:textId="77777777" w:rsidR="00E052A7" w:rsidRDefault="00E052A7">
      <w:r>
        <w:t xml:space="preserve">Any action under </w:t>
      </w:r>
      <w:r>
        <w:rPr>
          <w:i/>
        </w:rPr>
        <w:t>a)</w:t>
      </w:r>
      <w:r>
        <w:t xml:space="preserve"> above would lead the Bureau to delicate situations when considering the administration having jurisdiction on a given territory. The consideration of </w:t>
      </w:r>
      <w:r>
        <w:rPr>
          <w:i/>
        </w:rPr>
        <w:t>b)</w:t>
      </w:r>
      <w:r>
        <w:t xml:space="preserve"> above may lead to impractical situations because administrations may agree on operating a given system without necessarily going through a formal agreement.</w:t>
      </w:r>
    </w:p>
    <w:p w14:paraId="59FF5482" w14:textId="77777777" w:rsidR="00E052A7" w:rsidRDefault="00E052A7">
      <w:r>
        <w:t xml:space="preserve">Considering that it was not the intention of the Member States to see the Bureau involved in matters relating to disputed territories, the Board decided that Resolution </w:t>
      </w:r>
      <w:r w:rsidRPr="00E052A7">
        <w:rPr>
          <w:rStyle w:val="Resref"/>
          <w:b/>
          <w:bCs/>
          <w:color w:val="000000"/>
        </w:rPr>
        <w:t>1 (Rev.WRC-97)</w:t>
      </w:r>
      <w:r>
        <w:t xml:space="preserve"> shall be applied as follows:</w:t>
      </w:r>
    </w:p>
    <w:p w14:paraId="3359EA26" w14:textId="77777777" w:rsidR="00E052A7" w:rsidRDefault="00E052A7">
      <w:pPr>
        <w:pStyle w:val="enumlev1"/>
      </w:pPr>
      <w:r>
        <w:t>–</w:t>
      </w:r>
      <w:r>
        <w:tab/>
        <w:t>Unless advised to the contrary by an administration not accepting such practice, any notification of a frequency assignment to a station located in a territory of an adminis</w:t>
      </w:r>
      <w:r>
        <w:softHyphen/>
        <w:t>tration other than the notifying administration shall be assumed to be the subject of agreement between the two administrations concerned.</w:t>
      </w:r>
    </w:p>
    <w:p w14:paraId="1B78955D" w14:textId="77777777" w:rsidR="00E052A7" w:rsidRDefault="00E052A7">
      <w:pPr>
        <w:pStyle w:val="enumlev1"/>
      </w:pPr>
      <w:r>
        <w:t>–</w:t>
      </w:r>
      <w:r>
        <w:tab/>
        <w:t>When, following the publication of a frequency assignment in the BR IFIC or its Special Sections, the administration of the territory on which the station is located objects to it, the notifying administration is requested to communicate any special arrangement to the objecting administration.</w:t>
      </w:r>
    </w:p>
    <w:p w14:paraId="7C06D74A" w14:textId="77777777" w:rsidR="00E052A7" w:rsidRDefault="00E052A7">
      <w:pPr>
        <w:pStyle w:val="enumlev1"/>
      </w:pPr>
      <w:r>
        <w:t>–</w:t>
      </w:r>
      <w:r>
        <w:tab/>
        <w:t>If, following the replies received from the notifying administration, the Bureau is of the opinion that the sovereignty over the territory in question is a matter of dispute between the two administrations and it is informed that the station is actually operated by the notifying administration, the Bureau will record the assignment and will enter a symbol to indicate the situation. Otherwise the notice will be returned to the notifying administration.</w:t>
      </w:r>
    </w:p>
    <w:p w14:paraId="2D7E2F2A" w14:textId="77777777" w:rsidR="00E052A7" w:rsidRDefault="00E052A7" w:rsidP="0089365D">
      <w:pPr>
        <w:pStyle w:val="Heading1"/>
      </w:pPr>
      <w:r>
        <w:br w:type="page"/>
      </w:r>
      <w:r>
        <w:lastRenderedPageBreak/>
        <w:t>2</w:t>
      </w:r>
      <w:r>
        <w:tab/>
        <w:t>Space services</w:t>
      </w:r>
    </w:p>
    <w:p w14:paraId="5CE42CB5" w14:textId="77777777" w:rsidR="00E052A7" w:rsidRDefault="00E052A7">
      <w:r>
        <w:t>2.1</w:t>
      </w:r>
      <w:r>
        <w:tab/>
        <w:t xml:space="preserve">The notification of terrestrial international links contains the indication of the receiving station located in the territory of another administration assuming that there is an agreement about establishing the radio link. In the case of space radiocommunications, the notification and registration procedures of Article </w:t>
      </w:r>
      <w:r w:rsidRPr="00E052A7">
        <w:rPr>
          <w:rStyle w:val="Artref"/>
          <w:b/>
          <w:bCs/>
          <w:color w:val="000000"/>
        </w:rPr>
        <w:t>11</w:t>
      </w:r>
      <w:r>
        <w:t xml:space="preserve"> of a given frequency assignment are applied separately by the administration operating the transmitting part and by the adminis</w:t>
      </w:r>
      <w:r>
        <w:softHyphen/>
        <w:t>tration using the receiving part.</w:t>
      </w:r>
    </w:p>
    <w:p w14:paraId="3893FC6A" w14:textId="77777777" w:rsidR="00E052A7" w:rsidRDefault="00E052A7">
      <w:r>
        <w:t>2.2</w:t>
      </w:r>
      <w:r>
        <w:tab/>
        <w:t>When the Bureau receives from an Administration A a notice for a transmitting space station with a service area covering the territory of an Administration B, it assumes that the latter has given its agreement and the transmission will be protected over its territory.</w:t>
      </w:r>
    </w:p>
    <w:p w14:paraId="20472E20" w14:textId="77777777" w:rsidR="00E052A7" w:rsidRDefault="00E052A7" w:rsidP="0089365D">
      <w:r>
        <w:t>2.3</w:t>
      </w:r>
      <w:r>
        <w:tab/>
        <w:t>Similarly, when an administration notifies a transmitting or a receiving earth station the Bureau assumes that the proposed use will be made with the agreement of the administration responsible of the associated space station and the comments in §</w:t>
      </w:r>
      <w:r w:rsidR="0089365D">
        <w:t> </w:t>
      </w:r>
      <w:r>
        <w:t>1 above apply.</w:t>
      </w:r>
    </w:p>
    <w:p w14:paraId="65C13D44" w14:textId="77777777" w:rsidR="00E052A7" w:rsidRDefault="00E052A7" w:rsidP="0089365D">
      <w:pPr>
        <w:spacing w:before="120" w:after="120"/>
      </w:pPr>
      <w:r>
        <w:t>2.4</w:t>
      </w:r>
      <w:r>
        <w:tab/>
        <w:t>As far as the request for exclusion of the territory of a country from the service area of a space station, see comments under the Rules of Procedure concerning No.</w:t>
      </w:r>
      <w:r w:rsidR="0089365D">
        <w:t> </w:t>
      </w:r>
      <w:r w:rsidRPr="00E052A7">
        <w:rPr>
          <w:rStyle w:val="Artref"/>
          <w:b/>
          <w:bCs/>
          <w:color w:val="000000"/>
        </w:rPr>
        <w:t>9.50</w:t>
      </w:r>
      <w:r>
        <w:t>.</w:t>
      </w:r>
    </w:p>
    <w:p w14:paraId="41584A05" w14:textId="77777777" w:rsidR="00E052A7" w:rsidRDefault="00E052A7" w:rsidP="0089365D">
      <w:pPr>
        <w:pStyle w:val="Heading1"/>
      </w:pPr>
      <w:r>
        <w:t>3</w:t>
      </w:r>
      <w:r>
        <w:tab/>
        <w:t>Requirements for Planning Conferences</w:t>
      </w:r>
    </w:p>
    <w:p w14:paraId="731C865E" w14:textId="77777777" w:rsidR="00E052A7" w:rsidRDefault="00E052A7" w:rsidP="0089365D">
      <w:r>
        <w:t>3.1</w:t>
      </w:r>
      <w:r>
        <w:tab/>
        <w:t>Radio Conferences in the past had to deal with:</w:t>
      </w:r>
    </w:p>
    <w:p w14:paraId="285BBB36" w14:textId="77777777" w:rsidR="00E052A7" w:rsidRDefault="00E052A7">
      <w:pPr>
        <w:pStyle w:val="enumlev1"/>
      </w:pPr>
      <w:r>
        <w:t>–</w:t>
      </w:r>
      <w:r>
        <w:tab/>
        <w:t>requirements by administrations for stations to be located on a territory under the jurisdiction of another administration; or</w:t>
      </w:r>
    </w:p>
    <w:p w14:paraId="6229D238" w14:textId="77777777" w:rsidR="00E052A7" w:rsidRDefault="00E052A7">
      <w:pPr>
        <w:pStyle w:val="enumlev1"/>
      </w:pPr>
      <w:r>
        <w:t>–</w:t>
      </w:r>
      <w:r>
        <w:tab/>
        <w:t>reference points or test points of the requirement of an administration which were located on the territory under the jurisdiction of another administration.</w:t>
      </w:r>
    </w:p>
    <w:p w14:paraId="797292BF" w14:textId="77777777" w:rsidR="00E052A7" w:rsidRDefault="00E052A7" w:rsidP="0089365D">
      <w:pPr>
        <w:rPr>
          <w:color w:val="000000"/>
          <w:lang w:val="en-US"/>
        </w:rPr>
      </w:pPr>
      <w:r>
        <w:t>In accordance with the approach described in §</w:t>
      </w:r>
      <w:r w:rsidR="0089365D">
        <w:t> </w:t>
      </w:r>
      <w:r>
        <w:t>1 and 2 above this information was published in Conference preparatory documents. Following this publication, when objections were received from administrations that considered themselves concerned, the objected test point or requirements were cancelled and the matter was reported to the Conference for decision.</w:t>
      </w:r>
    </w:p>
    <w:p w14:paraId="3B749283" w14:textId="77777777" w:rsidR="00E052A7" w:rsidRDefault="00E052A7" w:rsidP="0089365D">
      <w:pPr>
        <w:rPr>
          <w:lang w:val="en-U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3A7C4" w14:textId="77777777" w:rsidR="00824378" w:rsidRDefault="00824378">
      <w:r>
        <w:separator/>
      </w:r>
    </w:p>
  </w:endnote>
  <w:endnote w:type="continuationSeparator" w:id="0">
    <w:p w14:paraId="3F8FDBB4"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99E10" w14:textId="77777777" w:rsidR="00824378" w:rsidRDefault="00824378">
      <w:r>
        <w:rPr>
          <w:b/>
        </w:rPr>
        <w:t>_______________</w:t>
      </w:r>
    </w:p>
  </w:footnote>
  <w:footnote w:type="continuationSeparator" w:id="0">
    <w:p w14:paraId="7B7C97C0"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6836E6DD" w:rsidR="00E052A7" w:rsidRDefault="00E052A7">
          <w:pPr>
            <w:pStyle w:val="HeaderRegProc"/>
          </w:pPr>
          <w:r>
            <w:t>Part A</w:t>
          </w:r>
          <w:r w:rsidR="00204C1C">
            <w:fldChar w:fldCharType="begin"/>
          </w:r>
          <w:r w:rsidR="00204C1C">
            <w:instrText>styleref href</w:instrText>
          </w:r>
          <w:r w:rsidR="00204C1C">
            <w:fldChar w:fldCharType="separate"/>
          </w:r>
          <w:r w:rsidR="00204C1C">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256324" w14:textId="462C20E1" w:rsidR="00E052A7" w:rsidRDefault="00E052A7">
          <w:pPr>
            <w:pStyle w:val="HeaderRegProc"/>
            <w:rPr>
              <w:lang w:val="fr-FR"/>
            </w:rPr>
          </w:pPr>
          <w:r>
            <w:t>RES</w:t>
          </w:r>
          <w:r w:rsidR="00204C1C">
            <w:fldChar w:fldCharType="begin"/>
          </w:r>
          <w:r w:rsidR="00204C1C">
            <w:instrText>s</w:instrText>
          </w:r>
          <w:r w:rsidR="00204C1C">
            <w:instrText>tyleref href2</w:instrText>
          </w:r>
          <w:r w:rsidR="00204C1C">
            <w:fldChar w:fldCharType="separate"/>
          </w:r>
          <w:r w:rsidR="00204C1C">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77777777" w:rsidR="00E052A7" w:rsidRDefault="00E052A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71931" w14:textId="37A39A37" w:rsidR="00E052A7" w:rsidRDefault="00E052A7">
          <w:pPr>
            <w:pStyle w:val="HeaderRegProc"/>
            <w:rPr>
              <w:lang w:val="fr-CH"/>
            </w:rPr>
          </w:pPr>
          <w:r>
            <w:rPr>
              <w:lang w:val="fr-CH"/>
            </w:rPr>
            <w:t>rev.</w:t>
          </w:r>
          <w:r w:rsidR="00F73346">
            <w:rPr>
              <w:lang w:val="fr-CH"/>
            </w:rPr>
            <w:t xml:space="preserve"> </w:t>
          </w:r>
          <w:r w:rsidR="00204C1C">
            <w:fldChar w:fldCharType="begin"/>
          </w:r>
          <w:r w:rsidR="00204C1C">
            <w:instrText xml:space="preserve"> DOCPROPERTY "Header10" \* MERGEFORMAT </w:instrText>
          </w:r>
          <w:r w:rsidR="00204C1C">
            <w:fldChar w:fldCharType="separate"/>
          </w:r>
          <w:r w:rsidR="00204C1C" w:rsidRPr="00204C1C">
            <w:rPr>
              <w:lang w:val="fr-CH"/>
            </w:rPr>
            <w:t>-</w:t>
          </w:r>
          <w:r w:rsidR="00204C1C">
            <w:rPr>
              <w:lang w:val="fr-CH"/>
            </w:rPr>
            <w:fldChar w:fldCharType="end"/>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54863CE3" w:rsidR="00E052A7" w:rsidRDefault="00E052A7">
          <w:pPr>
            <w:pStyle w:val="HeaderRegProc"/>
          </w:pPr>
          <w:r>
            <w:t>Part A</w:t>
          </w:r>
          <w:r w:rsidR="00204C1C">
            <w:fldChar w:fldCharType="begin"/>
          </w:r>
          <w:r w:rsidR="00204C1C">
            <w:instrText>styleref href</w:instrText>
          </w:r>
          <w:r w:rsidR="00204C1C">
            <w:fldChar w:fldCharType="separate"/>
          </w:r>
          <w:r w:rsidR="00204C1C">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56FB79" w14:textId="2DF7AAA9" w:rsidR="00E052A7" w:rsidRDefault="00E052A7">
          <w:pPr>
            <w:pStyle w:val="HeaderRegProc"/>
            <w:rPr>
              <w:lang w:val="fr-FR"/>
            </w:rPr>
          </w:pPr>
          <w:r>
            <w:t>RES</w:t>
          </w:r>
          <w:r w:rsidR="00204C1C">
            <w:fldChar w:fldCharType="begin"/>
          </w:r>
          <w:r w:rsidR="00204C1C">
            <w:instrText>styleref href2</w:instrText>
          </w:r>
          <w:r w:rsidR="00204C1C">
            <w:fldChar w:fldCharType="separate"/>
          </w:r>
          <w:r w:rsidR="00204C1C">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77777777" w:rsidR="00E052A7" w:rsidRDefault="00E052A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C59C4D" w14:textId="72E7688E" w:rsidR="00E052A7" w:rsidRDefault="00E052A7">
          <w:pPr>
            <w:pStyle w:val="HeaderRegProc"/>
            <w:rPr>
              <w:lang w:val="fr-CH"/>
            </w:rPr>
          </w:pPr>
          <w:r>
            <w:rPr>
              <w:lang w:val="fr-CH"/>
            </w:rPr>
            <w:t>rev.</w:t>
          </w:r>
          <w:r w:rsidR="00F73346">
            <w:rPr>
              <w:lang w:val="fr-CH"/>
            </w:rPr>
            <w:t xml:space="preserve"> </w:t>
          </w:r>
          <w:r w:rsidR="00204C1C">
            <w:fldChar w:fldCharType="begin"/>
          </w:r>
          <w:r w:rsidR="00204C1C">
            <w:instrText xml:space="preserve"> DOCPROPERTY "Header10" \* MERGEFORMAT </w:instrText>
          </w:r>
          <w:r w:rsidR="00204C1C">
            <w:fldChar w:fldCharType="separate"/>
          </w:r>
          <w:r w:rsidR="00204C1C" w:rsidRPr="00204C1C">
            <w:rPr>
              <w:lang w:val="fr-CH"/>
            </w:rPr>
            <w:t>-</w:t>
          </w:r>
          <w:r w:rsidR="00204C1C">
            <w:rPr>
              <w:lang w:val="fr-CH"/>
            </w:rPr>
            <w:fldChar w:fldCharType="end"/>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204C1C"/>
    <w:rsid w:val="00824378"/>
    <w:rsid w:val="0089365D"/>
    <w:rsid w:val="00CC1BC0"/>
    <w:rsid w:val="00E052A7"/>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3</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Al-Yammouni, Hala</cp:lastModifiedBy>
  <cp:revision>4</cp:revision>
  <cp:lastPrinted>2020-12-15T08:59:00Z</cp:lastPrinted>
  <dcterms:created xsi:type="dcterms:W3CDTF">2012-08-08T06:51:00Z</dcterms:created>
  <dcterms:modified xsi:type="dcterms:W3CDTF">2020-12-15T09:03:00Z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