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2AD7B" w14:textId="77777777" w:rsidR="00BC2609" w:rsidRPr="00A448EA" w:rsidRDefault="00BC2609" w:rsidP="00A448EA">
      <w:pPr>
        <w:pStyle w:val="Heading1"/>
        <w:spacing w:before="300"/>
        <w:jc w:val="center"/>
      </w:pPr>
      <w:r w:rsidRPr="00A448EA">
        <w:t>Rules concerning</w:t>
      </w:r>
    </w:p>
    <w:p w14:paraId="7E95FED4" w14:textId="77777777" w:rsidR="00BC2609" w:rsidRDefault="00BC2609">
      <w:pPr>
        <w:pStyle w:val="Heading2"/>
        <w:jc w:val="center"/>
      </w:pPr>
      <w:r w:rsidRPr="00A448EA">
        <w:t xml:space="preserve">ARTICLE </w:t>
      </w:r>
      <w:r w:rsidR="00A448EA" w:rsidRPr="00A448EA">
        <w:t xml:space="preserve"> </w:t>
      </w:r>
      <w:r w:rsidRPr="00A448EA">
        <w:t>12 of the RR</w:t>
      </w:r>
    </w:p>
    <w:p w14:paraId="5B5DFF3B" w14:textId="77777777" w:rsidR="00A448EA" w:rsidRPr="00A448EA" w:rsidRDefault="00A448EA" w:rsidP="00A448EA"/>
    <w:p w14:paraId="401560B6" w14:textId="77777777" w:rsidR="00BC2609" w:rsidRPr="00A448EA" w:rsidRDefault="00BC2609" w:rsidP="00A448EA">
      <w:pPr>
        <w:pStyle w:val="Heading8"/>
      </w:pPr>
      <w:r w:rsidRPr="00A448EA">
        <w:rPr>
          <w:rStyle w:val="href2"/>
        </w:rPr>
        <w:t>12</w:t>
      </w:r>
      <w:r w:rsidRPr="00A448EA">
        <w:t>.9</w:t>
      </w:r>
    </w:p>
    <w:p w14:paraId="0F2BFDA3" w14:textId="77777777" w:rsidR="00BC2609" w:rsidRPr="00A448EA" w:rsidRDefault="00BC2609">
      <w:pPr>
        <w:pStyle w:val="Headingb"/>
      </w:pPr>
      <w:r w:rsidRPr="00A448EA">
        <w:t>Technical analysis</w:t>
      </w:r>
    </w:p>
    <w:p w14:paraId="25AE0FB0" w14:textId="77777777" w:rsidR="00BC2609" w:rsidRPr="00A448EA" w:rsidRDefault="00BC2609" w:rsidP="00A448EA">
      <w:r w:rsidRPr="00A448EA">
        <w:t>The technical analysis is composed of propagation calculation and compatibility analysis. For</w:t>
      </w:r>
      <w:r w:rsidR="00A448EA" w:rsidRPr="00A448EA">
        <w:t>  </w:t>
      </w:r>
      <w:r w:rsidRPr="00A448EA">
        <w:t>both modules, the calculation of antenna patterns shall be made using the current Recommendation ITU-R BS.705, the propagation shall be calculated according to Recom</w:t>
      </w:r>
      <w:r w:rsidR="00A448EA" w:rsidRPr="00A448EA">
        <w:softHyphen/>
      </w:r>
      <w:r w:rsidRPr="00A448EA">
        <w:t>mendation ITU</w:t>
      </w:r>
      <w:r w:rsidRPr="00A448EA">
        <w:noBreakHyphen/>
        <w:t>R P.533 and the reliability according to Recommendation ITU-R P.842. If any of these Recommendations is modified, the Bureau shall inform all administrations when the modification is implemented.</w:t>
      </w:r>
    </w:p>
    <w:p w14:paraId="219C92A1" w14:textId="77777777" w:rsidR="00BC2609" w:rsidRPr="00A448EA" w:rsidRDefault="00BC2609">
      <w:r w:rsidRPr="00A448EA">
        <w:t>The test points referred to in the propagation and compatibility analysis are those agreed to at WARC HFBC-87.</w:t>
      </w:r>
    </w:p>
    <w:p w14:paraId="0EB1ED1A" w14:textId="77777777" w:rsidR="00BC2609" w:rsidRPr="00A448EA" w:rsidRDefault="00BC2609">
      <w:r w:rsidRPr="00A448EA">
        <w:rPr>
          <w:b/>
        </w:rPr>
        <w:t>The propagation calculation</w:t>
      </w:r>
      <w:r w:rsidRPr="00A448EA">
        <w:t xml:space="preserve"> shall be made for all bands where Article </w:t>
      </w:r>
      <w:r w:rsidRPr="00A448EA">
        <w:rPr>
          <w:rStyle w:val="Artref"/>
          <w:b/>
          <w:bCs/>
          <w:color w:val="000000"/>
        </w:rPr>
        <w:t>12</w:t>
      </w:r>
      <w:r w:rsidRPr="00A448EA">
        <w:t xml:space="preserve"> applies and at all test points within the required service area. It will be calculated at the centre frequency of the broadcasting band concerned. There will be one calculation for each hour entirely or partially used, and this calculation will be made for the hour H+30 min. For example, an operation time 02H15 to 04H05 will lead to calculations at 02H30, 03H30 and 04H30.</w:t>
      </w:r>
    </w:p>
    <w:p w14:paraId="5AE1C447" w14:textId="77777777" w:rsidR="00BC2609" w:rsidRPr="00A448EA" w:rsidRDefault="00BC2609">
      <w:r w:rsidRPr="00A448EA">
        <w:t>Results will be given for each hour, either:</w:t>
      </w:r>
    </w:p>
    <w:p w14:paraId="2233BCB9" w14:textId="77777777" w:rsidR="00BC2609" w:rsidRPr="00A448EA" w:rsidRDefault="00BC2609">
      <w:pPr>
        <w:pStyle w:val="enumlev1"/>
      </w:pPr>
      <w:r w:rsidRPr="00A448EA">
        <w:t>–</w:t>
      </w:r>
      <w:r w:rsidRPr="00A448EA">
        <w:tab/>
        <w:t>as the basic service reliability in the requested service area;</w:t>
      </w:r>
    </w:p>
    <w:p w14:paraId="35DBD262" w14:textId="77777777" w:rsidR="00BC2609" w:rsidRPr="00A448EA" w:rsidRDefault="00BC2609">
      <w:pPr>
        <w:pStyle w:val="enumlev1"/>
      </w:pPr>
      <w:r w:rsidRPr="00A448EA">
        <w:t>–</w:t>
      </w:r>
      <w:r w:rsidRPr="00A448EA">
        <w:tab/>
        <w:t>or as the basic circuit reliability for each test point within the required service area;</w:t>
      </w:r>
    </w:p>
    <w:p w14:paraId="4D22D6E3" w14:textId="77777777" w:rsidR="00BC2609" w:rsidRPr="00A448EA" w:rsidRDefault="00BC2609">
      <w:pPr>
        <w:pStyle w:val="enumlev1"/>
      </w:pPr>
      <w:r w:rsidRPr="00A448EA">
        <w:t>–</w:t>
      </w:r>
      <w:r w:rsidRPr="00A448EA">
        <w:tab/>
        <w:t>or as the power at the receiver for each test point within the required service area;</w:t>
      </w:r>
    </w:p>
    <w:p w14:paraId="4C9AA1C6" w14:textId="77777777" w:rsidR="00BC2609" w:rsidRPr="00A448EA" w:rsidRDefault="00BC2609">
      <w:pPr>
        <w:pStyle w:val="enumlev1"/>
      </w:pPr>
      <w:r w:rsidRPr="00A448EA">
        <w:t>–</w:t>
      </w:r>
      <w:r w:rsidRPr="00A448EA">
        <w:tab/>
        <w:t>or as the field strength received by the reference receiving antenna.</w:t>
      </w:r>
    </w:p>
    <w:p w14:paraId="633D0491" w14:textId="77777777" w:rsidR="00BC2609" w:rsidRPr="00A448EA" w:rsidRDefault="00BC2609">
      <w:r w:rsidRPr="00A448EA">
        <w:rPr>
          <w:b/>
        </w:rPr>
        <w:t>The compatibility analysis</w:t>
      </w:r>
      <w:r w:rsidRPr="00A448EA">
        <w:t xml:space="preserve"> shall be made at all test points within the required service area. It may be based either on pre-calculated values of power received at the 911 test points, or values to be calculated on the user’s computer. The hours for which calculations are made are determined in the same way as for the propagation calculation.</w:t>
      </w:r>
    </w:p>
    <w:p w14:paraId="36E50E23" w14:textId="77777777" w:rsidR="00BC2609" w:rsidRPr="00A448EA" w:rsidRDefault="00BC2609">
      <w:r w:rsidRPr="00A448EA">
        <w:t>The compatibility analysis shows the overall service reliability for all test points within the required service area and the overall area reliability for these test points. The highest interferers at each test point will also be indicated.</w:t>
      </w:r>
    </w:p>
    <w:p w14:paraId="0C5C17EE" w14:textId="0369A1C6" w:rsidR="00BC2609" w:rsidRPr="00A448EA" w:rsidRDefault="00BC2609" w:rsidP="00A448EA">
      <w:r w:rsidRPr="00A448EA">
        <w:br w:type="page"/>
      </w:r>
      <w:r w:rsidRPr="00A448EA">
        <w:lastRenderedPageBreak/>
        <w:t>For these calculations, the reliability values relate to the use of a single frequency. In the case of analogue DSB emissions the RF signal-to-noise ratio will be 34 dB and the RF protection ratios will be taken from Annex 4 to Recommendation ITU-R BS.560 (17 dB for co-channel). In the case of digital emissions, the desired RF signal-to-noise ratios are provided in the most recent version of Recommendation ITU-R BS.1615 and the RF protection ratios are given in Section 1 of the Annex to Resolution </w:t>
      </w:r>
      <w:r w:rsidRPr="00A448EA">
        <w:rPr>
          <w:rStyle w:val="Resref"/>
          <w:b/>
          <w:bCs/>
          <w:color w:val="000000"/>
        </w:rPr>
        <w:t>543</w:t>
      </w:r>
      <w:r w:rsidRPr="00A448EA">
        <w:t xml:space="preserve"> </w:t>
      </w:r>
      <w:r w:rsidRPr="00A448EA">
        <w:rPr>
          <w:b/>
          <w:bCs/>
        </w:rPr>
        <w:t>(</w:t>
      </w:r>
      <w:r w:rsidR="00F74863">
        <w:rPr>
          <w:b/>
          <w:bCs/>
        </w:rPr>
        <w:t>Rev.</w:t>
      </w:r>
      <w:r w:rsidRPr="00A448EA">
        <w:rPr>
          <w:b/>
          <w:bCs/>
        </w:rPr>
        <w:t>WRC</w:t>
      </w:r>
      <w:r w:rsidR="00A448EA" w:rsidRPr="00A448EA">
        <w:rPr>
          <w:b/>
          <w:bCs/>
        </w:rPr>
        <w:noBreakHyphen/>
      </w:r>
      <w:r w:rsidR="00F74863">
        <w:rPr>
          <w:b/>
          <w:bCs/>
        </w:rPr>
        <w:t>19</w:t>
      </w:r>
      <w:r w:rsidRPr="00A448EA">
        <w:rPr>
          <w:b/>
          <w:bCs/>
        </w:rPr>
        <w:t>)</w:t>
      </w:r>
      <w:r w:rsidRPr="00A448EA">
        <w:t>.</w:t>
      </w:r>
    </w:p>
    <w:p w14:paraId="440EB650" w14:textId="77777777" w:rsidR="00BC2609" w:rsidRPr="00A448EA" w:rsidRDefault="00BC2609">
      <w:r w:rsidRPr="00A448EA">
        <w:t>The user may decide to choose other values for signal-to-noise ratio and co-channel RF protection ratio, and not to consider adjacent channel interference with frequency differences greater than a given value.</w:t>
      </w:r>
    </w:p>
    <w:p w14:paraId="03750564" w14:textId="77777777" w:rsidR="00BC2609" w:rsidRPr="00A448EA" w:rsidRDefault="00BC2609" w:rsidP="00A448EA"/>
    <w:p w14:paraId="3B5C7724" w14:textId="77777777" w:rsidR="00BC2609" w:rsidRPr="00A448EA" w:rsidRDefault="00BC2609" w:rsidP="00A448EA">
      <w:pPr>
        <w:jc w:val="center"/>
      </w:pPr>
      <w:r w:rsidRPr="00A448EA">
        <w:t>____________________</w:t>
      </w:r>
    </w:p>
    <w:p w14:paraId="65536130" w14:textId="77777777" w:rsidR="00BC2609" w:rsidRPr="00A448EA" w:rsidRDefault="00BC2609" w:rsidP="00A448EA"/>
    <w:p w14:paraId="4AC468B8" w14:textId="77777777" w:rsidR="00BC2609" w:rsidRPr="00A448EA" w:rsidRDefault="00BC2609" w:rsidP="00A448EA"/>
    <w:p w14:paraId="6BF24577" w14:textId="77777777" w:rsidR="00BC2609" w:rsidRPr="00A448EA" w:rsidRDefault="00BC2609" w:rsidP="00A448EA"/>
    <w:p w14:paraId="485FD247" w14:textId="77777777" w:rsidR="00BC2609" w:rsidRPr="00A448EA" w:rsidRDefault="00BC2609" w:rsidP="00A448EA"/>
    <w:p w14:paraId="1F12C4F0" w14:textId="77777777" w:rsidR="00BC2609" w:rsidRPr="00A448EA" w:rsidRDefault="00BC2609" w:rsidP="00A448EA"/>
    <w:p w14:paraId="2E19E82E" w14:textId="77777777" w:rsidR="00BC2609" w:rsidRPr="00A448EA" w:rsidRDefault="00BC2609" w:rsidP="00A448EA"/>
    <w:p w14:paraId="32ED0102" w14:textId="77777777" w:rsidR="00BC2609" w:rsidRPr="00A448EA" w:rsidRDefault="00BC2609" w:rsidP="00A448EA"/>
    <w:p w14:paraId="494C6A77" w14:textId="77777777" w:rsidR="00BC2609" w:rsidRPr="00A448EA" w:rsidRDefault="00BC2609" w:rsidP="00A448EA"/>
    <w:p w14:paraId="139D2EAD" w14:textId="77777777" w:rsidR="00BC2609" w:rsidRPr="00A448EA" w:rsidRDefault="00BC2609" w:rsidP="00A448EA"/>
    <w:p w14:paraId="1014555A" w14:textId="77777777" w:rsidR="00BC2609" w:rsidRPr="00A448EA" w:rsidRDefault="00BC2609" w:rsidP="00A448EA"/>
    <w:p w14:paraId="771B2181" w14:textId="77777777" w:rsidR="00BC2609" w:rsidRPr="00A448EA" w:rsidRDefault="00BC2609" w:rsidP="00A448EA"/>
    <w:p w14:paraId="66E13A76" w14:textId="77777777" w:rsidR="00BC2609" w:rsidRPr="00A448EA" w:rsidRDefault="00BC2609" w:rsidP="00A448EA"/>
    <w:p w14:paraId="698CB095" w14:textId="77777777" w:rsidR="00BC2609" w:rsidRPr="00A448EA" w:rsidRDefault="00BC2609" w:rsidP="00A448EA"/>
    <w:p w14:paraId="555F3DA9" w14:textId="77777777" w:rsidR="00BC2609" w:rsidRPr="00A448EA" w:rsidRDefault="00BC2609" w:rsidP="00A448EA"/>
    <w:p w14:paraId="41CD6E10" w14:textId="77777777" w:rsidR="00BC2609" w:rsidRPr="00A448EA" w:rsidRDefault="00BC2609" w:rsidP="00A448EA"/>
    <w:p w14:paraId="01042459" w14:textId="77777777" w:rsidR="00BC2609" w:rsidRPr="00A448EA" w:rsidRDefault="00BC2609" w:rsidP="00A448EA"/>
    <w:p w14:paraId="16F31738" w14:textId="77777777" w:rsidR="00BC2609" w:rsidRPr="00A448EA" w:rsidRDefault="00BC2609" w:rsidP="00A448EA"/>
    <w:p w14:paraId="06CE6B42" w14:textId="77777777" w:rsidR="00BC2609" w:rsidRPr="00A448EA" w:rsidRDefault="00BC2609" w:rsidP="00A448EA"/>
    <w:p w14:paraId="37F56C86" w14:textId="77777777" w:rsidR="00A448EA" w:rsidRPr="00A448EA" w:rsidRDefault="00A448EA" w:rsidP="00A448EA"/>
    <w:p w14:paraId="5D5132F2" w14:textId="77777777" w:rsidR="00BC2609" w:rsidRPr="00A448EA" w:rsidRDefault="00BC2609" w:rsidP="00A448EA">
      <w:pPr>
        <w:sectPr w:rsidR="00BC2609" w:rsidRPr="00A448E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F1C6368" w14:textId="77777777" w:rsidR="00BC2609" w:rsidRPr="00A448EA" w:rsidRDefault="00BC2609" w:rsidP="00A448EA"/>
    <w:sectPr w:rsidR="00BC2609" w:rsidRPr="00A448EA">
      <w:headerReference w:type="defaul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0D317" w14:textId="77777777" w:rsidR="00BC2609" w:rsidRDefault="00BC2609">
      <w:r>
        <w:separator/>
      </w:r>
    </w:p>
  </w:endnote>
  <w:endnote w:type="continuationSeparator" w:id="0">
    <w:p w14:paraId="3A5EF834" w14:textId="77777777" w:rsidR="00BC2609" w:rsidRDefault="00BC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E3910" w14:textId="77777777" w:rsidR="00BC2609" w:rsidRDefault="00BC2609">
      <w:r>
        <w:rPr>
          <w:b/>
        </w:rPr>
        <w:t>_______________</w:t>
      </w:r>
    </w:p>
    <w:p w14:paraId="55800210" w14:textId="77777777" w:rsidR="00BC2609" w:rsidRDefault="00BC2609"/>
  </w:footnote>
  <w:footnote w:type="continuationSeparator" w:id="0">
    <w:p w14:paraId="55BFF96C" w14:textId="77777777" w:rsidR="00BC2609" w:rsidRDefault="00BC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09" w14:paraId="30E0B23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F43742" w14:textId="77777777" w:rsidR="00BC2609" w:rsidRDefault="00BC260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8F8EB52" w14:textId="095C5681" w:rsidR="00BC2609" w:rsidRDefault="00F74863">
          <w:pPr>
            <w:pStyle w:val="HeaderRegProc"/>
            <w:rPr>
              <w:lang w:val="en-US"/>
            </w:rPr>
          </w:pPr>
          <w:r>
            <w:fldChar w:fldCharType="begin"/>
          </w:r>
          <w:r>
            <w:instrText xml:space="preserve"> DOCPROPERTY "Header" \* MERGEFORMAT </w:instrText>
          </w:r>
          <w:r>
            <w:fldChar w:fldCharType="separate"/>
          </w:r>
          <w:r w:rsidR="00EE6AC6" w:rsidRPr="00EE6AC6">
            <w:rPr>
              <w:color w:val="000000"/>
              <w:lang w:val="en-US"/>
            </w:rPr>
            <w:t>AR</w:t>
          </w:r>
          <w:r>
            <w:rPr>
              <w:color w:val="000000"/>
              <w:lang w:val="en-US"/>
            </w:rPr>
            <w:fldChar w:fldCharType="end"/>
          </w:r>
          <w:r w:rsidR="00BC2609">
            <w:rPr>
              <w:color w:val="000000"/>
            </w:rPr>
            <w:fldChar w:fldCharType="begin"/>
          </w:r>
          <w:r w:rsidR="00BC2609">
            <w:rPr>
              <w:color w:val="000000"/>
              <w:lang w:val="en-US"/>
            </w:rPr>
            <w:instrText>styleref href2</w:instrText>
          </w:r>
          <w:r w:rsidR="00BC2609">
            <w:rPr>
              <w:color w:val="000000"/>
            </w:rPr>
            <w:fldChar w:fldCharType="separate"/>
          </w:r>
          <w:r>
            <w:rPr>
              <w:noProof/>
              <w:color w:val="000000"/>
            </w:rPr>
            <w:t>12</w:t>
          </w:r>
          <w:r w:rsidR="00BC2609">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686481" w14:textId="77777777" w:rsidR="00BC2609" w:rsidRDefault="00BC260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1543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E4A026" w14:textId="6613455A" w:rsidR="00BC2609" w:rsidRDefault="00BC2609">
          <w:pPr>
            <w:pStyle w:val="HeaderRegProc"/>
            <w:rPr>
              <w:lang w:val="fr-CH"/>
            </w:rPr>
          </w:pPr>
          <w:r>
            <w:rPr>
              <w:lang w:val="fr-CH"/>
            </w:rPr>
            <w:t>rev.</w:t>
          </w:r>
          <w:r w:rsidR="00381E3F">
            <w:rPr>
              <w:lang w:val="fr-CH"/>
            </w:rPr>
            <w:t xml:space="preserve"> </w:t>
          </w:r>
          <w:r w:rsidR="00F74863">
            <w:fldChar w:fldCharType="begin"/>
          </w:r>
          <w:r w:rsidR="00F74863">
            <w:instrText xml:space="preserve"> DOCPROPERTY "Header10" \* MERGEFORMAT </w:instrText>
          </w:r>
          <w:r w:rsidR="00F74863">
            <w:fldChar w:fldCharType="separate"/>
          </w:r>
          <w:r w:rsidR="00EE6AC6" w:rsidRPr="00EE6AC6">
            <w:rPr>
              <w:lang w:val="fr-CH"/>
            </w:rPr>
            <w:t>-</w:t>
          </w:r>
          <w:r w:rsidR="00F74863">
            <w:rPr>
              <w:lang w:val="fr-CH"/>
            </w:rPr>
            <w:fldChar w:fldCharType="end"/>
          </w:r>
        </w:p>
      </w:tc>
    </w:tr>
  </w:tbl>
  <w:p w14:paraId="37229F4F" w14:textId="77777777" w:rsidR="00BC2609" w:rsidRDefault="00BC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09" w14:paraId="39513E3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62A798F" w14:textId="77777777" w:rsidR="00BC2609" w:rsidRDefault="00BC260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6862C14" w14:textId="6494E217" w:rsidR="00BC2609" w:rsidRDefault="00F74863">
          <w:pPr>
            <w:pStyle w:val="HeaderRegProc"/>
            <w:rPr>
              <w:color w:val="000000"/>
              <w:lang w:val="en-US"/>
            </w:rPr>
          </w:pPr>
          <w:r>
            <w:fldChar w:fldCharType="begin"/>
          </w:r>
          <w:r>
            <w:instrText xml:space="preserve"> DOCPROPERTY "Header" \* MERGEFORMAT </w:instrText>
          </w:r>
          <w:r>
            <w:fldChar w:fldCharType="separate"/>
          </w:r>
          <w:r w:rsidR="00EE6AC6" w:rsidRPr="00EE6AC6">
            <w:rPr>
              <w:color w:val="000000"/>
              <w:lang w:val="en-US"/>
            </w:rPr>
            <w:t>AR</w:t>
          </w:r>
          <w:r>
            <w:rPr>
              <w:color w:val="000000"/>
              <w:lang w:val="en-US"/>
            </w:rPr>
            <w:fldChar w:fldCharType="end"/>
          </w:r>
          <w:r w:rsidR="00BC2609">
            <w:rPr>
              <w:color w:val="000000"/>
            </w:rPr>
            <w:fldChar w:fldCharType="begin"/>
          </w:r>
          <w:r w:rsidR="00BC2609">
            <w:rPr>
              <w:color w:val="000000"/>
              <w:lang w:val="en-US"/>
            </w:rPr>
            <w:instrText>styleref href2</w:instrText>
          </w:r>
          <w:r w:rsidR="00BC2609">
            <w:rPr>
              <w:color w:val="000000"/>
            </w:rPr>
            <w:fldChar w:fldCharType="separate"/>
          </w:r>
          <w:r>
            <w:rPr>
              <w:noProof/>
              <w:color w:val="000000"/>
            </w:rPr>
            <w:t>12</w:t>
          </w:r>
          <w:r w:rsidR="00BC2609">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5DFE6" w14:textId="77777777" w:rsidR="00BC2609" w:rsidRDefault="00BC2609">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915435">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B2BEF" w14:textId="3C31A34A" w:rsidR="00BC2609" w:rsidRDefault="00BC2609">
          <w:pPr>
            <w:pStyle w:val="HeaderRegProc"/>
            <w:rPr>
              <w:color w:val="000000"/>
              <w:lang w:val="fr-CH"/>
            </w:rPr>
          </w:pPr>
          <w:r>
            <w:rPr>
              <w:color w:val="000000"/>
              <w:lang w:val="fr-CH"/>
            </w:rPr>
            <w:t>rev.</w:t>
          </w:r>
          <w:r w:rsidR="00381E3F">
            <w:rPr>
              <w:color w:val="000000"/>
              <w:lang w:val="fr-CH"/>
            </w:rPr>
            <w:t xml:space="preserve"> </w:t>
          </w:r>
          <w:r>
            <w:rPr>
              <w:color w:val="000000"/>
            </w:rPr>
            <w:t>-</w:t>
          </w:r>
        </w:p>
      </w:tc>
    </w:tr>
  </w:tbl>
  <w:p w14:paraId="7CCC0437" w14:textId="77777777" w:rsidR="00BC2609" w:rsidRDefault="00BC2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28CE6" w14:textId="77777777" w:rsidR="00BC2609" w:rsidRDefault="00BC26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48EA"/>
    <w:rsid w:val="00381E3F"/>
    <w:rsid w:val="004B58C8"/>
    <w:rsid w:val="005C3835"/>
    <w:rsid w:val="00915435"/>
    <w:rsid w:val="00A448EA"/>
    <w:rsid w:val="00BC2609"/>
    <w:rsid w:val="00C01319"/>
    <w:rsid w:val="00EE6AC6"/>
    <w:rsid w:val="00F748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F8551E"/>
  <w15:docId w15:val="{49E38391-9893-48F0-8E11-08413622B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3</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 Ediiton 2009</vt:lpstr>
    </vt:vector>
  </TitlesOfParts>
  <Manager>CP--107223/DD</Manager>
  <Company>ITU</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Ediiton 2009</dc:title>
  <dc:subject>Article 12</dc:subject>
  <dc:creator>Composition des Publications</dc:creator>
  <cp:keywords>Folios: 1 - 2</cp:keywords>
  <dc:description>Ediition 2009:  10.02.09/SdN_x000d_
Corr.:  24.02.2009/DD  (dict. ok) </dc:description>
  <cp:lastModifiedBy>Al-Yammouni, Hala</cp:lastModifiedBy>
  <cp:revision>8</cp:revision>
  <cp:lastPrinted>2020-12-15T07:42:00Z</cp:lastPrinted>
  <dcterms:created xsi:type="dcterms:W3CDTF">2012-08-08T06:49:00Z</dcterms:created>
  <dcterms:modified xsi:type="dcterms:W3CDTF">2021-04-28T08:08:00Z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