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AC015" w14:textId="77777777" w:rsidR="00196F0F" w:rsidRPr="009E247A" w:rsidRDefault="00196F0F" w:rsidP="00196F0F">
      <w:pPr>
        <w:pStyle w:val="Heading1"/>
        <w:spacing w:before="300"/>
        <w:ind w:left="0" w:firstLine="0"/>
        <w:jc w:val="center"/>
        <w:rPr>
          <w:rFonts w:asciiTheme="majorBidi" w:hAnsiTheme="majorBidi" w:cstheme="majorBidi"/>
          <w:b w:val="0"/>
          <w:bCs/>
          <w:szCs w:val="28"/>
        </w:rPr>
      </w:pPr>
      <w:r w:rsidRPr="009E247A">
        <w:rPr>
          <w:rFonts w:asciiTheme="majorBidi" w:hAnsiTheme="majorBidi" w:cstheme="majorBidi"/>
          <w:bCs/>
          <w:szCs w:val="28"/>
        </w:rPr>
        <w:t xml:space="preserve">Rules </w:t>
      </w:r>
      <w:r w:rsidRPr="003B350E">
        <w:rPr>
          <w:color w:val="000000"/>
        </w:rPr>
        <w:t>concerning</w:t>
      </w:r>
      <w:r>
        <w:rPr>
          <w:color w:val="000000"/>
        </w:rPr>
        <w:t xml:space="preserve"> the</w:t>
      </w:r>
      <w:r>
        <w:rPr>
          <w:rFonts w:asciiTheme="majorBidi" w:hAnsiTheme="majorBidi" w:cstheme="majorBidi"/>
          <w:bCs/>
          <w:szCs w:val="28"/>
        </w:rPr>
        <w:t xml:space="preserve"> t</w:t>
      </w:r>
      <w:r w:rsidRPr="009E247A">
        <w:rPr>
          <w:rFonts w:asciiTheme="majorBidi" w:hAnsiTheme="majorBidi" w:cstheme="majorBidi"/>
          <w:bCs/>
          <w:szCs w:val="28"/>
        </w:rPr>
        <w:t xml:space="preserve">reatment by the </w:t>
      </w:r>
      <w:r w:rsidRPr="003B350E">
        <w:rPr>
          <w:rFonts w:eastAsia="SimSun"/>
          <w:sz w:val="26"/>
          <w:szCs w:val="26"/>
        </w:rPr>
        <w:t>Radiocommunication</w:t>
      </w:r>
      <w:r w:rsidRPr="009E247A">
        <w:rPr>
          <w:rFonts w:asciiTheme="majorBidi" w:hAnsiTheme="majorBidi" w:cstheme="majorBidi"/>
          <w:bCs/>
          <w:szCs w:val="28"/>
        </w:rPr>
        <w:t xml:space="preserve"> Bureau </w:t>
      </w:r>
      <w:r>
        <w:rPr>
          <w:rFonts w:asciiTheme="majorBidi" w:hAnsiTheme="majorBidi" w:cstheme="majorBidi"/>
          <w:bCs/>
          <w:szCs w:val="28"/>
        </w:rPr>
        <w:br/>
      </w:r>
      <w:r w:rsidRPr="009E247A">
        <w:rPr>
          <w:rFonts w:asciiTheme="majorBidi" w:hAnsiTheme="majorBidi" w:cstheme="majorBidi"/>
          <w:bCs/>
          <w:szCs w:val="28"/>
        </w:rPr>
        <w:t xml:space="preserve">of requests for coordination under Article 9 or notification under Article 11 of the Radio Regulations submitted to the Bureau as of the first day after a WRC but before the effective date of entry into force of the WRC new </w:t>
      </w:r>
      <w:r>
        <w:rPr>
          <w:rFonts w:asciiTheme="majorBidi" w:hAnsiTheme="majorBidi" w:cstheme="majorBidi"/>
          <w:b w:val="0"/>
          <w:bCs/>
          <w:szCs w:val="28"/>
        </w:rPr>
        <w:br/>
      </w:r>
      <w:r w:rsidRPr="009E247A">
        <w:rPr>
          <w:rFonts w:asciiTheme="majorBidi" w:hAnsiTheme="majorBidi" w:cstheme="majorBidi"/>
          <w:bCs/>
          <w:szCs w:val="28"/>
        </w:rPr>
        <w:t>or updated frequency allocations</w:t>
      </w:r>
      <w:r>
        <w:rPr>
          <w:rStyle w:val="FootnoteReference"/>
          <w:rFonts w:asciiTheme="majorBidi" w:hAnsiTheme="majorBidi" w:cstheme="majorBidi"/>
          <w:b w:val="0"/>
          <w:bCs/>
          <w:szCs w:val="28"/>
        </w:rPr>
        <w:footnoteReference w:customMarkFollows="1" w:id="1"/>
        <w:t>1</w:t>
      </w:r>
    </w:p>
    <w:p w14:paraId="7C47C469" w14:textId="77777777" w:rsidR="00196F0F" w:rsidRPr="00341DC2" w:rsidRDefault="00196F0F" w:rsidP="009C3C30">
      <w:r w:rsidRPr="00341DC2">
        <w:t xml:space="preserve">For a coordination request or notification notice including </w:t>
      </w:r>
      <w:r>
        <w:t xml:space="preserve">a frequency assignment under </w:t>
      </w:r>
      <w:r w:rsidRPr="00341DC2">
        <w:t>a new or update</w:t>
      </w:r>
      <w:r>
        <w:t>d</w:t>
      </w:r>
      <w:r w:rsidRPr="00341DC2">
        <w:t xml:space="preserve"> allocation </w:t>
      </w:r>
      <w:r>
        <w:t xml:space="preserve">adopted by a WRC </w:t>
      </w:r>
      <w:r w:rsidRPr="00341DC2">
        <w:t xml:space="preserve">and received by the Bureau as of </w:t>
      </w:r>
      <w:r>
        <w:t>the first day after the Conference</w:t>
      </w:r>
      <w:r w:rsidRPr="00341DC2">
        <w:t xml:space="preserve">, the conformity of the frequency assignments, with the Table of Frequency Allocations </w:t>
      </w:r>
      <w:r>
        <w:t>is</w:t>
      </w:r>
      <w:r w:rsidRPr="00341DC2">
        <w:t xml:space="preserve"> considered through the examinations under No. </w:t>
      </w:r>
      <w:r w:rsidRPr="004D46A3">
        <w:rPr>
          <w:b/>
          <w:bCs/>
        </w:rPr>
        <w:t>9.35</w:t>
      </w:r>
      <w:r w:rsidRPr="00341DC2">
        <w:t xml:space="preserve"> (with respect to the conform</w:t>
      </w:r>
      <w:r>
        <w:t xml:space="preserve">ity with No. </w:t>
      </w:r>
      <w:r w:rsidRPr="004D46A3">
        <w:rPr>
          <w:b/>
          <w:bCs/>
        </w:rPr>
        <w:t>11.31</w:t>
      </w:r>
      <w:r>
        <w:t xml:space="preserve">) or No. </w:t>
      </w:r>
      <w:r w:rsidRPr="004D46A3">
        <w:rPr>
          <w:b/>
          <w:bCs/>
        </w:rPr>
        <w:t>11.31</w:t>
      </w:r>
      <w:r>
        <w:t xml:space="preserve">, as appropriate, and the </w:t>
      </w:r>
      <w:r w:rsidR="009C3C30">
        <w:t>f</w:t>
      </w:r>
      <w:r w:rsidRPr="00341DC2">
        <w:t xml:space="preserve">indings of the Bureau </w:t>
      </w:r>
      <w:r>
        <w:t>will</w:t>
      </w:r>
      <w:r w:rsidRPr="00341DC2">
        <w:t xml:space="preserve"> reflect the status of the </w:t>
      </w:r>
      <w:r>
        <w:t xml:space="preserve">frequency </w:t>
      </w:r>
      <w:r w:rsidRPr="00341DC2">
        <w:t xml:space="preserve">assignment with respect to the </w:t>
      </w:r>
      <w:r>
        <w:t xml:space="preserve">conformity with the </w:t>
      </w:r>
      <w:r w:rsidRPr="008D1441">
        <w:t>Table of Frequency Allocations</w:t>
      </w:r>
      <w:r>
        <w:t>. The Board decided that the following</w:t>
      </w:r>
      <w:r w:rsidRPr="00341DC2">
        <w:t xml:space="preserve"> </w:t>
      </w:r>
      <w:r>
        <w:t>categories of the No. </w:t>
      </w:r>
      <w:r w:rsidRPr="00176862">
        <w:rPr>
          <w:b/>
          <w:bCs/>
        </w:rPr>
        <w:t>11.31</w:t>
      </w:r>
      <w:r>
        <w:t xml:space="preserve"> </w:t>
      </w:r>
      <w:r w:rsidR="009C3C30">
        <w:t>f</w:t>
      </w:r>
      <w:r>
        <w:t>inding shall be formulated according to the dates of receipt of the concerned request for coordination or notification notice and the dates of bringing the frequency assignment into use:</w:t>
      </w:r>
      <w:r w:rsidRPr="00341DC2">
        <w:t xml:space="preserve"> </w:t>
      </w:r>
    </w:p>
    <w:p w14:paraId="6846E7CE" w14:textId="77777777" w:rsidR="00196F0F" w:rsidRPr="00341DC2" w:rsidRDefault="00196F0F" w:rsidP="009C3C30">
      <w:pPr>
        <w:pStyle w:val="enumlev1"/>
      </w:pPr>
      <w:r w:rsidRPr="00341DC2">
        <w:t>a)</w:t>
      </w:r>
      <w:r w:rsidRPr="00341DC2">
        <w:tab/>
        <w:t xml:space="preserve">the </w:t>
      </w:r>
      <w:r w:rsidR="009C3C30">
        <w:t>f</w:t>
      </w:r>
      <w:r w:rsidRPr="00341DC2">
        <w:t xml:space="preserve">inding </w:t>
      </w:r>
      <w:r>
        <w:t>is</w:t>
      </w:r>
      <w:r w:rsidRPr="00341DC2">
        <w:t xml:space="preserve"> favourable if, at the date of receipt by the Bureau of the coordination request or notification </w:t>
      </w:r>
      <w:r>
        <w:t>notice</w:t>
      </w:r>
      <w:r w:rsidRPr="00341DC2">
        <w:t xml:space="preserve">, the </w:t>
      </w:r>
      <w:r>
        <w:t xml:space="preserve">frequency </w:t>
      </w:r>
      <w:r w:rsidRPr="00341DC2">
        <w:t xml:space="preserve">allocation concerned </w:t>
      </w:r>
      <w:r>
        <w:t>is</w:t>
      </w:r>
      <w:r w:rsidRPr="00341DC2">
        <w:t xml:space="preserve"> in force;</w:t>
      </w:r>
    </w:p>
    <w:p w14:paraId="0337A6D3" w14:textId="77777777" w:rsidR="00196F0F" w:rsidRPr="00341DC2" w:rsidRDefault="00196F0F" w:rsidP="009C3C30">
      <w:pPr>
        <w:pStyle w:val="enumlev1"/>
      </w:pPr>
      <w:r w:rsidRPr="00341DC2">
        <w:t>b)</w:t>
      </w:r>
      <w:r w:rsidRPr="00341DC2">
        <w:tab/>
        <w:t xml:space="preserve">the </w:t>
      </w:r>
      <w:r w:rsidR="009C3C30">
        <w:t>f</w:t>
      </w:r>
      <w:r w:rsidRPr="00341DC2">
        <w:t xml:space="preserve">inding </w:t>
      </w:r>
      <w:r>
        <w:t>is</w:t>
      </w:r>
      <w:r w:rsidRPr="00341DC2">
        <w:t xml:space="preserve"> unfavourable if, at the date of receipt by the Bureau of the coordination request or notification </w:t>
      </w:r>
      <w:r>
        <w:t>notice</w:t>
      </w:r>
      <w:r w:rsidRPr="00341DC2">
        <w:t xml:space="preserve">, the </w:t>
      </w:r>
      <w:r>
        <w:t xml:space="preserve">frequency </w:t>
      </w:r>
      <w:r w:rsidRPr="00341DC2">
        <w:t xml:space="preserve">allocation concerned </w:t>
      </w:r>
      <w:r>
        <w:t>has not yet been adopted by the conference</w:t>
      </w:r>
      <w:r w:rsidRPr="00341DC2">
        <w:t>;</w:t>
      </w:r>
    </w:p>
    <w:p w14:paraId="0907B017" w14:textId="77777777" w:rsidR="00196F0F" w:rsidRDefault="00196F0F" w:rsidP="009C3C30">
      <w:pPr>
        <w:pStyle w:val="enumlev1"/>
      </w:pPr>
      <w:r w:rsidRPr="00341DC2">
        <w:t>c)</w:t>
      </w:r>
      <w:r w:rsidRPr="00341DC2">
        <w:tab/>
        <w:t xml:space="preserve">the </w:t>
      </w:r>
      <w:r w:rsidR="009C3C30">
        <w:t>f</w:t>
      </w:r>
      <w:r w:rsidRPr="00341DC2">
        <w:t xml:space="preserve">inding </w:t>
      </w:r>
      <w:r>
        <w:t>is</w:t>
      </w:r>
      <w:r w:rsidRPr="00341DC2">
        <w:t xml:space="preserve"> “</w:t>
      </w:r>
      <w:r w:rsidRPr="000851B6">
        <w:t>qualified favourable</w:t>
      </w:r>
      <w:r w:rsidRPr="00341DC2">
        <w:t xml:space="preserve">” if, at the date of receipt by the Bureau of the coordination request or notification information, the </w:t>
      </w:r>
      <w:r>
        <w:t xml:space="preserve">frequency </w:t>
      </w:r>
      <w:r w:rsidRPr="00341DC2">
        <w:t>allocation concerned</w:t>
      </w:r>
      <w:r>
        <w:t xml:space="preserve"> has been adopted by the conference but</w:t>
      </w:r>
      <w:r w:rsidRPr="00341DC2">
        <w:t xml:space="preserve"> </w:t>
      </w:r>
      <w:r>
        <w:t>is</w:t>
      </w:r>
      <w:r w:rsidRPr="00341DC2">
        <w:t xml:space="preserve"> not </w:t>
      </w:r>
      <w:r>
        <w:t>yet in force</w:t>
      </w:r>
      <w:r w:rsidRPr="00341DC2">
        <w:t xml:space="preserve">. This </w:t>
      </w:r>
      <w:r w:rsidR="009C3C30">
        <w:t>f</w:t>
      </w:r>
      <w:r w:rsidRPr="00341DC2">
        <w:t xml:space="preserve">inding will permit a network subject to coordination procedure under Section II of Article 9 to coordinate its assignments and to be taken into account in the application of No. </w:t>
      </w:r>
      <w:r w:rsidRPr="004D46A3">
        <w:rPr>
          <w:b/>
          <w:bCs/>
        </w:rPr>
        <w:t>9.27</w:t>
      </w:r>
      <w:r w:rsidRPr="00341DC2">
        <w:t xml:space="preserve">, and for a network not subject to Section II of Article 9 to be processed under No. </w:t>
      </w:r>
      <w:r w:rsidRPr="004D46A3">
        <w:rPr>
          <w:b/>
          <w:bCs/>
        </w:rPr>
        <w:t>11.36</w:t>
      </w:r>
      <w:r>
        <w:t>;</w:t>
      </w:r>
    </w:p>
    <w:p w14:paraId="06FB281F" w14:textId="77777777" w:rsidR="00196F0F" w:rsidRDefault="00196F0F" w:rsidP="009C3C30">
      <w:pPr>
        <w:pStyle w:val="enumlev1"/>
      </w:pPr>
      <w:r>
        <w:t>d)</w:t>
      </w:r>
      <w:r>
        <w:tab/>
      </w:r>
      <w:r w:rsidRPr="00341DC2">
        <w:t xml:space="preserve">the </w:t>
      </w:r>
      <w:r>
        <w:t>“</w:t>
      </w:r>
      <w:r w:rsidRPr="000851B6">
        <w:t>qualified favourable</w:t>
      </w:r>
      <w:r>
        <w:t xml:space="preserve">” </w:t>
      </w:r>
      <w:r w:rsidR="009C3C30">
        <w:t>f</w:t>
      </w:r>
      <w:r w:rsidRPr="00341DC2">
        <w:t>inding will become favourable a</w:t>
      </w:r>
      <w:r>
        <w:t>fter</w:t>
      </w:r>
      <w:r w:rsidRPr="00341DC2">
        <w:t xml:space="preserve"> the date of coming into force of the </w:t>
      </w:r>
      <w:r>
        <w:t xml:space="preserve">frequency </w:t>
      </w:r>
      <w:r w:rsidRPr="00341DC2">
        <w:t>allocation</w:t>
      </w:r>
      <w:r w:rsidRPr="005D3F9B">
        <w:t xml:space="preserve"> </w:t>
      </w:r>
      <w:r>
        <w:t xml:space="preserve">and upon confirmation that the date of bringing the frequency assignment into use is actually after the date of entry into force of the subject frequency allocation. Otherwise the </w:t>
      </w:r>
      <w:r w:rsidR="009C3C30">
        <w:t>f</w:t>
      </w:r>
      <w:r>
        <w:t>inding will become unfavourable.</w:t>
      </w:r>
    </w:p>
    <w:p w14:paraId="6C3ED57D" w14:textId="77777777" w:rsidR="00196F0F" w:rsidRDefault="00196F0F" w:rsidP="00196F0F">
      <w:r>
        <w:t>Except for examination of conformity with the frequency allocation mentioned above, t</w:t>
      </w:r>
      <w:r w:rsidRPr="00A77F49">
        <w:t xml:space="preserve">he </w:t>
      </w:r>
      <w:r>
        <w:t xml:space="preserve">concerned requests for coordination and notification </w:t>
      </w:r>
      <w:r w:rsidRPr="00A77F49">
        <w:t>notice</w:t>
      </w:r>
      <w:r>
        <w:t>s shall be examined</w:t>
      </w:r>
      <w:r w:rsidRPr="00A77F49">
        <w:t xml:space="preserve"> </w:t>
      </w:r>
      <w:r>
        <w:t xml:space="preserve">under No. </w:t>
      </w:r>
      <w:r w:rsidRPr="008D1441">
        <w:rPr>
          <w:b/>
          <w:bCs/>
        </w:rPr>
        <w:t>9.36</w:t>
      </w:r>
      <w:r>
        <w:t xml:space="preserve"> and </w:t>
      </w:r>
      <w:r w:rsidRPr="00A77F49">
        <w:t xml:space="preserve">with respect to conformity with No. </w:t>
      </w:r>
      <w:r w:rsidRPr="004D46A3">
        <w:rPr>
          <w:b/>
          <w:bCs/>
        </w:rPr>
        <w:t>11.31</w:t>
      </w:r>
      <w:r w:rsidRPr="00A77F49">
        <w:t xml:space="preserve"> and No. </w:t>
      </w:r>
      <w:r w:rsidRPr="004D46A3">
        <w:rPr>
          <w:b/>
          <w:bCs/>
        </w:rPr>
        <w:t>11.32</w:t>
      </w:r>
      <w:r w:rsidRPr="00A77F49">
        <w:t xml:space="preserve"> </w:t>
      </w:r>
      <w:r>
        <w:t>using the conditions a</w:t>
      </w:r>
      <w:r w:rsidRPr="00A77F49">
        <w:t xml:space="preserve">pplying to </w:t>
      </w:r>
      <w:r>
        <w:t xml:space="preserve">the </w:t>
      </w:r>
      <w:r w:rsidRPr="00805CE7">
        <w:t>new or update</w:t>
      </w:r>
      <w:r>
        <w:t xml:space="preserve"> frequency</w:t>
      </w:r>
      <w:r w:rsidRPr="00805CE7">
        <w:t xml:space="preserve"> allocation</w:t>
      </w:r>
      <w:r w:rsidRPr="00A77F49">
        <w:t xml:space="preserve"> </w:t>
      </w:r>
      <w:r>
        <w:t xml:space="preserve">on the date of entry into force of this allocation </w:t>
      </w:r>
      <w:r w:rsidRPr="00A77F49">
        <w:t xml:space="preserve">as </w:t>
      </w:r>
      <w:r>
        <w:t>adopted</w:t>
      </w:r>
      <w:r w:rsidRPr="00A77F49">
        <w:t xml:space="preserve"> by </w:t>
      </w:r>
      <w:r>
        <w:t>the WRC (e.g. power limits, coordination criteria…).</w:t>
      </w:r>
    </w:p>
    <w:p w14:paraId="4190FBBF" w14:textId="77777777" w:rsidR="00E67915" w:rsidRPr="005909E8" w:rsidRDefault="002C30FC" w:rsidP="002C30FC">
      <w:pPr>
        <w:pStyle w:val="Heading1"/>
        <w:jc w:val="center"/>
      </w:pPr>
      <w:r>
        <w:t>_____________</w:t>
      </w:r>
    </w:p>
    <w:p w14:paraId="7216B184" w14:textId="77777777" w:rsidR="00E67915" w:rsidRPr="005909E8" w:rsidRDefault="00E67915" w:rsidP="00E36754">
      <w:pPr>
        <w:pStyle w:val="enumlev1"/>
      </w:pPr>
    </w:p>
    <w:sectPr w:rsidR="00E67915" w:rsidRPr="005909E8" w:rsidSect="00196F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B3BD65" w14:textId="77777777" w:rsidR="000F264F" w:rsidRDefault="000F264F">
      <w:r>
        <w:separator/>
      </w:r>
    </w:p>
  </w:endnote>
  <w:endnote w:type="continuationSeparator" w:id="0">
    <w:p w14:paraId="0DBAFFD0" w14:textId="77777777" w:rsidR="000F264F" w:rsidRDefault="000F2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D26A3" w14:textId="77777777" w:rsidR="00804ECE" w:rsidRDefault="00804E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F58044" w14:textId="77777777" w:rsidR="00804ECE" w:rsidRDefault="00804E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F3628C" w14:textId="77777777" w:rsidR="00804ECE" w:rsidRDefault="00804E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4FAB4" w14:textId="77777777" w:rsidR="000F264F" w:rsidRDefault="000F264F">
      <w:r>
        <w:rPr>
          <w:b/>
        </w:rPr>
        <w:t>_______________</w:t>
      </w:r>
    </w:p>
  </w:footnote>
  <w:footnote w:type="continuationSeparator" w:id="0">
    <w:p w14:paraId="3CD66DB1" w14:textId="77777777" w:rsidR="000F264F" w:rsidRDefault="000F264F">
      <w:r>
        <w:continuationSeparator/>
      </w:r>
    </w:p>
  </w:footnote>
  <w:footnote w:id="1">
    <w:p w14:paraId="26AFDAA0" w14:textId="77777777" w:rsidR="00196F0F" w:rsidRPr="007B7F24" w:rsidRDefault="00196F0F" w:rsidP="00196F0F">
      <w:pPr>
        <w:pStyle w:val="FootnoteText"/>
        <w:rPr>
          <w:lang w:val="en-US"/>
        </w:rPr>
      </w:pPr>
      <w:r>
        <w:rPr>
          <w:rStyle w:val="FootnoteReference"/>
        </w:rPr>
        <w:t>1</w:t>
      </w:r>
      <w:r>
        <w:t xml:space="preserve"> </w:t>
      </w:r>
      <w:r w:rsidRPr="007B7F24">
        <w:rPr>
          <w:lang w:val="en-US"/>
        </w:rPr>
        <w:tab/>
      </w:r>
      <w:r>
        <w:t>This Rule of Procedure refers to Article 9 and 11 of the Radio Regulations.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196F0F" w14:paraId="53B3E3E5" w14:textId="77777777" w:rsidTr="00196F0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6BA0DF3" w14:textId="77777777" w:rsidR="00196F0F" w:rsidRDefault="00196F0F" w:rsidP="00196F0F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B5EDE7" w14:textId="77777777" w:rsidR="00196F0F" w:rsidRDefault="00196F0F" w:rsidP="00196F0F">
          <w:pPr>
            <w:pStyle w:val="HeaderRegProc"/>
            <w:rPr>
              <w:lang w:val="en-US"/>
            </w:rPr>
          </w:pPr>
          <w:r w:rsidRPr="00196F0F">
            <w:rPr>
              <w:lang w:val="en-US"/>
            </w:rPr>
            <w:t>Effective date of entry in force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74B3D3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124F86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2377B4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 9</w:t>
          </w:r>
        </w:p>
      </w:tc>
    </w:tr>
  </w:tbl>
  <w:p w14:paraId="373AA82D" w14:textId="77777777" w:rsidR="004B0044" w:rsidRDefault="004B00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2BE3E" w14:textId="77777777" w:rsidR="00804ECE" w:rsidRDefault="00804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3119"/>
      <w:gridCol w:w="1701"/>
      <w:gridCol w:w="1701"/>
    </w:tblGrid>
    <w:tr w:rsidR="00196F0F" w14:paraId="2F00E7B2" w14:textId="77777777" w:rsidTr="00E1619C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B039830" w14:textId="77777777" w:rsidR="00196F0F" w:rsidRDefault="00196F0F" w:rsidP="00196F0F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311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F25662" w14:textId="77777777" w:rsidR="00196F0F" w:rsidRDefault="00196F0F" w:rsidP="00196F0F">
          <w:pPr>
            <w:pStyle w:val="HeaderRegProc"/>
            <w:rPr>
              <w:lang w:val="en-US"/>
            </w:rPr>
          </w:pPr>
          <w:r w:rsidRPr="00196F0F">
            <w:rPr>
              <w:lang w:val="en-US"/>
            </w:rPr>
            <w:t>Effective date of entry in force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E8CB7C" w14:textId="77777777" w:rsidR="00196F0F" w:rsidRDefault="00196F0F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9C3C3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D344BD" w14:textId="485DB7E7" w:rsidR="00196F0F" w:rsidRDefault="003E0773" w:rsidP="00196F0F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04ECE">
            <w:rPr>
              <w:lang w:val="fr-CH"/>
            </w:rPr>
            <w:t xml:space="preserve"> </w:t>
          </w:r>
          <w:r>
            <w:rPr>
              <w:lang w:val="fr-CH"/>
            </w:rPr>
            <w:t>-</w:t>
          </w:r>
        </w:p>
      </w:tc>
    </w:tr>
  </w:tbl>
  <w:p w14:paraId="50C553C1" w14:textId="77777777" w:rsidR="004B0044" w:rsidRDefault="004B004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747"/>
    <w:rsid w:val="000851B6"/>
    <w:rsid w:val="000F264F"/>
    <w:rsid w:val="00124F86"/>
    <w:rsid w:val="00196F0F"/>
    <w:rsid w:val="001D56EA"/>
    <w:rsid w:val="002B0706"/>
    <w:rsid w:val="002C18EA"/>
    <w:rsid w:val="002C30FC"/>
    <w:rsid w:val="00305A8C"/>
    <w:rsid w:val="003809B6"/>
    <w:rsid w:val="003B7F8A"/>
    <w:rsid w:val="003C7BCE"/>
    <w:rsid w:val="003D5CCB"/>
    <w:rsid w:val="003E0773"/>
    <w:rsid w:val="003E610A"/>
    <w:rsid w:val="00404E18"/>
    <w:rsid w:val="00450730"/>
    <w:rsid w:val="004B0044"/>
    <w:rsid w:val="00503E9E"/>
    <w:rsid w:val="005909E8"/>
    <w:rsid w:val="00642765"/>
    <w:rsid w:val="006C4065"/>
    <w:rsid w:val="007054AB"/>
    <w:rsid w:val="007A126D"/>
    <w:rsid w:val="007C70D7"/>
    <w:rsid w:val="00804ECE"/>
    <w:rsid w:val="00814A83"/>
    <w:rsid w:val="00840D85"/>
    <w:rsid w:val="008E7106"/>
    <w:rsid w:val="00910747"/>
    <w:rsid w:val="009970C1"/>
    <w:rsid w:val="009C3C30"/>
    <w:rsid w:val="00A20629"/>
    <w:rsid w:val="00A25E08"/>
    <w:rsid w:val="00C27798"/>
    <w:rsid w:val="00C80872"/>
    <w:rsid w:val="00CF345E"/>
    <w:rsid w:val="00DB3204"/>
    <w:rsid w:val="00E06BFA"/>
    <w:rsid w:val="00E36754"/>
    <w:rsid w:val="00E67915"/>
    <w:rsid w:val="00E8606A"/>
    <w:rsid w:val="00ED3C36"/>
    <w:rsid w:val="00FB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602AF086"/>
  <w15:docId w15:val="{1C44F4BA-D7A5-4B68-AB4D-CC5F80014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link w:val="HeaderChar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"/>
    <w:basedOn w:val="DefaultParagraphFont"/>
    <w:rPr>
      <w:position w:val="6"/>
      <w:sz w:val="16"/>
    </w:rPr>
  </w:style>
  <w:style w:type="paragraph" w:styleId="FootnoteText">
    <w:name w:val="footnote tex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rtref0">
    <w:name w:val="Art#_ref"/>
    <w:basedOn w:val="DefaultParagraphFont"/>
  </w:style>
  <w:style w:type="character" w:customStyle="1" w:styleId="Appref0">
    <w:name w:val="App#_ref"/>
    <w:basedOn w:val="DefaultParagraphFont"/>
  </w:style>
  <w:style w:type="character" w:customStyle="1" w:styleId="Resref0">
    <w:name w:val="Res#_ref"/>
    <w:basedOn w:val="DefaultParagraphFont"/>
  </w:style>
  <w:style w:type="paragraph" w:customStyle="1" w:styleId="Char">
    <w:name w:val="Char"/>
    <w:basedOn w:val="Normal"/>
    <w:rsid w:val="00910747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 w:val="20"/>
      <w:lang w:val="fr-FR" w:eastAsia="zh-CN"/>
    </w:rPr>
  </w:style>
  <w:style w:type="character" w:styleId="Hyperlink">
    <w:name w:val="Hyperlink"/>
    <w:basedOn w:val="DefaultParagraphFont"/>
    <w:rsid w:val="00404E18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E67915"/>
    <w:rPr>
      <w:b/>
      <w:sz w:val="28"/>
      <w:lang w:val="en-GB" w:eastAsia="en-US"/>
    </w:rPr>
  </w:style>
  <w:style w:type="character" w:customStyle="1" w:styleId="HeaderChar">
    <w:name w:val="Header Char"/>
    <w:aliases w:val="encabezado Char"/>
    <w:basedOn w:val="DefaultParagraphFont"/>
    <w:link w:val="Header"/>
    <w:rsid w:val="00E67915"/>
    <w:rPr>
      <w:sz w:val="24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791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ammouni\AppData\Roaming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92B1B-7A86-4E6E-8487-FCEE6E3D3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15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2005</vt:lpstr>
    </vt:vector>
  </TitlesOfParts>
  <Manager>CP--107223/DD</Manager>
  <Company>ITU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2005</dc:title>
  <dc:subject>Receivability</dc:subject>
  <dc:creator>Composition des Publications</dc:creator>
  <cp:keywords>Folios: 1 - 6  (blanc)</cp:keywords>
  <dc:description>Edition 2009:   10.02.2009/SdN_x000d_
Corr.:  23.02.2009/DD  (dict. ok)_x000d_
Corr. ULT:   27.02.2009/DD</dc:description>
  <cp:lastModifiedBy>Al-Yammouni, Hala</cp:lastModifiedBy>
  <cp:revision>11</cp:revision>
  <cp:lastPrinted>2014-08-13T14:08:00Z</cp:lastPrinted>
  <dcterms:created xsi:type="dcterms:W3CDTF">2016-06-06T06:48:00Z</dcterms:created>
  <dcterms:modified xsi:type="dcterms:W3CDTF">2021-05-10T14:39:00Z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