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F8E37" w14:textId="77777777" w:rsidR="00F84312" w:rsidRPr="001D138F" w:rsidRDefault="00F84312">
      <w:pPr>
        <w:pStyle w:val="Heading1"/>
        <w:spacing w:before="0"/>
        <w:ind w:left="0" w:firstLine="0"/>
        <w:jc w:val="center"/>
      </w:pPr>
      <w:r w:rsidRPr="001D138F">
        <w:t>INTRODUCTION</w:t>
      </w:r>
    </w:p>
    <w:p w14:paraId="0BBFC187" w14:textId="77777777" w:rsidR="00F84312" w:rsidRPr="001D138F" w:rsidRDefault="00F84312">
      <w:pPr>
        <w:pStyle w:val="Heading1"/>
      </w:pPr>
      <w:proofErr w:type="gramStart"/>
      <w:r w:rsidRPr="001D138F">
        <w:t>PART  A</w:t>
      </w:r>
      <w:proofErr w:type="gramEnd"/>
    </w:p>
    <w:p w14:paraId="56702119" w14:textId="77777777" w:rsidR="00F84312" w:rsidRPr="001D138F" w:rsidRDefault="00F84312">
      <w:r w:rsidRPr="001D138F">
        <w:t>Part A of the Rules of Procedure is related to the specific provisions of the Radio Regulations and Regional Agreements. The following sections are included:</w:t>
      </w:r>
    </w:p>
    <w:p w14:paraId="26B299B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A1 </w:t>
      </w:r>
      <w:r w:rsidR="001D138F" w:rsidRPr="001D138F">
        <w:rPr>
          <w:b/>
        </w:rPr>
        <w:t>–</w:t>
      </w:r>
      <w:r w:rsidRPr="001D138F">
        <w:rPr>
          <w:b/>
        </w:rPr>
        <w:t xml:space="preserve"> RR</w:t>
      </w:r>
      <w:r w:rsidRPr="001D138F">
        <w:t>:</w:t>
      </w:r>
      <w:r w:rsidRPr="001D138F">
        <w:tab/>
        <w:t>Radio Regulations (Articles, Appendices and Resolutions).</w:t>
      </w:r>
    </w:p>
    <w:p w14:paraId="2CC0E9D0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A2 </w:t>
      </w:r>
      <w:r w:rsidR="001D138F" w:rsidRPr="001D138F">
        <w:rPr>
          <w:b/>
        </w:rPr>
        <w:t>–</w:t>
      </w:r>
      <w:r w:rsidRPr="001D138F">
        <w:rPr>
          <w:b/>
        </w:rPr>
        <w:t xml:space="preserve"> ST61</w:t>
      </w:r>
      <w:r w:rsidRPr="001D138F">
        <w:t>:</w:t>
      </w:r>
      <w:r w:rsidRPr="001D138F">
        <w:tab/>
        <w:t>Rules concerning the Regional Agreement for the European Broadcasting Area concerning the use of frequencies by the broadcasting service in the VHF and UHF bands (Stockholm,</w:t>
      </w:r>
      <w:r w:rsidR="001D138F" w:rsidRPr="001D138F">
        <w:t xml:space="preserve"> </w:t>
      </w:r>
      <w:r w:rsidRPr="001D138F">
        <w:t>1961) (ST61).</w:t>
      </w:r>
    </w:p>
    <w:p w14:paraId="7FD697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A3 </w:t>
      </w:r>
      <w:r w:rsidR="001D138F" w:rsidRPr="001D138F">
        <w:rPr>
          <w:b/>
        </w:rPr>
        <w:t>–</w:t>
      </w:r>
      <w:r w:rsidRPr="001D138F">
        <w:rPr>
          <w:b/>
        </w:rPr>
        <w:t xml:space="preserve"> GE75</w:t>
      </w:r>
      <w:r w:rsidRPr="001D138F">
        <w:t>:</w:t>
      </w:r>
      <w:r w:rsidRPr="001D138F">
        <w:tab/>
        <w:t>Rules concerning the Regional Agreement concerning the use by the broadcasting service of frequencies in the medium fre</w:t>
      </w:r>
      <w:r w:rsidRPr="001D138F">
        <w:softHyphen/>
        <w:t>quency bands in Regions 1 and 3 and in the low frequency bands in Region 1 (Geneva, 1975) (GE75).</w:t>
      </w:r>
    </w:p>
    <w:p w14:paraId="6682838C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A4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RJ81</w:t>
      </w:r>
      <w:r w:rsidRPr="001D138F">
        <w:t>:</w:t>
      </w:r>
      <w:r w:rsidRPr="001D138F">
        <w:tab/>
        <w:t>Rules concerning the Regional Agreement for the use of the band 535 to 1</w:t>
      </w:r>
      <w:r w:rsidRPr="001D138F">
        <w:rPr>
          <w:rFonts w:ascii="Tms Rmn" w:hAnsi="Tms Rmn"/>
          <w:sz w:val="12"/>
        </w:rPr>
        <w:t> </w:t>
      </w:r>
      <w:r w:rsidRPr="001D138F">
        <w:t>605 kHz in Region 2 by the broadcasting service (Rio de Janeiro, 1981) (RJ81).</w:t>
      </w:r>
    </w:p>
    <w:p w14:paraId="37FD9044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A5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GE84</w:t>
      </w:r>
      <w:r w:rsidRPr="001D138F">
        <w:t>:</w:t>
      </w:r>
      <w:r w:rsidRPr="001D138F">
        <w:tab/>
        <w:t>Rules concerning the Regional Agreement relating to the use of the band 87.5-108 MHz for FM sound broadcasting (Geneva, 1984) (GE84).</w:t>
      </w:r>
    </w:p>
    <w:p w14:paraId="1594449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A6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GE89</w:t>
      </w:r>
      <w:r w:rsidRPr="001D138F">
        <w:t>:</w:t>
      </w:r>
      <w:r w:rsidRPr="001D138F">
        <w:tab/>
        <w:t>Rules concerning the Regional Agreement relating to the planning of VHF/UHF television broadcasting in the African Broadcasting Area and neighbouring countries (Geneva, 1989) (GE89).</w:t>
      </w:r>
    </w:p>
    <w:p w14:paraId="74181E0F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A7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RJ88</w:t>
      </w:r>
      <w:r w:rsidRPr="001D138F">
        <w:t>:</w:t>
      </w:r>
      <w:r w:rsidRPr="001D138F">
        <w:tab/>
        <w:t>Rules concerning Resolution 1 of the RJ88 Conference and Article 6 of the RJ88 Agreement.</w:t>
      </w:r>
    </w:p>
    <w:p w14:paraId="5C46110B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A8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GE85-R1</w:t>
      </w:r>
      <w:r w:rsidRPr="001D138F">
        <w:t>:</w:t>
      </w:r>
      <w:r w:rsidRPr="001D138F">
        <w:tab/>
        <w:t xml:space="preserve">Rules concerning the Regional Agreement concerning the </w:t>
      </w:r>
      <w:proofErr w:type="gramStart"/>
      <w:r w:rsidRPr="001D138F">
        <w:t>MF</w:t>
      </w:r>
      <w:r w:rsidR="001D138F" w:rsidRPr="001D138F">
        <w:t>  </w:t>
      </w:r>
      <w:r w:rsidRPr="001D138F">
        <w:t>maritime</w:t>
      </w:r>
      <w:proofErr w:type="gramEnd"/>
      <w:r w:rsidRPr="001D138F">
        <w:t xml:space="preserve"> mobile and aeronautical radionavigation services (Region 1) (Geneva, 1985) (GE85-MM-R1).</w:t>
      </w:r>
    </w:p>
    <w:p w14:paraId="0708CCE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A9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GE85-EMA</w:t>
      </w:r>
      <w:r w:rsidRPr="001D138F">
        <w:t>:</w:t>
      </w:r>
      <w:r w:rsidRPr="001D138F">
        <w:tab/>
        <w:t>Rules concerning the Regional Agreement concerning the planning of the maritime radionavigation service (radio</w:t>
      </w:r>
      <w:r w:rsidRPr="001D138F">
        <w:softHyphen/>
        <w:t>beacons) in the European Maritime Area, (Geneva, 1985) (GE85</w:t>
      </w:r>
      <w:r w:rsidR="001D138F" w:rsidRPr="001D138F">
        <w:noBreakHyphen/>
      </w:r>
      <w:r w:rsidRPr="001D138F">
        <w:t>EMA).</w:t>
      </w:r>
    </w:p>
    <w:p w14:paraId="77A9A80F" w14:textId="77777777" w:rsidR="00736032" w:rsidRPr="001D138F" w:rsidRDefault="0073603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tab/>
      </w:r>
      <w:r w:rsidRPr="001D138F">
        <w:rPr>
          <w:b/>
        </w:rPr>
        <w:t xml:space="preserve">A10 </w:t>
      </w:r>
      <w:r w:rsidR="001D138F" w:rsidRPr="001D138F">
        <w:rPr>
          <w:b/>
        </w:rPr>
        <w:t>–</w:t>
      </w:r>
      <w:r w:rsidRPr="001D138F">
        <w:rPr>
          <w:b/>
        </w:rPr>
        <w:t xml:space="preserve"> GE06:</w:t>
      </w:r>
      <w:r w:rsidRPr="001D138F">
        <w:rPr>
          <w:b/>
        </w:rPr>
        <w:tab/>
      </w:r>
      <w:r w:rsidRPr="001D138F">
        <w:rPr>
          <w:bCs/>
          <w:color w:val="000000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="001D138F" w:rsidRPr="001D138F">
        <w:rPr>
          <w:bCs/>
          <w:color w:val="000000"/>
        </w:rPr>
        <w:t>.</w:t>
      </w:r>
    </w:p>
    <w:p w14:paraId="42A1481A" w14:textId="77777777" w:rsidR="00F84312" w:rsidRPr="001D138F" w:rsidRDefault="003F75AE" w:rsidP="001D138F">
      <w:pPr>
        <w:pStyle w:val="Heading1"/>
      </w:pPr>
      <w:r w:rsidRPr="001D138F">
        <w:br w:type="page"/>
      </w:r>
      <w:proofErr w:type="gramStart"/>
      <w:r w:rsidR="00F84312" w:rsidRPr="001D138F">
        <w:lastRenderedPageBreak/>
        <w:t>PART  B</w:t>
      </w:r>
      <w:proofErr w:type="gramEnd"/>
    </w:p>
    <w:p w14:paraId="4057E2A4" w14:textId="77777777" w:rsidR="00F84312" w:rsidRPr="001D138F" w:rsidRDefault="00F84312">
      <w:r w:rsidRPr="001D138F">
        <w:t>Part B of the Rules of Procedure contains rules applicable to complex technical procedures of a large scope not directly related to one unique provision of the Radio Regulations or Regional Agreements. The following sections are included:</w:t>
      </w:r>
    </w:p>
    <w:p w14:paraId="069E7537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B1</w:t>
      </w:r>
      <w:r w:rsidRPr="001D138F">
        <w:t>:</w:t>
      </w:r>
      <w:r w:rsidRPr="001D138F">
        <w:tab/>
        <w:t>(Not used)</w:t>
      </w:r>
    </w:p>
    <w:p w14:paraId="080364F9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B2</w:t>
      </w:r>
      <w:r w:rsidRPr="001D138F">
        <w:t>:</w:t>
      </w:r>
      <w:r w:rsidRPr="001D138F">
        <w:tab/>
        <w:t>(Not used)</w:t>
      </w:r>
    </w:p>
    <w:p w14:paraId="05455B75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B3</w:t>
      </w:r>
      <w:r w:rsidRPr="001D138F">
        <w:t>:</w:t>
      </w:r>
      <w:r w:rsidRPr="001D138F">
        <w:tab/>
        <w:t>Rules concerning methodology for calculation of probability of harmful interference between space networks (</w:t>
      </w:r>
      <w:r w:rsidRPr="001D138F">
        <w:rPr>
          <w:i/>
          <w:iCs/>
        </w:rPr>
        <w:t>C</w:t>
      </w:r>
      <w:r w:rsidRPr="001D138F">
        <w:t>/</w:t>
      </w:r>
      <w:r w:rsidRPr="001D138F">
        <w:rPr>
          <w:i/>
          <w:iCs/>
        </w:rPr>
        <w:t>I</w:t>
      </w:r>
      <w:r w:rsidRPr="001D138F">
        <w:t xml:space="preserve"> ratios).</w:t>
      </w:r>
    </w:p>
    <w:p w14:paraId="50D2576B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B4</w:t>
      </w:r>
      <w:r w:rsidRPr="001D138F">
        <w:t>:</w:t>
      </w:r>
      <w:r w:rsidRPr="001D138F">
        <w:tab/>
        <w:t>Rules concerning calculation methodology and technical standards for determining the affected administrations and for assessing the probability of harmful interference in the bands between 9 kHz and 28</w:t>
      </w:r>
      <w:r w:rsidRPr="001D138F">
        <w:rPr>
          <w:rFonts w:ascii="Tms Rmn" w:hAnsi="Tms Rmn"/>
          <w:sz w:val="12"/>
        </w:rPr>
        <w:t> </w:t>
      </w:r>
      <w:r w:rsidRPr="001D138F">
        <w:t>000 kHz.</w:t>
      </w:r>
    </w:p>
    <w:p w14:paraId="30707B63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B5</w:t>
      </w:r>
      <w:r w:rsidRPr="001D138F">
        <w:t>:</w:t>
      </w:r>
      <w:r w:rsidRPr="001D138F">
        <w:tab/>
        <w:t xml:space="preserve">Rules concerning criteria for applying the provisions of No. </w:t>
      </w:r>
      <w:r w:rsidRPr="001D138F">
        <w:rPr>
          <w:rStyle w:val="Artref0"/>
          <w:b/>
          <w:bCs/>
          <w:color w:val="000000"/>
        </w:rPr>
        <w:t>9.36</w:t>
      </w:r>
      <w:r w:rsidRPr="001D138F">
        <w:t xml:space="preserve"> to a frequency assignment in the bands governed by No. </w:t>
      </w:r>
      <w:r w:rsidRPr="001D138F">
        <w:rPr>
          <w:rStyle w:val="Artref0"/>
          <w:b/>
          <w:bCs/>
          <w:color w:val="000000"/>
        </w:rPr>
        <w:t>5.92</w:t>
      </w:r>
      <w:r w:rsidRPr="001D138F">
        <w:t>.</w:t>
      </w:r>
    </w:p>
    <w:p w14:paraId="663A64CC" w14:textId="15D97E90" w:rsidR="00F84312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B6</w:t>
      </w:r>
      <w:r w:rsidRPr="001D138F">
        <w:t>:</w:t>
      </w:r>
      <w:r w:rsidRPr="001D138F">
        <w:tab/>
      </w:r>
      <w:r w:rsidR="003D6A75">
        <w:t xml:space="preserve">Rules concerning criteria for applying the provisions of No. </w:t>
      </w:r>
      <w:r w:rsidR="003D6A75" w:rsidRPr="003D6A75">
        <w:rPr>
          <w:b/>
          <w:bCs/>
        </w:rPr>
        <w:t>9.36</w:t>
      </w:r>
      <w:r w:rsidR="003D6A75">
        <w:t xml:space="preserve"> </w:t>
      </w:r>
      <w:r w:rsidR="003D6A75">
        <w:br/>
        <w:t xml:space="preserve">to a frequency assignment in the terrestrial services whose allocation or identification is governed by Nos. </w:t>
      </w:r>
      <w:r w:rsidR="003D6A75" w:rsidRPr="003D6A75">
        <w:rPr>
          <w:b/>
          <w:bCs/>
        </w:rPr>
        <w:t>5.292</w:t>
      </w:r>
      <w:r w:rsidR="003D6A75">
        <w:t xml:space="preserve">, </w:t>
      </w:r>
      <w:r w:rsidR="003D6A75" w:rsidRPr="003D6A75">
        <w:rPr>
          <w:b/>
          <w:bCs/>
        </w:rPr>
        <w:t>5.293</w:t>
      </w:r>
      <w:r w:rsidR="003D6A75">
        <w:t xml:space="preserve">, </w:t>
      </w:r>
      <w:r w:rsidR="003D6A75" w:rsidRPr="003D6A75">
        <w:rPr>
          <w:b/>
        </w:rPr>
        <w:t>5.295</w:t>
      </w:r>
      <w:r w:rsidR="003D6A75">
        <w:rPr>
          <w:bCs/>
        </w:rPr>
        <w:t xml:space="preserve">, </w:t>
      </w:r>
      <w:r w:rsidR="003D6A75" w:rsidRPr="003D6A75">
        <w:rPr>
          <w:b/>
        </w:rPr>
        <w:t>5.296A</w:t>
      </w:r>
      <w:r w:rsidR="003D6A75">
        <w:rPr>
          <w:bCs/>
        </w:rPr>
        <w:t xml:space="preserve">, </w:t>
      </w:r>
      <w:r w:rsidR="003D6A75" w:rsidRPr="003D6A75">
        <w:rPr>
          <w:b/>
          <w:bCs/>
        </w:rPr>
        <w:t>5.297</w:t>
      </w:r>
      <w:r w:rsidR="003D6A75">
        <w:t xml:space="preserve">, </w:t>
      </w:r>
      <w:r w:rsidR="003D6A75" w:rsidRPr="003D6A75">
        <w:rPr>
          <w:b/>
        </w:rPr>
        <w:t>5.308</w:t>
      </w:r>
      <w:r w:rsidR="003D6A75">
        <w:rPr>
          <w:bCs/>
        </w:rPr>
        <w:t xml:space="preserve">, </w:t>
      </w:r>
      <w:r w:rsidR="003D6A75" w:rsidRPr="003D6A75">
        <w:rPr>
          <w:b/>
        </w:rPr>
        <w:t>5.308A</w:t>
      </w:r>
      <w:r w:rsidR="003D6A75">
        <w:rPr>
          <w:bCs/>
        </w:rPr>
        <w:t xml:space="preserve">, </w:t>
      </w:r>
      <w:r w:rsidR="003D6A75" w:rsidRPr="003D6A75">
        <w:rPr>
          <w:b/>
          <w:bCs/>
        </w:rPr>
        <w:t>5.309</w:t>
      </w:r>
      <w:r w:rsidR="003D6A75">
        <w:t xml:space="preserve">, </w:t>
      </w:r>
      <w:r w:rsidR="003D6A75" w:rsidRPr="003D6A75">
        <w:rPr>
          <w:b/>
          <w:bCs/>
        </w:rPr>
        <w:t>5.323</w:t>
      </w:r>
      <w:r w:rsidR="003D6A75">
        <w:t xml:space="preserve">, </w:t>
      </w:r>
      <w:r w:rsidR="003D6A75" w:rsidRPr="003D6A75">
        <w:rPr>
          <w:b/>
          <w:bCs/>
        </w:rPr>
        <w:t>5.325</w:t>
      </w:r>
      <w:r w:rsidR="003D6A75">
        <w:t xml:space="preserve">, </w:t>
      </w:r>
      <w:r w:rsidR="003D6A75" w:rsidRPr="003D6A75">
        <w:rPr>
          <w:b/>
          <w:bCs/>
        </w:rPr>
        <w:t>5.326</w:t>
      </w:r>
      <w:r w:rsidR="003D6A75">
        <w:t xml:space="preserve">, </w:t>
      </w:r>
      <w:r w:rsidR="003D6A75" w:rsidRPr="003D6A75">
        <w:rPr>
          <w:b/>
          <w:bCs/>
        </w:rPr>
        <w:t>5.341A</w:t>
      </w:r>
      <w:r w:rsidR="003D6A75">
        <w:t xml:space="preserve">, </w:t>
      </w:r>
      <w:r w:rsidR="003D6A75" w:rsidRPr="003D6A75">
        <w:rPr>
          <w:b/>
          <w:bCs/>
        </w:rPr>
        <w:t>5.341C</w:t>
      </w:r>
      <w:r w:rsidR="003D6A75">
        <w:t xml:space="preserve">, </w:t>
      </w:r>
      <w:r w:rsidR="003D6A75" w:rsidRPr="003D6A75">
        <w:rPr>
          <w:b/>
          <w:bCs/>
        </w:rPr>
        <w:t>5.346</w:t>
      </w:r>
      <w:r w:rsidR="003D6A75">
        <w:t xml:space="preserve">, </w:t>
      </w:r>
      <w:r w:rsidR="003D6A75" w:rsidRPr="003D6A75">
        <w:rPr>
          <w:b/>
          <w:bCs/>
        </w:rPr>
        <w:t>5.346A</w:t>
      </w:r>
      <w:r w:rsidR="003D6A75">
        <w:t xml:space="preserve">, </w:t>
      </w:r>
      <w:r w:rsidR="003D6A75" w:rsidRPr="003D6A75">
        <w:rPr>
          <w:b/>
          <w:bCs/>
        </w:rPr>
        <w:t>5.429D</w:t>
      </w:r>
      <w:r w:rsidR="003D6A75">
        <w:t xml:space="preserve">, </w:t>
      </w:r>
      <w:r w:rsidR="003D6A75" w:rsidRPr="003D6A75">
        <w:rPr>
          <w:b/>
          <w:bCs/>
        </w:rPr>
        <w:t>5.429F</w:t>
      </w:r>
      <w:r w:rsidR="003D6A75">
        <w:t xml:space="preserve">, </w:t>
      </w:r>
      <w:r w:rsidR="003D6A75" w:rsidRPr="003D6A75">
        <w:rPr>
          <w:b/>
          <w:bCs/>
        </w:rPr>
        <w:t>5.430A</w:t>
      </w:r>
      <w:r w:rsidR="003D6A75">
        <w:t xml:space="preserve">, </w:t>
      </w:r>
      <w:r w:rsidR="003D6A75" w:rsidRPr="003D6A75">
        <w:rPr>
          <w:b/>
          <w:bCs/>
        </w:rPr>
        <w:t>5.431A</w:t>
      </w:r>
      <w:r w:rsidR="003D6A75">
        <w:t xml:space="preserve">, </w:t>
      </w:r>
      <w:r w:rsidR="003D6A75" w:rsidRPr="003D6A75">
        <w:rPr>
          <w:b/>
          <w:bCs/>
        </w:rPr>
        <w:t>5.431B</w:t>
      </w:r>
      <w:r w:rsidR="003D6A75">
        <w:t xml:space="preserve">, </w:t>
      </w:r>
      <w:r w:rsidR="003D6A75" w:rsidRPr="003D6A75">
        <w:rPr>
          <w:b/>
          <w:bCs/>
        </w:rPr>
        <w:t>5.432B</w:t>
      </w:r>
      <w:r w:rsidR="003D6A75">
        <w:t xml:space="preserve">, </w:t>
      </w:r>
      <w:r w:rsidR="003D6A75" w:rsidRPr="003D6A75">
        <w:rPr>
          <w:b/>
          <w:bCs/>
        </w:rPr>
        <w:t>5.434</w:t>
      </w:r>
      <w:r w:rsidR="003D6A75">
        <w:rPr>
          <w:bCs/>
          <w:position w:val="6"/>
          <w:sz w:val="18"/>
          <w:szCs w:val="22"/>
          <w:lang w:val="en-US"/>
        </w:rPr>
        <w:t xml:space="preserve"> </w:t>
      </w:r>
      <w:bookmarkStart w:id="0" w:name="_Hlk46053361"/>
      <w:r w:rsidR="003D6A75">
        <w:rPr>
          <w:bCs/>
          <w:szCs w:val="22"/>
          <w:lang w:val="en-US"/>
        </w:rPr>
        <w:t xml:space="preserve">and </w:t>
      </w:r>
      <w:r w:rsidR="003D6A75" w:rsidRPr="003D6A75">
        <w:rPr>
          <w:b/>
          <w:bCs/>
          <w:szCs w:val="22"/>
          <w:lang w:val="en-US"/>
        </w:rPr>
        <w:t>5.553A</w:t>
      </w:r>
      <w:bookmarkEnd w:id="0"/>
      <w:r w:rsidRPr="003D6A75">
        <w:t>.</w:t>
      </w:r>
    </w:p>
    <w:p w14:paraId="6939CC29" w14:textId="77777777" w:rsidR="00870787" w:rsidRPr="001D138F" w:rsidRDefault="00870787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>
        <w:tab/>
      </w:r>
      <w:r w:rsidRPr="00870787">
        <w:rPr>
          <w:b/>
        </w:rPr>
        <w:t>B7</w:t>
      </w:r>
      <w:r w:rsidR="00DA61EB" w:rsidRPr="00DA61EB">
        <w:rPr>
          <w:bCs/>
        </w:rPr>
        <w:t>:</w:t>
      </w:r>
      <w:r w:rsidRPr="00870787">
        <w:rPr>
          <w:bCs/>
        </w:rPr>
        <w:tab/>
        <w:t>Rules concerning the protection ratio values and minimum values of field strength to be used in the case of digital modulation transmission systems when applying the provisions of Article 4 of the GE75 Regional Agreement</w:t>
      </w:r>
    </w:p>
    <w:p w14:paraId="695A29DE" w14:textId="77777777" w:rsidR="001D138F" w:rsidRPr="001D138F" w:rsidRDefault="001D138F" w:rsidP="001D138F"/>
    <w:p w14:paraId="430515D8" w14:textId="77777777" w:rsidR="00F84312" w:rsidRPr="001D138F" w:rsidRDefault="00F84312">
      <w:pPr>
        <w:pStyle w:val="Heading1"/>
      </w:pPr>
      <w:proofErr w:type="gramStart"/>
      <w:r w:rsidRPr="001D138F">
        <w:t>PART  C</w:t>
      </w:r>
      <w:proofErr w:type="gramEnd"/>
    </w:p>
    <w:p w14:paraId="3523E466" w14:textId="77777777"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C</w:t>
      </w:r>
      <w:r w:rsidRPr="001D138F">
        <w:t>:</w:t>
      </w:r>
      <w:r w:rsidRPr="001D138F">
        <w:tab/>
      </w:r>
      <w:r w:rsidR="00BA6EB1" w:rsidRPr="001D138F">
        <w:t>Internal arrangements and</w:t>
      </w:r>
      <w:r w:rsidRPr="001D138F">
        <w:t xml:space="preserve"> working methods of the Radio Regulations Board.</w:t>
      </w:r>
    </w:p>
    <w:p w14:paraId="3CFDEA3B" w14:textId="77777777" w:rsidR="00F84312" w:rsidRPr="001D138F" w:rsidRDefault="00F84312" w:rsidP="001D138F"/>
    <w:p w14:paraId="740FB6B7" w14:textId="77777777" w:rsidR="00F84312" w:rsidRPr="001D138F" w:rsidRDefault="00F84312" w:rsidP="001D138F"/>
    <w:p w14:paraId="19E19028" w14:textId="77777777" w:rsidR="00F84312" w:rsidRPr="001D138F" w:rsidRDefault="00F84312" w:rsidP="001D138F"/>
    <w:p w14:paraId="7D6403CD" w14:textId="77777777" w:rsidR="00F84312" w:rsidRPr="001D138F" w:rsidRDefault="00F84312" w:rsidP="001D138F"/>
    <w:p w14:paraId="00F2D54C" w14:textId="77777777" w:rsidR="00F84312" w:rsidRPr="001D138F" w:rsidRDefault="00F84312" w:rsidP="001D138F"/>
    <w:p w14:paraId="7EED87F7" w14:textId="77777777" w:rsidR="00F84312" w:rsidRPr="001D138F" w:rsidRDefault="00F84312" w:rsidP="001D138F"/>
    <w:p w14:paraId="79861A3F" w14:textId="77777777" w:rsidR="00F84312" w:rsidRPr="001D138F" w:rsidRDefault="00F84312" w:rsidP="001D138F"/>
    <w:p w14:paraId="28A9D082" w14:textId="77777777" w:rsidR="00F84312" w:rsidRPr="001D138F" w:rsidRDefault="00F84312" w:rsidP="001D138F"/>
    <w:p w14:paraId="15B0DB2E" w14:textId="77777777" w:rsidR="00F84312" w:rsidRPr="001D138F" w:rsidRDefault="00F84312">
      <w:pPr>
        <w:pStyle w:val="Heading1"/>
        <w:ind w:left="0" w:firstLine="0"/>
        <w:jc w:val="center"/>
      </w:pPr>
      <w:r w:rsidRPr="001D138F">
        <w:br w:type="page"/>
      </w:r>
      <w:r w:rsidRPr="001D138F">
        <w:lastRenderedPageBreak/>
        <w:t>PRESENTATION</w:t>
      </w:r>
    </w:p>
    <w:p w14:paraId="3CD51FEB" w14:textId="77777777" w:rsidR="00F84312" w:rsidRPr="001D138F" w:rsidRDefault="00F84312">
      <w:pPr>
        <w:pStyle w:val="Normalaftertitle"/>
      </w:pPr>
      <w:r w:rsidRPr="001D138F">
        <w:t>1</w:t>
      </w:r>
      <w:r w:rsidRPr="001D138F">
        <w:tab/>
        <w:t>The Rules are presented with direct reference to the specific paragraph or provision numbers of the Radio Regulations or Regional Agreements. The reference number preceding a Rule in the framed box on the left of the page is the provision (or paragraph) number in the Radio Regulations or Regional Agreement, for example:</w:t>
      </w:r>
    </w:p>
    <w:p w14:paraId="57365AA7" w14:textId="77777777" w:rsidR="00F84312" w:rsidRPr="001D138F" w:rsidRDefault="00F84312">
      <w:pPr>
        <w:pStyle w:val="Heading8"/>
      </w:pPr>
      <w:r w:rsidRPr="001D138F">
        <w:t>1.23</w:t>
      </w:r>
    </w:p>
    <w:p w14:paraId="5B40A22A" w14:textId="77777777" w:rsidR="00F84312" w:rsidRPr="001D138F" w:rsidRDefault="00F84312">
      <w:r w:rsidRPr="001D138F">
        <w:t>This means that the Rule following the above indication concerns the application of the Radio Regulations provision No. </w:t>
      </w:r>
      <w:r w:rsidRPr="001D138F">
        <w:rPr>
          <w:rStyle w:val="Artref0"/>
          <w:b/>
          <w:bCs/>
          <w:color w:val="000000"/>
        </w:rPr>
        <w:t>1.23</w:t>
      </w:r>
      <w:r w:rsidRPr="001D138F">
        <w:t>.</w:t>
      </w:r>
    </w:p>
    <w:p w14:paraId="599A1BDE" w14:textId="77777777" w:rsidR="00F84312" w:rsidRPr="001D138F" w:rsidRDefault="00F84312">
      <w:r w:rsidRPr="001D138F">
        <w:t>2</w:t>
      </w:r>
      <w:r w:rsidRPr="001D138F">
        <w:tab/>
        <w:t>To facilitate the reading throughout the present Rules a common system was established in the heading of each page. For example:</w:t>
      </w:r>
    </w:p>
    <w:p w14:paraId="082C0219" w14:textId="77777777" w:rsidR="001D138F" w:rsidRPr="001D138F" w:rsidRDefault="001D138F" w:rsidP="001D138F">
      <w:pPr>
        <w:spacing w:before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1D138F" w:rsidRPr="001D138F" w14:paraId="1E3E7D27" w14:textId="77777777" w:rsidTr="0061373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2285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0CF3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AECD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 xml:space="preserve">page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D739" w14:textId="77777777"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rev.-</w:t>
            </w:r>
          </w:p>
        </w:tc>
      </w:tr>
    </w:tbl>
    <w:p w14:paraId="5E53F3AB" w14:textId="77777777" w:rsidR="001D138F" w:rsidRPr="001D138F" w:rsidRDefault="001D138F" w:rsidP="001D138F">
      <w:pPr>
        <w:spacing w:before="0"/>
        <w:rPr>
          <w:rStyle w:val="Artref"/>
        </w:rPr>
      </w:pPr>
    </w:p>
    <w:p w14:paraId="55B7D14B" w14:textId="77777777" w:rsidR="00F84312" w:rsidRPr="001D138F" w:rsidRDefault="00F84312">
      <w:r w:rsidRPr="001D138F">
        <w:t xml:space="preserve">The page concerned in Part A1 is page 7 of the Chapter dealing with Article </w:t>
      </w:r>
      <w:r w:rsidRPr="001D138F">
        <w:rPr>
          <w:rStyle w:val="Artref0"/>
          <w:b/>
          <w:bCs/>
          <w:color w:val="000000"/>
        </w:rPr>
        <w:t>11</w:t>
      </w:r>
      <w:r w:rsidRPr="001D138F">
        <w:t xml:space="preserve"> of the Radio Regulations. The indication “rev.-” means that the page concerns the first version of the Rules. No revision has been </w:t>
      </w:r>
      <w:proofErr w:type="gramStart"/>
      <w:r w:rsidRPr="001D138F">
        <w:t>effected</w:t>
      </w:r>
      <w:proofErr w:type="gramEnd"/>
      <w:r w:rsidRPr="001D138F">
        <w:t>.</w:t>
      </w:r>
    </w:p>
    <w:p w14:paraId="07E512DA" w14:textId="77777777" w:rsidR="001D138F" w:rsidRPr="001D138F" w:rsidRDefault="001D138F" w:rsidP="001D138F"/>
    <w:p w14:paraId="7A10D82F" w14:textId="77777777" w:rsidR="00F84312" w:rsidRPr="001D138F" w:rsidRDefault="00F84312">
      <w:pPr>
        <w:jc w:val="center"/>
      </w:pPr>
      <w:r w:rsidRPr="001D138F">
        <w:t>____________________</w:t>
      </w:r>
    </w:p>
    <w:p w14:paraId="73427C9B" w14:textId="77777777" w:rsidR="00F84312" w:rsidRPr="001D138F" w:rsidRDefault="00F84312" w:rsidP="001D138F"/>
    <w:p w14:paraId="58B33820" w14:textId="77777777" w:rsidR="00F84312" w:rsidRPr="001D138F" w:rsidRDefault="00F84312" w:rsidP="001D138F"/>
    <w:p w14:paraId="6E7CFA2A" w14:textId="77777777" w:rsidR="00F84312" w:rsidRPr="001D138F" w:rsidRDefault="00F84312" w:rsidP="001D138F"/>
    <w:p w14:paraId="4B961598" w14:textId="77777777" w:rsidR="00F84312" w:rsidRPr="001D138F" w:rsidRDefault="00F84312" w:rsidP="001D138F"/>
    <w:p w14:paraId="57C73744" w14:textId="77777777" w:rsidR="00F84312" w:rsidRPr="001D138F" w:rsidRDefault="00F84312" w:rsidP="001D138F"/>
    <w:p w14:paraId="10A01DBF" w14:textId="77777777" w:rsidR="00F84312" w:rsidRPr="001D138F" w:rsidRDefault="00F84312" w:rsidP="001D138F"/>
    <w:p w14:paraId="69A1ED65" w14:textId="77777777" w:rsidR="00F84312" w:rsidRPr="001D138F" w:rsidRDefault="00F84312" w:rsidP="001D138F"/>
    <w:p w14:paraId="041D20B3" w14:textId="77777777" w:rsidR="00F84312" w:rsidRPr="001D138F" w:rsidRDefault="00F84312" w:rsidP="001D138F"/>
    <w:p w14:paraId="6C7C20CE" w14:textId="77777777" w:rsidR="00F84312" w:rsidRPr="001D138F" w:rsidRDefault="00F84312" w:rsidP="001D138F"/>
    <w:p w14:paraId="71037E5C" w14:textId="77777777" w:rsidR="00F84312" w:rsidRPr="001D138F" w:rsidRDefault="00F84312" w:rsidP="001D138F"/>
    <w:p w14:paraId="2E13959F" w14:textId="77777777" w:rsidR="001D138F" w:rsidRPr="001D138F" w:rsidRDefault="001D138F" w:rsidP="001D138F"/>
    <w:p w14:paraId="405FB487" w14:textId="77777777" w:rsidR="00F84312" w:rsidRPr="001D138F" w:rsidRDefault="00F84312" w:rsidP="001D138F">
      <w:pPr>
        <w:sectPr w:rsidR="00F84312" w:rsidRPr="001D138F" w:rsidSect="003F75A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29D68A0" w14:textId="77777777" w:rsidR="00F84312" w:rsidRPr="001D138F" w:rsidRDefault="00F84312" w:rsidP="001D138F"/>
    <w:sectPr w:rsidR="00F84312" w:rsidRPr="001D138F" w:rsidSect="001D138F">
      <w:headerReference w:type="even" r:id="rId12"/>
      <w:head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AFF68" w14:textId="77777777" w:rsidR="00A35643" w:rsidRDefault="00A35643">
      <w:r>
        <w:separator/>
      </w:r>
    </w:p>
  </w:endnote>
  <w:endnote w:type="continuationSeparator" w:id="0">
    <w:p w14:paraId="1F315194" w14:textId="77777777" w:rsidR="00A35643" w:rsidRDefault="00A3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EDBE" w14:textId="77777777" w:rsidR="003F7E90" w:rsidRDefault="003F7E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0D667" w14:textId="77777777" w:rsidR="003F7E90" w:rsidRDefault="003F7E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B8A41" w14:textId="77777777" w:rsidR="003F7E90" w:rsidRDefault="003F7E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383D6" w14:textId="77777777" w:rsidR="00A35643" w:rsidRDefault="00A35643">
      <w:r>
        <w:rPr>
          <w:b/>
        </w:rPr>
        <w:t>_______________</w:t>
      </w:r>
    </w:p>
  </w:footnote>
  <w:footnote w:type="continuationSeparator" w:id="0">
    <w:p w14:paraId="48472C04" w14:textId="77777777" w:rsidR="00A35643" w:rsidRDefault="00A3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292AC0D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AD1B2C" w14:textId="77777777" w:rsidR="00736032" w:rsidRDefault="00736032">
          <w:pPr>
            <w:pStyle w:val="HeaderRegProc"/>
          </w:pPr>
          <w: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86218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</w:rPr>
            <w:t>2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D7F6FA" w14:textId="4DCC6CE5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bookmarkStart w:id="1" w:name="_GoBack"/>
          <w:bookmarkEnd w:id="1"/>
          <w:proofErr w:type="gramStart"/>
          <w:r w:rsidR="003F75AE">
            <w:t>-</w:t>
          </w:r>
          <w:proofErr w:type="gramEnd"/>
        </w:p>
      </w:tc>
    </w:tr>
  </w:tbl>
  <w:p w14:paraId="6835DBA3" w14:textId="77777777" w:rsidR="00736032" w:rsidRDefault="0073603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736032" w14:paraId="0BB0160C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31CE2B" w14:textId="77777777"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BF546A" w14:textId="77777777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  <w:lang w:val="fr-CH"/>
            </w:rPr>
            <w:t>1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1625AD" w14:textId="5303A48C" w:rsidR="00736032" w:rsidRDefault="00736032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3F7E90">
            <w:rPr>
              <w:lang w:val="fr-CH"/>
            </w:rPr>
            <w:t xml:space="preserve"> </w:t>
          </w:r>
          <w:proofErr w:type="gramStart"/>
          <w:r>
            <w:t>-</w:t>
          </w:r>
          <w:proofErr w:type="gramEnd"/>
        </w:p>
      </w:tc>
    </w:tr>
  </w:tbl>
  <w:p w14:paraId="7D4A86AC" w14:textId="77777777" w:rsidR="00736032" w:rsidRDefault="00736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4A993" w14:textId="77777777" w:rsidR="003F7E90" w:rsidRDefault="003F7E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72700" w14:textId="77777777" w:rsidR="00F84312" w:rsidRDefault="00F843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969F4" w14:textId="77777777" w:rsidR="00F84312" w:rsidRDefault="00F843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12"/>
    <w:rsid w:val="00017F38"/>
    <w:rsid w:val="001D138F"/>
    <w:rsid w:val="00204269"/>
    <w:rsid w:val="00363CE5"/>
    <w:rsid w:val="003D6A75"/>
    <w:rsid w:val="003F75AE"/>
    <w:rsid w:val="003F7E90"/>
    <w:rsid w:val="0061373E"/>
    <w:rsid w:val="00660757"/>
    <w:rsid w:val="0067113F"/>
    <w:rsid w:val="00736032"/>
    <w:rsid w:val="00807D91"/>
    <w:rsid w:val="00870787"/>
    <w:rsid w:val="00984E74"/>
    <w:rsid w:val="00A35643"/>
    <w:rsid w:val="00BA6EB1"/>
    <w:rsid w:val="00C31C98"/>
    <w:rsid w:val="00C67DB1"/>
    <w:rsid w:val="00D73A98"/>
    <w:rsid w:val="00D90A6D"/>
    <w:rsid w:val="00DA084C"/>
    <w:rsid w:val="00DA61EB"/>
    <w:rsid w:val="00F47C47"/>
    <w:rsid w:val="00F84312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86427"/>
  <w15:docId w15:val="{94B86977-5FED-4393-A569-FAFE2D5B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F3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17F38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17F38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17F38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17F38"/>
    <w:pPr>
      <w:outlineLvl w:val="3"/>
    </w:pPr>
  </w:style>
  <w:style w:type="paragraph" w:styleId="Heading5">
    <w:name w:val="heading 5"/>
    <w:basedOn w:val="Heading3"/>
    <w:next w:val="Normal"/>
    <w:qFormat/>
    <w:rsid w:val="00017F38"/>
    <w:pPr>
      <w:outlineLvl w:val="4"/>
    </w:pPr>
  </w:style>
  <w:style w:type="paragraph" w:styleId="Heading6">
    <w:name w:val="heading 6"/>
    <w:basedOn w:val="Heading3"/>
    <w:next w:val="Normal"/>
    <w:qFormat/>
    <w:rsid w:val="00017F38"/>
    <w:pPr>
      <w:outlineLvl w:val="5"/>
    </w:pPr>
  </w:style>
  <w:style w:type="paragraph" w:styleId="Heading7">
    <w:name w:val="heading 7"/>
    <w:basedOn w:val="Heading3"/>
    <w:next w:val="Normal"/>
    <w:qFormat/>
    <w:rsid w:val="00017F38"/>
    <w:pPr>
      <w:outlineLvl w:val="6"/>
    </w:pPr>
  </w:style>
  <w:style w:type="paragraph" w:styleId="Heading8">
    <w:name w:val="heading 8"/>
    <w:basedOn w:val="Heading3"/>
    <w:next w:val="Normal"/>
    <w:qFormat/>
    <w:rsid w:val="00017F38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1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17F38"/>
    <w:rPr>
      <w:vertAlign w:val="superscript"/>
    </w:rPr>
  </w:style>
  <w:style w:type="paragraph" w:styleId="TOC8">
    <w:name w:val="toc 8"/>
    <w:basedOn w:val="Normal"/>
    <w:next w:val="Normal"/>
    <w:semiHidden/>
    <w:rsid w:val="00017F38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17F38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17F38"/>
    <w:pPr>
      <w:ind w:left="3913"/>
    </w:pPr>
  </w:style>
  <w:style w:type="paragraph" w:styleId="TOC4">
    <w:name w:val="toc 4"/>
    <w:basedOn w:val="TOC3"/>
    <w:next w:val="Normal"/>
    <w:semiHidden/>
    <w:rsid w:val="00017F38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17F38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17F38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17F3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17F38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17F38"/>
  </w:style>
  <w:style w:type="paragraph" w:styleId="Footer">
    <w:name w:val="footer"/>
    <w:basedOn w:val="Normal"/>
    <w:rsid w:val="00017F38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017F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017F38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7F38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17F38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17F38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17F3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17F3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17F3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17F3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17F3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17F3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17F3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17F38"/>
  </w:style>
  <w:style w:type="paragraph" w:customStyle="1" w:styleId="Figure0">
    <w:name w:val="Figure_#"/>
    <w:basedOn w:val="Table"/>
    <w:next w:val="FigureTitle"/>
    <w:rsid w:val="00017F38"/>
  </w:style>
  <w:style w:type="paragraph" w:customStyle="1" w:styleId="FigureTitle">
    <w:name w:val="Figure_Title"/>
    <w:basedOn w:val="TableTitle"/>
    <w:next w:val="Normal"/>
    <w:rsid w:val="00017F38"/>
    <w:pPr>
      <w:spacing w:after="720"/>
    </w:pPr>
  </w:style>
  <w:style w:type="paragraph" w:customStyle="1" w:styleId="Annex">
    <w:name w:val="Annex_#"/>
    <w:basedOn w:val="Art"/>
    <w:next w:val="AnnexRef"/>
    <w:rsid w:val="00017F38"/>
  </w:style>
  <w:style w:type="paragraph" w:customStyle="1" w:styleId="Art">
    <w:name w:val="Art_#"/>
    <w:basedOn w:val="Normal"/>
    <w:next w:val="Arttitle"/>
    <w:rsid w:val="00017F3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17F3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17F38"/>
    <w:pPr>
      <w:spacing w:before="360"/>
    </w:pPr>
  </w:style>
  <w:style w:type="paragraph" w:customStyle="1" w:styleId="AnnexRef">
    <w:name w:val="Annex_Ref"/>
    <w:basedOn w:val="Normal"/>
    <w:rsid w:val="00017F38"/>
    <w:pPr>
      <w:jc w:val="center"/>
    </w:pPr>
  </w:style>
  <w:style w:type="paragraph" w:customStyle="1" w:styleId="AnnexTitle">
    <w:name w:val="Annex_Title"/>
    <w:basedOn w:val="Arttitle"/>
    <w:next w:val="Normal"/>
    <w:rsid w:val="00017F38"/>
    <w:pPr>
      <w:spacing w:after="0"/>
    </w:pPr>
  </w:style>
  <w:style w:type="paragraph" w:customStyle="1" w:styleId="Appendix">
    <w:name w:val="Appendix_#"/>
    <w:basedOn w:val="Art"/>
    <w:next w:val="AppendixTitle"/>
    <w:rsid w:val="00017F38"/>
  </w:style>
  <w:style w:type="paragraph" w:customStyle="1" w:styleId="AppendixTitle">
    <w:name w:val="Appendix_Title"/>
    <w:basedOn w:val="Arttitle"/>
    <w:next w:val="Normal"/>
    <w:rsid w:val="00017F38"/>
  </w:style>
  <w:style w:type="paragraph" w:customStyle="1" w:styleId="headfoot">
    <w:name w:val="head_foot"/>
    <w:basedOn w:val="Normal"/>
    <w:next w:val="Normalaftertitle"/>
    <w:rsid w:val="00017F38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17F38"/>
  </w:style>
  <w:style w:type="paragraph" w:customStyle="1" w:styleId="RefTitle">
    <w:name w:val="Ref_Title"/>
    <w:basedOn w:val="Normal"/>
    <w:next w:val="RefText"/>
    <w:rsid w:val="00017F3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17F38"/>
  </w:style>
  <w:style w:type="paragraph" w:customStyle="1" w:styleId="listitem">
    <w:name w:val="listitem"/>
    <w:basedOn w:val="Normal"/>
    <w:rsid w:val="00017F38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17F38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17F3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17F38"/>
    <w:rPr>
      <w:sz w:val="32"/>
    </w:rPr>
  </w:style>
  <w:style w:type="paragraph" w:customStyle="1" w:styleId="Protfin">
    <w:name w:val="Prot_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17F3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17F38"/>
  </w:style>
  <w:style w:type="paragraph" w:customStyle="1" w:styleId="Restitle">
    <w:name w:val="Res_title"/>
    <w:basedOn w:val="Arttitle"/>
    <w:next w:val="headfoot"/>
    <w:rsid w:val="00017F38"/>
    <w:pPr>
      <w:spacing w:after="120"/>
    </w:pPr>
  </w:style>
  <w:style w:type="paragraph" w:customStyle="1" w:styleId="Rec">
    <w:name w:val="Rec_#"/>
    <w:basedOn w:val="Res"/>
    <w:next w:val="Rectitle"/>
    <w:rsid w:val="00017F38"/>
  </w:style>
  <w:style w:type="paragraph" w:customStyle="1" w:styleId="Rectitle">
    <w:name w:val="Rec_title"/>
    <w:basedOn w:val="Restitle"/>
    <w:next w:val="headfoot"/>
    <w:rsid w:val="00017F38"/>
  </w:style>
  <w:style w:type="paragraph" w:customStyle="1" w:styleId="Equation">
    <w:name w:val="Equation"/>
    <w:basedOn w:val="Normal"/>
    <w:rsid w:val="00017F3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17F3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17F3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17F3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17F38"/>
  </w:style>
  <w:style w:type="paragraph" w:customStyle="1" w:styleId="TableFin">
    <w:name w:val="Table_Fin"/>
    <w:basedOn w:val="Normal"/>
    <w:rsid w:val="00017F3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17F38"/>
  </w:style>
  <w:style w:type="paragraph" w:customStyle="1" w:styleId="head">
    <w:name w:val="head"/>
    <w:basedOn w:val="headfoot"/>
    <w:rsid w:val="00017F38"/>
  </w:style>
  <w:style w:type="paragraph" w:customStyle="1" w:styleId="foot">
    <w:name w:val="foot"/>
    <w:basedOn w:val="headfoot"/>
    <w:rsid w:val="00017F38"/>
  </w:style>
  <w:style w:type="character" w:customStyle="1" w:styleId="href">
    <w:name w:val="href"/>
    <w:basedOn w:val="DefaultParagraphFont"/>
    <w:rsid w:val="00017F38"/>
  </w:style>
  <w:style w:type="paragraph" w:customStyle="1" w:styleId="Section2">
    <w:name w:val="Section_2"/>
    <w:basedOn w:val="Section1"/>
    <w:rsid w:val="00017F3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17F38"/>
    <w:rPr>
      <w:b w:val="0"/>
    </w:rPr>
  </w:style>
  <w:style w:type="character" w:customStyle="1" w:styleId="Artref">
    <w:name w:val="Art#_ref"/>
    <w:basedOn w:val="DefaultParagraphFont"/>
    <w:rsid w:val="00017F38"/>
  </w:style>
  <w:style w:type="character" w:customStyle="1" w:styleId="Artdef">
    <w:name w:val="Art#_def"/>
    <w:basedOn w:val="DefaultParagraphFont"/>
    <w:rsid w:val="00017F3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017F38"/>
  </w:style>
  <w:style w:type="paragraph" w:customStyle="1" w:styleId="Call">
    <w:name w:val="Call"/>
    <w:basedOn w:val="Normal"/>
    <w:next w:val="Normal"/>
    <w:rsid w:val="00017F3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17F38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17F38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sid w:val="00017F3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017F38"/>
  </w:style>
  <w:style w:type="character" w:customStyle="1" w:styleId="Recdef">
    <w:name w:val="Rec#_def"/>
    <w:basedOn w:val="DefaultParagraphFont"/>
    <w:rsid w:val="00017F38"/>
  </w:style>
  <w:style w:type="character" w:customStyle="1" w:styleId="Recref">
    <w:name w:val="Rec#_ref"/>
    <w:basedOn w:val="DefaultParagraphFont"/>
    <w:rsid w:val="00017F38"/>
  </w:style>
  <w:style w:type="character" w:customStyle="1" w:styleId="Resdef">
    <w:name w:val="Res#_def"/>
    <w:basedOn w:val="DefaultParagraphFont"/>
    <w:rsid w:val="00017F3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017F38"/>
  </w:style>
  <w:style w:type="paragraph" w:customStyle="1" w:styleId="Line">
    <w:name w:val="Line"/>
    <w:basedOn w:val="Normal"/>
    <w:next w:val="Normal"/>
    <w:rsid w:val="00017F3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17F38"/>
    <w:rPr>
      <w:b w:val="0"/>
      <w:i/>
    </w:rPr>
  </w:style>
  <w:style w:type="paragraph" w:styleId="TableofFigures">
    <w:name w:val="table of figures"/>
    <w:basedOn w:val="Normal"/>
    <w:next w:val="Normal"/>
    <w:semiHidden/>
    <w:rsid w:val="00017F38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17F3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17F38"/>
    <w:rPr>
      <w:sz w:val="16"/>
    </w:rPr>
  </w:style>
  <w:style w:type="paragraph" w:styleId="CommentText">
    <w:name w:val="annotation text"/>
    <w:basedOn w:val="Normal"/>
    <w:semiHidden/>
    <w:rsid w:val="00017F38"/>
    <w:rPr>
      <w:sz w:val="20"/>
      <w:lang w:val="fr-FR"/>
    </w:rPr>
  </w:style>
  <w:style w:type="paragraph" w:customStyle="1" w:styleId="Tabletext0">
    <w:name w:val="Table_text"/>
    <w:basedOn w:val="Normal"/>
    <w:rsid w:val="00017F38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17F3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17F38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17F38"/>
  </w:style>
  <w:style w:type="character" w:customStyle="1" w:styleId="Apprefdef">
    <w:name w:val="App_ref_def"/>
    <w:basedOn w:val="DefaultParagraphFont"/>
    <w:rsid w:val="00017F38"/>
  </w:style>
  <w:style w:type="character" w:customStyle="1" w:styleId="Resrefdef">
    <w:name w:val="Res_ref_def"/>
    <w:basedOn w:val="DefaultParagraphFont"/>
    <w:rsid w:val="00017F38"/>
  </w:style>
  <w:style w:type="paragraph" w:customStyle="1" w:styleId="HeaderRegProc">
    <w:name w:val="Header_RegProc"/>
    <w:basedOn w:val="Normal"/>
    <w:rsid w:val="00017F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017F38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017F38"/>
  </w:style>
  <w:style w:type="character" w:customStyle="1" w:styleId="Style1">
    <w:name w:val="Style1"/>
    <w:basedOn w:val="DefaultParagraphFont"/>
    <w:rsid w:val="00017F38"/>
  </w:style>
  <w:style w:type="character" w:customStyle="1" w:styleId="Appdef0">
    <w:name w:val="App_def"/>
    <w:basedOn w:val="DefaultParagraphFont"/>
    <w:rsid w:val="00017F38"/>
    <w:rPr>
      <w:b/>
      <w:color w:val="FFCC00"/>
    </w:rPr>
  </w:style>
  <w:style w:type="character" w:customStyle="1" w:styleId="Appref0">
    <w:name w:val="App_ref"/>
    <w:basedOn w:val="DefaultParagraphFont"/>
    <w:rsid w:val="00017F38"/>
    <w:rPr>
      <w:color w:val="3366FF"/>
    </w:rPr>
  </w:style>
  <w:style w:type="character" w:customStyle="1" w:styleId="Artdef0">
    <w:name w:val="Art_def"/>
    <w:basedOn w:val="DefaultParagraphFont"/>
    <w:rsid w:val="00017F38"/>
    <w:rPr>
      <w:b/>
      <w:color w:val="FFCC00"/>
    </w:rPr>
  </w:style>
  <w:style w:type="character" w:customStyle="1" w:styleId="Artref0">
    <w:name w:val="Art_ref"/>
    <w:basedOn w:val="DefaultParagraphFont"/>
    <w:rsid w:val="00017F38"/>
    <w:rPr>
      <w:color w:val="3366FF"/>
    </w:rPr>
  </w:style>
  <w:style w:type="character" w:customStyle="1" w:styleId="Recdef0">
    <w:name w:val="Rec_def"/>
    <w:basedOn w:val="DefaultParagraphFont"/>
    <w:rsid w:val="00017F38"/>
    <w:rPr>
      <w:b/>
      <w:color w:val="FFCC00"/>
    </w:rPr>
  </w:style>
  <w:style w:type="character" w:customStyle="1" w:styleId="Recref0">
    <w:name w:val="Rec_ref"/>
    <w:basedOn w:val="DefaultParagraphFont"/>
    <w:rsid w:val="00017F38"/>
    <w:rPr>
      <w:color w:val="3366FF"/>
    </w:rPr>
  </w:style>
  <w:style w:type="character" w:customStyle="1" w:styleId="Resdef0">
    <w:name w:val="Res_def"/>
    <w:basedOn w:val="DefaultParagraphFont"/>
    <w:rsid w:val="00017F38"/>
    <w:rPr>
      <w:b/>
      <w:color w:val="FFCC00"/>
    </w:rPr>
  </w:style>
  <w:style w:type="character" w:customStyle="1" w:styleId="Resref0">
    <w:name w:val="Res_ref"/>
    <w:basedOn w:val="DefaultParagraphFont"/>
    <w:rsid w:val="00017F38"/>
    <w:rPr>
      <w:color w:val="3366FF"/>
    </w:rPr>
  </w:style>
  <w:style w:type="character" w:customStyle="1" w:styleId="Tableref0">
    <w:name w:val="Table_ref"/>
    <w:basedOn w:val="DefaultParagraphFont"/>
    <w:rsid w:val="00017F38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3D6A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22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Introduction</dc:subject>
  <dc:creator>Composition des Publications</dc:creator>
  <cp:keywords>FOLIOS:  1  -  4(bl)</cp:keywords>
  <dc:description>Edition 2009:   09.02.09: SdN_x000d_
Corr.:  23.02.2009/DD (dict. ok) _x000d_
</dc:description>
  <cp:lastModifiedBy>Al-Yammouni, Hala</cp:lastModifiedBy>
  <cp:revision>7</cp:revision>
  <cp:lastPrinted>2007-01-30T15:44:00Z</cp:lastPrinted>
  <dcterms:created xsi:type="dcterms:W3CDTF">2012-08-08T06:48:00Z</dcterms:created>
  <dcterms:modified xsi:type="dcterms:W3CDTF">2020-12-15T07:22:00Z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