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23051" w14:textId="77777777" w:rsidR="004E6E38" w:rsidRPr="00D972EF" w:rsidRDefault="004E6E38" w:rsidP="009C39CD">
      <w:pPr>
        <w:pStyle w:val="Heading1"/>
        <w:spacing w:before="300"/>
        <w:jc w:val="center"/>
        <w:rPr>
          <w:lang w:val="fr-FR"/>
        </w:rPr>
      </w:pPr>
      <w:r w:rsidRPr="00D972EF">
        <w:rPr>
          <w:lang w:val="fr-FR"/>
        </w:rPr>
        <w:t xml:space="preserve">PARTIE  </w:t>
      </w:r>
      <w:r w:rsidRPr="00D972EF">
        <w:rPr>
          <w:rStyle w:val="href"/>
          <w:lang w:val="fr-FR"/>
        </w:rPr>
        <w:t>A10</w:t>
      </w:r>
    </w:p>
    <w:p w14:paraId="57948145" w14:textId="77777777"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3, dans les bandes de fréquences 174-230 MHz et 470-862 MHz</w:t>
      </w:r>
      <w:r w:rsidRPr="00D972EF">
        <w:rPr>
          <w:lang w:val="fr-FR"/>
        </w:rPr>
        <w:br/>
        <w:t>(Genève, 2006) (GE06)</w:t>
      </w:r>
    </w:p>
    <w:p w14:paraId="773018D8" w14:textId="77777777" w:rsidR="004E6E38" w:rsidRPr="00D972EF" w:rsidRDefault="004E6E38">
      <w:pPr>
        <w:pStyle w:val="Heading1"/>
        <w:rPr>
          <w:lang w:val="fr-FR"/>
        </w:rPr>
      </w:pPr>
      <w:r w:rsidRPr="00D972EF">
        <w:rPr>
          <w:lang w:val="fr-FR"/>
        </w:rPr>
        <w:t>1</w:t>
      </w:r>
      <w:r w:rsidRPr="00D972EF">
        <w:rPr>
          <w:lang w:val="fr-FR"/>
        </w:rPr>
        <w:tab/>
        <w:t>Recevabilité des fiches de notification</w:t>
      </w:r>
    </w:p>
    <w:p w14:paraId="0B35FC13" w14:textId="77777777"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14:paraId="31142411" w14:textId="77777777" w:rsidR="000109A5" w:rsidRPr="000109A5" w:rsidRDefault="000109A5" w:rsidP="000109A5">
      <w:pPr>
        <w:pStyle w:val="Heading1"/>
        <w:rPr>
          <w:lang w:val="fr-CH"/>
        </w:rPr>
      </w:pPr>
      <w:r>
        <w:rPr>
          <w:lang w:val="fr-CH"/>
        </w:rPr>
        <w:t>2</w:t>
      </w:r>
      <w:r>
        <w:rPr>
          <w:lang w:val="fr-CH"/>
        </w:rPr>
        <w:tab/>
      </w:r>
      <w:r w:rsidRPr="000109A5">
        <w:rPr>
          <w:lang w:val="fr-CH"/>
        </w:rPr>
        <w:t>Protection d'une inscription du Plan contre les brouillages causés par une inscription du Plan d'une autre administration avec laquelle la procédure de coordination n'a pas été déclenchée en application de l'Article 4 de l'Accord GE06</w:t>
      </w:r>
    </w:p>
    <w:p w14:paraId="6CB87EBC" w14:textId="77777777" w:rsidR="000109A5" w:rsidRDefault="000109A5" w:rsidP="000109A5">
      <w:pPr>
        <w:rPr>
          <w:szCs w:val="22"/>
          <w:lang w:val="fr-CH"/>
        </w:rPr>
      </w:pPr>
      <w:r>
        <w:rPr>
          <w:lang w:val="fr-CH"/>
        </w:rPr>
        <w:t>1)</w:t>
      </w:r>
      <w:r>
        <w:rPr>
          <w:lang w:val="fr-CH"/>
        </w:rPr>
        <w:tab/>
        <w:t>Pendant la CRR-06, une analyse de compatibilité a été menée pour tous les besoins (allotissements et assignations) dans les deux sens de transmission (émission et réception). Lorsque les besoins n'étaient pas compatibles entre eux dans un sens de transmission ou dans les deux sens de transmission, les administrations concernées devaient résoudre le problème d'incompatibilité. On avait ainsi l'assurance que toutes les inscriptions du Plan, tel qu'il a été adopté par la CRR-06, avaient été évaluées et jugées compatibles par les administrations concernées.</w:t>
      </w:r>
    </w:p>
    <w:p w14:paraId="7CE2D4F9" w14:textId="77777777" w:rsidR="000109A5" w:rsidRDefault="000109A5" w:rsidP="000109A5">
      <w:pPr>
        <w:rPr>
          <w:lang w:val="fr-CH"/>
        </w:rPr>
      </w:pPr>
      <w:r>
        <w:rPr>
          <w:lang w:val="fr-CH"/>
        </w:rPr>
        <w:t>2)</w:t>
      </w:r>
      <w:r>
        <w:rPr>
          <w:lang w:val="fr-CH"/>
        </w:rPr>
        <w:tab/>
        <w:t>Depuis lors, des assignations/allotissements nouveaux ou modifiés ont été inclus dans le Plan après l'application réussie de la procédure prévue à l'Article 4 de l'Accord GE06. Toutefois, selon cette procédure, les administrations sont considérées comme affectées par un projet de modification uniquement lorsque les limites indiquées dans la Section I de l'Annexe 4 de l'Accord sont dépassées. Cette approche était destinée à déclencher la nécessité de la coordination avec la ou les administrations susceptibles d'être affectées, afin de faire en sorte que le projet de modification ne limite pas la possibilité pour d'autres administrations de recevoir des émissions de radiodiffusion sur n'importe quel canal sur leur territoire. Toutefois, l'Accord ne traite pas des brouillages qu'un projet de modification subira de la part d'assignations inscrites antérieurement dans le Plan.</w:t>
      </w:r>
    </w:p>
    <w:p w14:paraId="25115D34"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6315A66" w14:textId="77777777" w:rsidR="000109A5" w:rsidRDefault="000109A5" w:rsidP="000109A5">
      <w:pPr>
        <w:rPr>
          <w:lang w:val="fr-CH"/>
        </w:rPr>
      </w:pPr>
      <w:r>
        <w:rPr>
          <w:lang w:val="fr-CH"/>
        </w:rPr>
        <w:lastRenderedPageBreak/>
        <w:t>3)</w:t>
      </w:r>
      <w:r>
        <w:rPr>
          <w:lang w:val="fr-CH"/>
        </w:rPr>
        <w:tab/>
        <w:t>En application de l'Article 4 de l'Accord GE06, le Bureau a reçu d'une administration une demande en vue de figurer dans la liste des administrations affectées par un projet de modification du Plan, étant donné ce projet de modification risque d'être affecté par les propres inscriptions dans le Plan de cette administration. Toutefois, étant donné que le projet de modification ne dépassait pas les limites indiquées dans l'Annexe 4 de l'Accord GE06, le Bureau n'a pu accéder à cette demande.</w:t>
      </w:r>
    </w:p>
    <w:p w14:paraId="4E65D1F9" w14:textId="77777777" w:rsidR="000109A5" w:rsidRDefault="000109A5" w:rsidP="000109A5">
      <w:pPr>
        <w:rPr>
          <w:lang w:val="fr-CH"/>
        </w:rPr>
      </w:pPr>
      <w:r>
        <w:rPr>
          <w:lang w:val="fr-CH"/>
        </w:rPr>
        <w:t>4)</w:t>
      </w:r>
      <w:r>
        <w:rPr>
          <w:lang w:val="fr-CH"/>
        </w:rPr>
        <w:tab/>
        <w:t xml:space="preserve">Cette situation met en lumière le fait que les procédures de l'Accord GE06 n'exigent pas de coordonner la protection d'un projet de modification du Plan contre les brouillages qu'il pourrait subir de la part d'inscriptions déjà inscrites dans le Plan avant d'inclure ce projet de modification dans le Plan. </w:t>
      </w:r>
    </w:p>
    <w:p w14:paraId="33350BE8" w14:textId="77777777" w:rsidR="000109A5" w:rsidRDefault="000109A5" w:rsidP="000109A5">
      <w:pPr>
        <w:rPr>
          <w:lang w:val="fr-CH"/>
        </w:rPr>
      </w:pPr>
      <w:r>
        <w:rPr>
          <w:lang w:val="fr-CH"/>
        </w:rPr>
        <w:t>5)</w:t>
      </w:r>
      <w:r>
        <w:rPr>
          <w:lang w:val="fr-CH"/>
        </w:rPr>
        <w:tab/>
        <w:t xml:space="preserve">Le Comité a considéré que, en vertu d'un principe général du Règlement des radiocommunications, le statut, c'est-à-dire les droits de transmission ou les droits de protection de nouvelles assignations, découle de l'application réussie des procédures pertinentes (voir le numéro </w:t>
      </w:r>
      <w:r w:rsidRPr="00017EF1">
        <w:rPr>
          <w:b/>
          <w:bCs/>
          <w:lang w:val="fr-CH"/>
        </w:rPr>
        <w:t>8.3</w:t>
      </w:r>
      <w:r>
        <w:rPr>
          <w:lang w:val="fr-CH"/>
        </w:rPr>
        <w:t xml:space="preserve"> du RR). </w:t>
      </w:r>
    </w:p>
    <w:p w14:paraId="1516A3F1" w14:textId="77777777" w:rsidR="000109A5" w:rsidRDefault="000109A5" w:rsidP="000109A5">
      <w:pPr>
        <w:rPr>
          <w:lang w:val="fr-CH"/>
        </w:rPr>
      </w:pPr>
      <w:r>
        <w:rPr>
          <w:lang w:val="fr-CH"/>
        </w:rPr>
        <w:t>6)</w:t>
      </w:r>
      <w:r>
        <w:rPr>
          <w:lang w:val="fr-CH"/>
        </w:rPr>
        <w:tab/>
        <w:t xml:space="preserve">En l'absence de procédure pertinente dans l'Accord GE06 concernant l'acquisition de ces droits, le Comité a estimé que, sauf si les administrations concernées en conviennent autrement, une assignation conforme au Plan et inscrite dans le Fichier de référence ne peut prétendre à une protection vis-à-vis des assignations qui sont conformes au Plan, </w:t>
      </w:r>
      <w:r w:rsidRPr="004424E2">
        <w:rPr>
          <w:color w:val="000000"/>
          <w:lang w:val="fr-CH"/>
        </w:rPr>
        <w:t xml:space="preserve">indépendamment de la question de savoir si les inscriptions figurant dans le Plan sont ou non assorties </w:t>
      </w:r>
      <w:r>
        <w:rPr>
          <w:color w:val="000000"/>
          <w:lang w:val="fr-CH"/>
        </w:rPr>
        <w:t xml:space="preserve">d'observations </w:t>
      </w:r>
      <w:r w:rsidRPr="004424E2">
        <w:rPr>
          <w:color w:val="000000"/>
          <w:lang w:val="fr-CH"/>
        </w:rPr>
        <w:t>(R2, R3),</w:t>
      </w:r>
      <w:r>
        <w:rPr>
          <w:lang w:val="fr-CH"/>
        </w:rPr>
        <w:t xml:space="preserve"> correspondant à une inscription qui a été inscrite dans le Plan avant l'inscription correspondant à l'assignation pour laquelle une protection est demandée.</w:t>
      </w:r>
    </w:p>
    <w:p w14:paraId="209C142B" w14:textId="77777777" w:rsidR="000109A5" w:rsidRDefault="000109A5" w:rsidP="000109A5">
      <w:pPr>
        <w:rPr>
          <w:lang w:val="fr-CH"/>
        </w:rPr>
      </w:pPr>
      <w:r>
        <w:rPr>
          <w:lang w:val="fr-CH"/>
        </w:rPr>
        <w:t>7)</w:t>
      </w:r>
      <w:r>
        <w:rPr>
          <w:lang w:val="fr-CH"/>
        </w:rPr>
        <w:tab/>
        <w:t>Le Comité a noté que plusieurs dispositions de l'Accord GE06 indiquent que, après l'application réussie de la procédure, la nouvelle inscription aura le même statut que les autres inscriptions figurant dans le Plan. Au vu de ce qui précède, le Comité est d'avis que toutes les inscriptions dans le Plan supposent un droit de transmission pour les assignations correspondantes et un droit de protection de ces assignations vis-à-vis d'inscriptions ultérieures dans le Plan. La conformité au Plan ne signifie pas qu'il y a un droit à une protection vis-à-vis d'inscriptions antérieures dans le Plan.</w:t>
      </w:r>
    </w:p>
    <w:p w14:paraId="1EBE7144" w14:textId="77777777" w:rsidR="000109A5" w:rsidRDefault="000109A5" w:rsidP="000109A5">
      <w:pPr>
        <w:rPr>
          <w:lang w:val="fr-CH"/>
        </w:rPr>
      </w:pPr>
      <w:r>
        <w:rPr>
          <w:lang w:val="fr-CH"/>
        </w:rPr>
        <w:t>8)</w:t>
      </w:r>
      <w:r>
        <w:rPr>
          <w:lang w:val="fr-CH"/>
        </w:rPr>
        <w:tab/>
        <w:t>Le Comité a également noté que plusieurs administrations avaient communiqué au Bureau des projets de modification du Plan GE06 sur la base de stations de faible puissance situées à proximité de la frontière de leur territoire de façon à ne pas déclencher les limites de l'Annexe 4 de l'Accord GE06. Au vu de ce qui précède, le Comité est d'avis que l'inclusion dans le Plan et/ou le Fichier de référence international des fréquences des assignations correspondantes ne confère aucun droit additionnel à une protection de ces assignations vis-à-vis d'assignations inscrites antérieurement dans le Plan</w:t>
      </w:r>
      <w:r>
        <w:rPr>
          <w:rStyle w:val="FootnoteReference"/>
          <w:lang w:val="fr-CH"/>
        </w:rPr>
        <w:footnoteReference w:id="1"/>
      </w:r>
      <w:r>
        <w:rPr>
          <w:lang w:val="fr-CH"/>
        </w:rPr>
        <w:t>,</w:t>
      </w:r>
      <w:r w:rsidRPr="004424E2">
        <w:rPr>
          <w:color w:val="000000"/>
          <w:lang w:val="fr-CH"/>
        </w:rPr>
        <w:t xml:space="preserve"> </w:t>
      </w:r>
      <w:r>
        <w:rPr>
          <w:color w:val="000000"/>
          <w:lang w:val="fr-CH"/>
        </w:rPr>
        <w:t>étant donné que l</w:t>
      </w:r>
      <w:r w:rsidRPr="004424E2">
        <w:rPr>
          <w:color w:val="000000"/>
          <w:lang w:val="fr-CH"/>
        </w:rPr>
        <w:t>a protection vis-à-vis d</w:t>
      </w:r>
      <w:r>
        <w:rPr>
          <w:color w:val="000000"/>
          <w:lang w:val="fr-CH"/>
        </w:rPr>
        <w:t xml:space="preserve">e ces </w:t>
      </w:r>
      <w:r w:rsidRPr="004424E2">
        <w:rPr>
          <w:color w:val="000000"/>
          <w:lang w:val="fr-CH"/>
        </w:rPr>
        <w:t xml:space="preserve">assignations ne peut </w:t>
      </w:r>
      <w:r>
        <w:rPr>
          <w:color w:val="000000"/>
          <w:lang w:val="fr-CH"/>
        </w:rPr>
        <w:t xml:space="preserve">pas </w:t>
      </w:r>
      <w:r w:rsidRPr="004424E2">
        <w:rPr>
          <w:color w:val="000000"/>
          <w:lang w:val="fr-CH"/>
        </w:rPr>
        <w:t>être obtenue par suite de l'application de l'Article 4 si les limites indiquées dans l'Annexe 4 ne sont pas dépassées.</w:t>
      </w:r>
      <w:r>
        <w:rPr>
          <w:lang w:val="fr-CH"/>
        </w:rPr>
        <w:t xml:space="preserve"> </w:t>
      </w:r>
    </w:p>
    <w:p w14:paraId="0B0C07A9" w14:textId="77777777"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678E9C95" w14:textId="77777777" w:rsidR="000109A5" w:rsidRPr="004424E2" w:rsidRDefault="000109A5" w:rsidP="000109A5">
      <w:pPr>
        <w:rPr>
          <w:lang w:val="fr-CH"/>
        </w:rPr>
      </w:pPr>
      <w:r>
        <w:rPr>
          <w:lang w:val="fr-CH"/>
        </w:rPr>
        <w:lastRenderedPageBreak/>
        <w:t>9)</w:t>
      </w:r>
      <w:r>
        <w:rPr>
          <w:lang w:val="fr-CH"/>
        </w:rPr>
        <w:tab/>
        <w:t>Le Comité a également noté que la présente Règle de procédure n'appelle aucune modification de la pratique suivie actuellement par le Bureau pour le traitement des fiches de notification en vue de l'application des Articles 4 et 5 de l'Accord GE06.</w:t>
      </w:r>
      <w:r w:rsidRPr="004424E2">
        <w:rPr>
          <w:color w:val="000000"/>
          <w:lang w:val="fr-CH"/>
        </w:rPr>
        <w:t xml:space="preserve"> De même, la présente Règle de procédure ne s'applique pas aux autres services de Terre primaires.</w:t>
      </w:r>
    </w:p>
    <w:p w14:paraId="6519F730" w14:textId="77777777" w:rsidR="000109A5" w:rsidRDefault="000109A5" w:rsidP="000109A5">
      <w:pPr>
        <w:rPr>
          <w:lang w:val="fr-CH"/>
        </w:rPr>
      </w:pPr>
      <w:r>
        <w:rPr>
          <w:lang w:val="fr-CH"/>
        </w:rPr>
        <w:t>10)</w:t>
      </w:r>
      <w:r>
        <w:rPr>
          <w:lang w:val="fr-CH"/>
        </w:rPr>
        <w:tab/>
        <w:t>La présente Règle de procédure s'appliquent avec effet immédiat, quelle que soit la date d'inscription dans le Plan/Fichier de référence international des fréquences des assignations/allotissements concernés.</w:t>
      </w:r>
    </w:p>
    <w:p w14:paraId="302CDE54" w14:textId="77777777" w:rsidR="00193957" w:rsidRDefault="00193957" w:rsidP="000109A5">
      <w:pPr>
        <w:rPr>
          <w:lang w:val="fr-CH"/>
        </w:rPr>
      </w:pPr>
    </w:p>
    <w:p w14:paraId="445A19F4" w14:textId="77777777" w:rsidR="004E6E38" w:rsidRPr="00D972EF" w:rsidRDefault="004E6E38" w:rsidP="009C39CD">
      <w:pPr>
        <w:pStyle w:val="Heading8"/>
        <w:tabs>
          <w:tab w:val="clear" w:pos="1134"/>
          <w:tab w:val="left" w:pos="1176"/>
        </w:tabs>
        <w:rPr>
          <w:lang w:val="fr-FR"/>
        </w:rPr>
      </w:pPr>
      <w:r w:rsidRPr="00D972EF">
        <w:rPr>
          <w:lang w:val="fr-FR"/>
        </w:rPr>
        <w:t>Art. 4</w:t>
      </w:r>
    </w:p>
    <w:p w14:paraId="4FA26C86" w14:textId="77777777"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14:paraId="252A2414" w14:textId="77777777" w:rsidR="004E6E38" w:rsidRPr="00D972EF" w:rsidRDefault="004E6E38">
      <w:pPr>
        <w:pStyle w:val="Heading9"/>
        <w:rPr>
          <w:lang w:val="fr-FR"/>
        </w:rPr>
      </w:pPr>
      <w:r w:rsidRPr="00D972EF">
        <w:rPr>
          <w:lang w:val="fr-FR"/>
        </w:rPr>
        <w:t>4.1.1</w:t>
      </w:r>
    </w:p>
    <w:p w14:paraId="5CB6CD1C" w14:textId="77777777" w:rsidR="004E6E38"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14:paraId="6BE78DB3" w14:textId="77777777" w:rsidR="000109A5" w:rsidRPr="00D972EF" w:rsidRDefault="000109A5" w:rsidP="000109A5">
      <w:pPr>
        <w:rPr>
          <w:lang w:val="fr-FR"/>
        </w:rPr>
      </w:pPr>
      <w:r w:rsidRPr="00D972EF">
        <w:rPr>
          <w:lang w:val="fr-FR"/>
        </w:rPr>
        <w:t>2)</w:t>
      </w:r>
      <w:r w:rsidRPr="00D972EF">
        <w:rPr>
          <w:lang w:val="fr-FR"/>
        </w:rPr>
        <w:tab/>
        <w:t>Dans le cas d'une proposition de modification des caractéristiques d'un allotis</w:t>
      </w:r>
      <w:r w:rsidRPr="00D972EF">
        <w:rPr>
          <w:lang w:val="fr-FR"/>
        </w:rPr>
        <w:softHyphen/>
        <w:t>sement déjà inscrit dans le Plan, associé à une ou à plusieurs assignations découlant dudit allotissement, le Bureau procédera comme suit:</w:t>
      </w:r>
    </w:p>
    <w:p w14:paraId="2D3406C3" w14:textId="77777777" w:rsidR="000109A5" w:rsidRPr="00D972EF" w:rsidRDefault="000109A5" w:rsidP="000109A5">
      <w:pPr>
        <w:pStyle w:val="enumlev1"/>
        <w:rPr>
          <w:lang w:val="fr-FR"/>
        </w:rPr>
      </w:pPr>
      <w:r w:rsidRPr="00D972EF">
        <w:rPr>
          <w:lang w:val="fr-FR"/>
        </w:rPr>
        <w:t>–</w:t>
      </w:r>
      <w:r w:rsidRPr="00D972EF">
        <w:rPr>
          <w:lang w:val="fr-FR"/>
        </w:rPr>
        <w:tab/>
        <w:t xml:space="preserve">en application du § 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14:paraId="3FF42EB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5B043ED" w14:textId="77777777" w:rsidR="004E6E38" w:rsidRPr="00D972EF" w:rsidRDefault="004E6E38" w:rsidP="009A5645">
      <w:pPr>
        <w:pStyle w:val="enumlev1"/>
        <w:spacing w:before="0"/>
        <w:rPr>
          <w:lang w:val="fr-FR"/>
        </w:rPr>
      </w:pPr>
      <w:r w:rsidRPr="00D972EF">
        <w:rPr>
          <w:lang w:val="fr-FR"/>
        </w:rPr>
        <w:lastRenderedPageBreak/>
        <w:t>–</w:t>
      </w:r>
      <w:r w:rsidRPr="00D972EF">
        <w:rPr>
          <w:lang w:val="fr-FR"/>
        </w:rPr>
        <w:tab/>
        <w:t>jusqu'à ce que la procédure de modification du Plan soit menée à bien pour l'allotissement modifié le Bureau maintiendra l'allotissement précédent (ainsi que les assignations découlant de cet allotissement);</w:t>
      </w:r>
    </w:p>
    <w:p w14:paraId="262A85BC" w14:textId="77777777" w:rsidR="004E6E38" w:rsidRDefault="004E6E38" w:rsidP="009A5645">
      <w:pPr>
        <w:pStyle w:val="enumlev1"/>
        <w:spacing w:before="60"/>
        <w:rPr>
          <w:lang w:val="fr-FR"/>
        </w:rPr>
      </w:pPr>
      <w:r w:rsidRPr="00D972EF">
        <w:rPr>
          <w:lang w:val="fr-FR"/>
        </w:rPr>
        <w:t>–</w:t>
      </w:r>
      <w:r w:rsidRPr="00D972EF">
        <w:rPr>
          <w:lang w:val="fr-FR"/>
        </w:rPr>
        <w:tab/>
        <w:t>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Plan; sinon, elles seront supprimées du Plan et l'administration concernée en sera informée. Si elle le souhaite, l'administration notificatrice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14:paraId="48593E56" w14:textId="77777777" w:rsidR="009A5645" w:rsidRPr="00D972EF" w:rsidRDefault="009A5645" w:rsidP="002A7850">
      <w:pPr>
        <w:pStyle w:val="Heading9"/>
        <w:rPr>
          <w:lang w:val="fr-FR"/>
        </w:rPr>
      </w:pPr>
      <w:r w:rsidRPr="009A5645">
        <w:rPr>
          <w:lang w:val="fr-FR"/>
        </w:rPr>
        <w:t>4.1.4/4.2.4</w:t>
      </w:r>
    </w:p>
    <w:p w14:paraId="22B93632" w14:textId="77777777" w:rsidR="009A5645" w:rsidRPr="009A5645" w:rsidRDefault="009A5645" w:rsidP="009A5645">
      <w:pPr>
        <w:pStyle w:val="Heading2"/>
        <w:spacing w:before="240"/>
        <w:jc w:val="center"/>
        <w:rPr>
          <w:lang w:val="fr-FR"/>
        </w:rPr>
      </w:pPr>
      <w:r w:rsidRPr="009A5645">
        <w:rPr>
          <w:lang w:val="fr-FR"/>
        </w:rPr>
        <w:t>Projet de Règle de procédure</w:t>
      </w:r>
    </w:p>
    <w:p w14:paraId="3660E48C" w14:textId="77777777" w:rsidR="009A5645" w:rsidRPr="009A5645" w:rsidRDefault="009A5645" w:rsidP="009A5645">
      <w:pPr>
        <w:spacing w:before="120"/>
        <w:rPr>
          <w:lang w:val="fr-FR"/>
        </w:rPr>
      </w:pPr>
      <w:r w:rsidRPr="009A5645">
        <w:rPr>
          <w:lang w:val="fr-FR"/>
        </w:rPr>
        <w:t>Les sections 4.1.4 et 4.2.4 de l'Accord régional GE06 décrivent les procédures à suivre par les administrations et le Bureau pour obtenir l'accord des administrations qui sont considérées comme affectées et dont l'accord doit encore être obtenu.</w:t>
      </w:r>
    </w:p>
    <w:p w14:paraId="3E2C942B" w14:textId="77777777" w:rsidR="009A5645" w:rsidRPr="009A5645" w:rsidRDefault="009A5645" w:rsidP="009A5645">
      <w:pPr>
        <w:spacing w:before="120"/>
        <w:rPr>
          <w:lang w:val="fr-FR"/>
        </w:rPr>
      </w:pPr>
      <w:r w:rsidRPr="009A5645">
        <w:rPr>
          <w:lang w:val="fr-FR"/>
        </w:rPr>
        <w:t xml:space="preserve">En particulier, conformément aux paragraphes 4.1.4.10 et 4.2.4.9, le Bureau est chargé d'envoyer, sur demande d'une administration, un rappel aux administrations qui n'ont pas répondu dans un délai de 75 jours après la date de publication de la BR IFIC correspondante, en leur demandant une décision. </w:t>
      </w:r>
    </w:p>
    <w:p w14:paraId="4F3D1022" w14:textId="77777777" w:rsidR="009A5645" w:rsidRPr="009A5645" w:rsidRDefault="009A5645" w:rsidP="009A5645">
      <w:pPr>
        <w:spacing w:before="120"/>
        <w:rPr>
          <w:lang w:val="fr-FR"/>
        </w:rPr>
      </w:pPr>
      <w:r w:rsidRPr="009A5645">
        <w:rPr>
          <w:lang w:val="fr-FR"/>
        </w:rPr>
        <w:t>Outre l'envoi des rappels conformément au paragraphe 4.1.4.10 ou 4.2.4.9 de l'Accord régional GE06, le Bureau les mettra également simultanément à la disposition des administrations concernées par un autre moyen de communication électronique, par exemple au moyen de l'application eeb «MyAdmin» (voir la Lettre circulaire CR/408 datée du 5 juillet 2016).</w:t>
      </w:r>
    </w:p>
    <w:p w14:paraId="74A0D25F" w14:textId="77777777" w:rsidR="009A5645" w:rsidRPr="009A5645" w:rsidRDefault="009A5645" w:rsidP="009A5645">
      <w:pPr>
        <w:spacing w:before="120"/>
        <w:rPr>
          <w:lang w:val="fr-FR"/>
        </w:rPr>
      </w:pPr>
      <w:r w:rsidRPr="009A5645">
        <w:rPr>
          <w:lang w:val="fr-FR"/>
        </w:rPr>
        <w:t>En vertu des paragraphes 4.1.4.11 et 4.2.4.10, si aucune décision n'est communiquée au Bureau dans un délai de 40 jours après la date d'envoi du rappel, l'administration sera réputée avoir accepté la modification proposée.</w:t>
      </w:r>
    </w:p>
    <w:p w14:paraId="58B38789" w14:textId="77777777" w:rsidR="004E6E38" w:rsidRPr="00D972EF" w:rsidRDefault="004E6E38" w:rsidP="009A5645">
      <w:pPr>
        <w:pStyle w:val="Heading8"/>
        <w:spacing w:before="240"/>
        <w:rPr>
          <w:lang w:val="fr-FR"/>
        </w:rPr>
      </w:pPr>
      <w:r w:rsidRPr="00D972EF">
        <w:rPr>
          <w:lang w:val="fr-FR"/>
        </w:rPr>
        <w:t>Art. 5</w:t>
      </w:r>
    </w:p>
    <w:p w14:paraId="7A638AE0" w14:textId="77777777" w:rsidR="004E6E38" w:rsidRPr="00D972EF" w:rsidRDefault="004E6E38" w:rsidP="009A5645">
      <w:pPr>
        <w:pStyle w:val="Heading2"/>
        <w:spacing w:before="120"/>
        <w:jc w:val="center"/>
        <w:rPr>
          <w:u w:val="single"/>
          <w:lang w:val="fr-FR"/>
        </w:rPr>
      </w:pPr>
      <w:r w:rsidRPr="00D972EF">
        <w:rPr>
          <w:lang w:val="fr-FR"/>
        </w:rPr>
        <w:t>Notification des assignations de fréquence</w:t>
      </w:r>
    </w:p>
    <w:p w14:paraId="57D3BA18" w14:textId="77777777" w:rsidR="004E6E38" w:rsidRPr="00D972EF" w:rsidRDefault="004E6E38" w:rsidP="009A5645">
      <w:pPr>
        <w:pStyle w:val="Heading9"/>
        <w:spacing w:before="120"/>
        <w:rPr>
          <w:lang w:val="fr-FR"/>
        </w:rPr>
      </w:pPr>
      <w:r w:rsidRPr="00D972EF">
        <w:rPr>
          <w:lang w:val="fr-FR"/>
        </w:rPr>
        <w:t>5.1.2</w:t>
      </w:r>
    </w:p>
    <w:p w14:paraId="70971B55" w14:textId="77777777" w:rsidR="00193957" w:rsidRDefault="004E6E38" w:rsidP="00193957">
      <w:pPr>
        <w:spacing w:before="120"/>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 xml:space="preserve">II de l'Annexe 4 doivent être remplies, s'applique. Toutefois, la Section II de l'Annexe 4 ne porte que sur l'examen de conformité avec l'inscription dans le Plan numérique. Le Comité a donc </w:t>
      </w:r>
      <w:r w:rsidR="00193957">
        <w:rPr>
          <w:lang w:val="fr-FR"/>
        </w:rPr>
        <w:br/>
      </w:r>
      <w:r w:rsidR="00193957">
        <w:rPr>
          <w:lang w:val="fr-FR"/>
        </w:rPr>
        <w:br w:type="page"/>
      </w:r>
    </w:p>
    <w:p w14:paraId="70008C4E" w14:textId="77777777" w:rsidR="004E6E38" w:rsidRDefault="004E6E38" w:rsidP="009A5645">
      <w:pPr>
        <w:spacing w:before="120"/>
        <w:rPr>
          <w:lang w:val="fr-FR"/>
        </w:rPr>
      </w:pPr>
      <w:r w:rsidRPr="00D972EF">
        <w:rPr>
          <w:lang w:val="fr-FR"/>
        </w:rPr>
        <w:lastRenderedPageBreak/>
        <w:t>conclu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r w:rsidR="009C39CD" w:rsidRPr="00D972EF">
        <w:rPr>
          <w:lang w:val="fr-FR"/>
        </w:rPr>
        <w:t>  </w:t>
      </w:r>
      <w:r w:rsidRPr="00D972EF">
        <w:rPr>
          <w:lang w:val="fr-FR"/>
        </w:rPr>
        <w:t>§ 4.2 de la Section II de l'Annexe 4, adaptées au cas d'une assignation de télévision analogique.</w:t>
      </w:r>
    </w:p>
    <w:p w14:paraId="60137310" w14:textId="77777777" w:rsidR="000109A5" w:rsidRDefault="000109A5" w:rsidP="009A5645">
      <w:pPr>
        <w:spacing w:before="60" w:line="216" w:lineRule="auto"/>
        <w:rPr>
          <w:lang w:val="fr-FR"/>
        </w:rPr>
      </w:pPr>
      <w:r w:rsidRPr="00D972EF">
        <w:rPr>
          <w:lang w:val="fr-FR"/>
        </w:rPr>
        <w:t>2)</w:t>
      </w:r>
      <w:r w:rsidRPr="00D972EF">
        <w:rPr>
          <w:lang w:val="fr-FR"/>
        </w:rPr>
        <w:tab/>
      </w:r>
      <w:r w:rsidRPr="009A5645">
        <w:rPr>
          <w:spacing w:val="-4"/>
          <w:lang w:val="fr-FR"/>
        </w:rPr>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9A5645">
        <w:rPr>
          <w:rStyle w:val="Artref"/>
          <w:b/>
          <w:color w:val="auto"/>
          <w:spacing w:val="-4"/>
          <w:lang w:val="fr-FR"/>
        </w:rPr>
        <w:t>11.34</w:t>
      </w:r>
      <w:r w:rsidRPr="009A5645">
        <w:rPr>
          <w:spacing w:val="-4"/>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14:paraId="653207D9" w14:textId="77777777" w:rsidR="00141158" w:rsidRPr="00D972EF" w:rsidRDefault="00141158" w:rsidP="009A5645">
      <w:pPr>
        <w:pStyle w:val="Heading9"/>
        <w:spacing w:before="120"/>
        <w:rPr>
          <w:lang w:val="fr-FR"/>
        </w:rPr>
      </w:pPr>
      <w:r w:rsidRPr="00D972EF">
        <w:rPr>
          <w:lang w:val="fr-FR"/>
        </w:rPr>
        <w:t xml:space="preserve">5.1.2 </w:t>
      </w:r>
      <w:r w:rsidRPr="00D972EF">
        <w:rPr>
          <w:i/>
          <w:iCs/>
          <w:lang w:val="fr-FR"/>
        </w:rPr>
        <w:t>e)</w:t>
      </w:r>
    </w:p>
    <w:p w14:paraId="4B640445" w14:textId="77777777" w:rsidR="00141158" w:rsidRPr="00D972EF" w:rsidRDefault="00141158" w:rsidP="009A5645">
      <w:pPr>
        <w:spacing w:before="60" w:line="216" w:lineRule="auto"/>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14:paraId="5704AF3F" w14:textId="77777777" w:rsidR="00141158" w:rsidRPr="0085136E" w:rsidRDefault="00141158" w:rsidP="009A5645">
      <w:pPr>
        <w:spacing w:before="60" w:line="216" w:lineRule="auto"/>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notificatrice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14:paraId="69C3D81B" w14:textId="77777777" w:rsidR="00141158" w:rsidRPr="0085136E" w:rsidRDefault="00141158" w:rsidP="009A5645">
      <w:pPr>
        <w:spacing w:before="60" w:line="216" w:lineRule="auto"/>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notificatrice.    </w:t>
      </w:r>
    </w:p>
    <w:p w14:paraId="194663F2" w14:textId="77777777" w:rsidR="00141158" w:rsidRPr="0085136E" w:rsidRDefault="00141158" w:rsidP="009A5645">
      <w:pPr>
        <w:spacing w:before="60" w:line="216" w:lineRule="auto"/>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p.a.r.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14:paraId="3C74F01D" w14:textId="77777777" w:rsidR="00193957" w:rsidRDefault="00193957">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14:paraId="6D2C6106" w14:textId="77777777" w:rsidR="00141158" w:rsidRPr="0085136E" w:rsidRDefault="00141158" w:rsidP="009A5645">
      <w:pPr>
        <w:pStyle w:val="Heading4"/>
        <w:spacing w:before="120" w:after="60"/>
        <w:ind w:left="0" w:firstLine="0"/>
        <w:jc w:val="center"/>
        <w:rPr>
          <w:lang w:val="fr-CH"/>
        </w:rPr>
      </w:pPr>
      <w:r w:rsidRPr="0085136E">
        <w:rPr>
          <w:lang w:val="fr-CH"/>
        </w:rPr>
        <w:lastRenderedPageBreak/>
        <w:t xml:space="preserve">Facteur de correction à appliquer à la p.a.r. des assignations notifiées </w:t>
      </w:r>
      <w:r w:rsidRPr="0085136E">
        <w:rPr>
          <w:lang w:val="fr-CH"/>
        </w:rPr>
        <w:br/>
        <w:t xml:space="preserve">pour la radiodiffusion T-DAB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842"/>
        <w:gridCol w:w="2658"/>
      </w:tblGrid>
      <w:tr w:rsidR="00141158" w:rsidRPr="00B52F2C" w14:paraId="7EA883D2" w14:textId="77777777" w:rsidTr="000109A5">
        <w:trPr>
          <w:cantSplit/>
        </w:trPr>
        <w:tc>
          <w:tcPr>
            <w:tcW w:w="2403" w:type="dxa"/>
            <w:vAlign w:val="center"/>
          </w:tcPr>
          <w:p w14:paraId="5A9310E0" w14:textId="77777777"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14:paraId="56FB3837" w14:textId="77777777"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14:paraId="381C208E" w14:textId="77777777" w:rsidTr="000109A5">
        <w:trPr>
          <w:cantSplit/>
        </w:trPr>
        <w:tc>
          <w:tcPr>
            <w:tcW w:w="2403" w:type="dxa"/>
            <w:vAlign w:val="center"/>
          </w:tcPr>
          <w:p w14:paraId="21D61A6F" w14:textId="77777777"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14:paraId="2DC0D3A4" w14:textId="77777777"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14:paraId="598400B6" w14:textId="77777777" w:rsidR="00141158" w:rsidRPr="00DD423D" w:rsidRDefault="00141158" w:rsidP="00ED4744">
            <w:pPr>
              <w:framePr w:hSpace="181" w:wrap="around" w:vAnchor="text" w:hAnchor="margin" w:xAlign="center" w:y="1"/>
              <w:spacing w:before="0"/>
              <w:jc w:val="center"/>
            </w:pPr>
            <w:r w:rsidRPr="00DD423D">
              <w:t>8 MHz</w:t>
            </w:r>
          </w:p>
        </w:tc>
      </w:tr>
      <w:tr w:rsidR="00141158" w:rsidRPr="00DD423D" w14:paraId="664CB3AB" w14:textId="77777777" w:rsidTr="000109A5">
        <w:trPr>
          <w:cantSplit/>
        </w:trPr>
        <w:tc>
          <w:tcPr>
            <w:tcW w:w="2403" w:type="dxa"/>
            <w:vAlign w:val="center"/>
          </w:tcPr>
          <w:p w14:paraId="2A19CAA5" w14:textId="77777777" w:rsidR="00141158" w:rsidRPr="00DD423D" w:rsidRDefault="00141158" w:rsidP="00ED4744">
            <w:pPr>
              <w:framePr w:hSpace="181" w:wrap="around" w:vAnchor="text" w:hAnchor="margin" w:xAlign="center" w:y="1"/>
              <w:spacing w:before="0"/>
              <w:jc w:val="center"/>
            </w:pPr>
            <w:r>
              <w:t xml:space="preserve">Facteur de correction </w:t>
            </w:r>
          </w:p>
        </w:tc>
        <w:tc>
          <w:tcPr>
            <w:tcW w:w="2273" w:type="dxa"/>
            <w:vAlign w:val="center"/>
          </w:tcPr>
          <w:p w14:paraId="3A7FD45D" w14:textId="77777777"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14:paraId="5502C502" w14:textId="77777777" w:rsidR="00141158" w:rsidRPr="00DD423D" w:rsidRDefault="00141158" w:rsidP="00ED4744">
            <w:pPr>
              <w:framePr w:hSpace="181" w:wrap="around" w:vAnchor="text" w:hAnchor="margin" w:xAlign="center" w:y="1"/>
              <w:spacing w:before="0"/>
              <w:jc w:val="center"/>
            </w:pPr>
            <w:r>
              <w:t>6,950</w:t>
            </w:r>
            <w:r w:rsidRPr="00DD423D">
              <w:t xml:space="preserve"> dB</w:t>
            </w:r>
          </w:p>
        </w:tc>
      </w:tr>
    </w:tbl>
    <w:p w14:paraId="27958E13" w14:textId="77777777" w:rsidR="00141158" w:rsidRPr="00A302FC" w:rsidRDefault="00141158" w:rsidP="00141158">
      <w:pPr>
        <w:spacing w:before="0"/>
        <w:rPr>
          <w:sz w:val="4"/>
          <w:szCs w:val="4"/>
        </w:rPr>
      </w:pPr>
    </w:p>
    <w:p w14:paraId="2F783869" w14:textId="77777777" w:rsidR="009A5645" w:rsidRDefault="00141158" w:rsidP="003E6AAE">
      <w:pPr>
        <w:spacing w:before="60" w:line="216" w:lineRule="auto"/>
        <w:rPr>
          <w:lang w:val="fr-CH"/>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w:t>
      </w:r>
      <w:r w:rsidR="003E6AAE">
        <w:rPr>
          <w:lang w:val="fr-CH"/>
        </w:rPr>
        <w:t>teur de correction de 8,1 dB.</w:t>
      </w:r>
    </w:p>
    <w:p w14:paraId="3218CEE4" w14:textId="77777777" w:rsidR="00141158" w:rsidRPr="00D972EF" w:rsidRDefault="00141158" w:rsidP="00141158">
      <w:pPr>
        <w:pStyle w:val="Heading9"/>
        <w:rPr>
          <w:lang w:val="fr-FR"/>
        </w:rPr>
      </w:pPr>
      <w:r w:rsidRPr="00D972EF">
        <w:rPr>
          <w:lang w:val="fr-FR"/>
        </w:rPr>
        <w:t>5.1.3</w:t>
      </w:r>
    </w:p>
    <w:p w14:paraId="7CC5C3E3" w14:textId="77777777" w:rsidR="00141158" w:rsidRPr="00D972EF" w:rsidRDefault="00141158" w:rsidP="00141158">
      <w:pPr>
        <w:rPr>
          <w:lang w:val="fr-FR"/>
        </w:rPr>
      </w:pPr>
      <w:r w:rsidRPr="00D972EF">
        <w:rPr>
          <w:lang w:val="fr-FR"/>
        </w:rPr>
        <w:t>1)</w:t>
      </w:r>
      <w:r w:rsidRPr="00D972EF">
        <w:rPr>
          <w:lang w:val="fr-FR"/>
        </w:rPr>
        <w:tab/>
        <w:t xml:space="preserve">Cette disposition traite de la notification d'une inscription numérique figurant dans le Plan avec des caractéristiques différentes de celles qui apparaissent dans le Plan. La définition des termes </w:t>
      </w:r>
      <w:r w:rsidRPr="0094565F">
        <w:rPr>
          <w:i/>
          <w:iCs/>
          <w:lang w:val="fr-FR"/>
        </w:rPr>
        <w:t>«inscription dans le Plan numérique»</w:t>
      </w:r>
      <w:r w:rsidRPr="00D972EF">
        <w:rPr>
          <w:lang w:val="fr-FR"/>
        </w:rPr>
        <w:t>,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14:paraId="49F8CB1C" w14:textId="77777777" w:rsidR="00141158" w:rsidRPr="00C4249F" w:rsidRDefault="00141158" w:rsidP="00862274">
      <w:pPr>
        <w:rPr>
          <w:lang w:val="fr-CH"/>
        </w:rPr>
      </w:pPr>
      <w:r w:rsidRPr="00C4249F">
        <w:rPr>
          <w:lang w:val="fr-CH"/>
        </w:rPr>
        <w:t>2)</w:t>
      </w:r>
      <w:r w:rsidRPr="00C4249F">
        <w:rPr>
          <w:lang w:val="fr-CH"/>
        </w:rPr>
        <w:tab/>
        <w:t>Aux fins de l'examen de la conformité de l'assignation de fréquence du service de radiodiffusion ou d'autres services primaires, notifiée au titre du § 5.1.3 de l'Accord de GE06, avec l'</w:t>
      </w:r>
      <w:r w:rsidRPr="0094565F">
        <w:rPr>
          <w:i/>
          <w:iCs/>
          <w:lang w:val="fr-CH"/>
        </w:rPr>
        <w:t>«inscription numérique correspondante figurant dans le Plan»</w:t>
      </w:r>
      <w:r w:rsidRPr="00C4249F">
        <w:rPr>
          <w:lang w:val="fr-CH"/>
        </w:rPr>
        <w:t xml:space="preserve">, le Bureau </w:t>
      </w:r>
      <w:r w:rsidRPr="0085136E">
        <w:rPr>
          <w:lang w:val="fr-CH"/>
        </w:rPr>
        <w:t xml:space="preserve">s'assurera </w:t>
      </w:r>
      <w:r w:rsidRPr="00C4249F">
        <w:rPr>
          <w:lang w:val="fr-CH"/>
        </w:rPr>
        <w:t>que le potentiel de brouillage de l'assignation de fréquence notifiée n'est pas supérieur à celui de l'inscription numérique correspondante figurant dans le Plan. Le § 5.1.3 fixe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(dB(W/Hz))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 xml:space="preserve">tiendra compte de la densité spectrale de puissance de l'assignation notifiée en commençant par calculer la puissance apparente rayonnée (p.a.r.)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ci-dessous</w:t>
      </w:r>
      <w:r w:rsidRPr="00C4249F">
        <w:rPr>
          <w:lang w:val="fr-CH"/>
        </w:rPr>
        <w:t>:</w:t>
      </w:r>
    </w:p>
    <w:p w14:paraId="2D379B0B" w14:textId="77777777" w:rsidR="00141158" w:rsidRPr="00C4249F" w:rsidRDefault="00141158" w:rsidP="00141158">
      <w:pPr>
        <w:pStyle w:val="Equation"/>
      </w:pPr>
      <w:r w:rsidRPr="0085136E">
        <w:rPr>
          <w:lang w:val="fr-CH"/>
        </w:rPr>
        <w:tab/>
      </w:r>
      <w:r w:rsidRPr="0085136E">
        <w:rPr>
          <w:lang w:val="fr-CH"/>
        </w:rPr>
        <w:tab/>
      </w:r>
      <w:r w:rsidR="00333D02" w:rsidRPr="00C4249F">
        <w:rPr>
          <w:position w:val="-32"/>
        </w:rPr>
        <w:object w:dxaOrig="6600" w:dyaOrig="760" w14:anchorId="092E6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8.7pt" o:ole="">
            <v:imagedata r:id="rId6" o:title=""/>
          </v:shape>
          <o:OLEObject Type="Embed" ProgID="Equation.3" ShapeID="_x0000_i1025" DrawAspect="Content" ObjectID="_1683445215" r:id="rId7"/>
        </w:object>
      </w:r>
    </w:p>
    <w:p w14:paraId="132C7AF0" w14:textId="77777777" w:rsidR="00752775" w:rsidRDefault="00752775" w:rsidP="00141158">
      <w:pPr>
        <w:pStyle w:val="Equationlegend0"/>
        <w:spacing w:before="0"/>
        <w:rPr>
          <w:lang w:val="fr-CH"/>
        </w:rPr>
      </w:pPr>
      <w:r>
        <w:rPr>
          <w:lang w:val="fr-CH"/>
        </w:rPr>
        <w:br w:type="page"/>
      </w:r>
    </w:p>
    <w:p w14:paraId="4943B4E9" w14:textId="4C8E890C" w:rsidR="00141158" w:rsidRPr="00C4249F" w:rsidRDefault="00141158" w:rsidP="00141158">
      <w:pPr>
        <w:pStyle w:val="Equationlegend0"/>
        <w:spacing w:before="0"/>
        <w:rPr>
          <w:lang w:val="fr-CH"/>
        </w:rPr>
      </w:pPr>
      <w:r>
        <w:rPr>
          <w:lang w:val="fr-CH"/>
        </w:rPr>
        <w:lastRenderedPageBreak/>
        <w:t>où</w:t>
      </w:r>
      <w:r w:rsidRPr="00C4249F">
        <w:rPr>
          <w:lang w:val="fr-CH"/>
        </w:rPr>
        <w:t>:</w:t>
      </w:r>
    </w:p>
    <w:p w14:paraId="45802629" w14:textId="77777777" w:rsidR="00141158" w:rsidRPr="00C4249F" w:rsidRDefault="00141158" w:rsidP="00862274">
      <w:pPr>
        <w:pStyle w:val="enumlev1"/>
        <w:ind w:left="1134" w:hanging="1134"/>
        <w:rPr>
          <w:lang w:val="fr-CH"/>
        </w:rPr>
      </w:pPr>
      <w:r w:rsidRPr="007A75F4">
        <w:rPr>
          <w:i/>
          <w:iCs/>
          <w:lang w:val="fr-CH"/>
        </w:rPr>
        <w:t>SPD</w:t>
      </w:r>
      <w:r w:rsidRPr="00C4249F">
        <w:rPr>
          <w:vertAlign w:val="subscript"/>
          <w:lang w:val="fr-CH"/>
        </w:rPr>
        <w:t>max</w:t>
      </w:r>
      <w:r w:rsidRPr="0085136E">
        <w:rPr>
          <w:lang w:val="fr-CH"/>
        </w:rPr>
        <w:t>:</w:t>
      </w:r>
      <w:r w:rsidRPr="0085136E">
        <w:rPr>
          <w:lang w:val="fr-CH"/>
        </w:rPr>
        <w:tab/>
      </w:r>
      <w:r>
        <w:rPr>
          <w:lang w:val="fr-CH"/>
        </w:rPr>
        <w:t xml:space="preserve">la densité spectrale de puissance maximale </w:t>
      </w:r>
      <w:r w:rsidRPr="00C4249F">
        <w:rPr>
          <w:lang w:val="fr-CH"/>
        </w:rPr>
        <w:t>(dB(W/Hz))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Pr>
          <w:lang w:val="fr-CH"/>
        </w:rPr>
        <w:t>) moyenne sur la bande de 4 kHz la plus défavorable, fondée sur la puissance apparente rayonnée maximale;</w:t>
      </w:r>
    </w:p>
    <w:p w14:paraId="6044D2BA" w14:textId="77777777" w:rsidR="00141158" w:rsidRPr="00C4249F" w:rsidRDefault="00141158" w:rsidP="00862274">
      <w:pPr>
        <w:pStyle w:val="enumlev1"/>
        <w:ind w:left="1134" w:hanging="1134"/>
        <w:rPr>
          <w:lang w:val="fr-CH"/>
        </w:rPr>
      </w:pPr>
      <w:r w:rsidRPr="007A75F4">
        <w:rPr>
          <w:i/>
          <w:iCs/>
          <w:lang w:val="fr-CH"/>
        </w:rPr>
        <w:t>BW</w:t>
      </w:r>
      <w:r w:rsidRPr="007A75F4">
        <w:rPr>
          <w:i/>
          <w:iCs/>
          <w:vertAlign w:val="subscript"/>
          <w:lang w:val="fr-CH"/>
        </w:rPr>
        <w:t>NA</w:t>
      </w:r>
      <w:r>
        <w:rPr>
          <w:lang w:val="fr-CH"/>
        </w:rPr>
        <w:t>:</w:t>
      </w:r>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Pr>
          <w:lang w:val="fr-CH"/>
        </w:rPr>
        <w:t>)</w:t>
      </w:r>
      <w:r w:rsidRPr="00C4249F">
        <w:rPr>
          <w:lang w:val="fr-CH"/>
        </w:rPr>
        <w:t xml:space="preserve"> en</w:t>
      </w:r>
      <w:r>
        <w:rPr>
          <w:lang w:val="fr-CH"/>
        </w:rPr>
        <w:t> </w:t>
      </w:r>
      <w:r w:rsidRPr="00C4249F">
        <w:rPr>
          <w:lang w:val="fr-CH"/>
        </w:rPr>
        <w:t>Hz</w:t>
      </w:r>
      <w:r>
        <w:rPr>
          <w:lang w:val="fr-CH"/>
        </w:rPr>
        <w:t>;</w:t>
      </w:r>
    </w:p>
    <w:p w14:paraId="4B550F9F" w14:textId="77777777" w:rsidR="00141158" w:rsidRPr="00C4249F" w:rsidRDefault="00141158" w:rsidP="00141158">
      <w:pPr>
        <w:pStyle w:val="enumlev1"/>
        <w:keepLines/>
        <w:ind w:left="1134" w:hanging="1134"/>
        <w:rPr>
          <w:lang w:val="fr-CH"/>
        </w:rPr>
      </w:pPr>
      <w:r w:rsidRPr="007A75F4">
        <w:rPr>
          <w:i/>
          <w:iCs/>
          <w:lang w:val="fr-CH"/>
        </w:rPr>
        <w:t>BW</w:t>
      </w:r>
      <w:r w:rsidRPr="007A75F4">
        <w:rPr>
          <w:i/>
          <w:iCs/>
          <w:vertAlign w:val="subscript"/>
          <w:lang w:val="fr-CH"/>
        </w:rPr>
        <w:t>PE</w:t>
      </w:r>
      <w:r>
        <w:rPr>
          <w:lang w:val="fr-CH"/>
        </w:rPr>
        <w:t>:</w:t>
      </w:r>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14:paraId="19452FBD" w14:textId="0D5CCAC8"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p.a.r.,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p>
    <w:p w14:paraId="0E452B7F" w14:textId="77777777"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14:paraId="0EA265B5" w14:textId="77777777"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D972EF">
        <w:rPr>
          <w:lang w:val="fr-FR"/>
        </w:rPr>
        <w:softHyphen/>
        <w:t>sition 5.1.3 est favorable, si l'administration notificatrice déclare que toutes les conditions associées à l'observation sont entièrement respectées et si les résultats de tous les examens requis sont favorables.</w:t>
      </w:r>
    </w:p>
    <w:p w14:paraId="07247792"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D0BD2F7" w14:textId="77777777" w:rsidR="00141158" w:rsidRPr="00D972EF" w:rsidRDefault="00141158" w:rsidP="00141158">
      <w:pPr>
        <w:pStyle w:val="Heading8"/>
        <w:rPr>
          <w:lang w:val="fr-FR"/>
        </w:rPr>
      </w:pPr>
      <w:r w:rsidRPr="00D972EF">
        <w:rPr>
          <w:lang w:val="fr-FR"/>
        </w:rPr>
        <w:lastRenderedPageBreak/>
        <w:t>Art. 12</w:t>
      </w:r>
    </w:p>
    <w:p w14:paraId="69A906AC" w14:textId="77777777" w:rsidR="00141158" w:rsidRPr="00D972EF" w:rsidRDefault="00141158" w:rsidP="00141158">
      <w:pPr>
        <w:pStyle w:val="Heading2"/>
        <w:jc w:val="center"/>
        <w:rPr>
          <w:u w:val="single"/>
          <w:lang w:val="fr-FR"/>
        </w:rPr>
      </w:pPr>
      <w:r w:rsidRPr="00D972EF">
        <w:rPr>
          <w:lang w:val="fr-FR"/>
        </w:rPr>
        <w:t>Entrée en vigueur, durée et application provisoire de l'Accord</w:t>
      </w:r>
    </w:p>
    <w:p w14:paraId="1471F67D" w14:textId="77777777" w:rsidR="00141158" w:rsidRPr="00D972EF" w:rsidRDefault="00141158" w:rsidP="00141158">
      <w:pPr>
        <w:pStyle w:val="Heading9"/>
        <w:rPr>
          <w:lang w:val="fr-FR"/>
        </w:rPr>
      </w:pPr>
      <w:r w:rsidRPr="00D972EF">
        <w:rPr>
          <w:lang w:val="fr-FR"/>
        </w:rPr>
        <w:t>12.6</w:t>
      </w:r>
    </w:p>
    <w:p w14:paraId="7309D281" w14:textId="77777777" w:rsidR="00141158" w:rsidRDefault="00141158" w:rsidP="00141158">
      <w:pPr>
        <w:rPr>
          <w:lang w:val="fr-FR"/>
        </w:rPr>
      </w:pPr>
      <w:r w:rsidRPr="00D972EF">
        <w:rPr>
          <w:lang w:val="fr-FR"/>
        </w:rPr>
        <w:t>La note de bas de page 7, associée à cette disposition, contient la liste des pays pour lesquels la période de transition pour la bande des ondes métriques (174-230 MHz;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14:paraId="5ADD8870" w14:textId="77777777" w:rsidR="00141158" w:rsidRDefault="00141158" w:rsidP="00141158">
      <w:pPr>
        <w:rPr>
          <w:lang w:val="fr-FR"/>
        </w:rPr>
      </w:pPr>
      <w:r w:rsidRPr="00D972EF">
        <w:rPr>
          <w:lang w:val="fr-FR"/>
        </w:rPr>
        <w:t>Après la CRR</w:t>
      </w:r>
      <w:r w:rsidRPr="00D972EF">
        <w:rPr>
          <w:lang w:val="fr-FR"/>
        </w:rPr>
        <w:noBreakHyphen/>
        <w:t>06, le Bureau s'est mis en relation avec les administrations des Etats Membres dont les noms figurent dans la liste précitée, qui n'étaient pas présentes à la CRR</w:t>
      </w:r>
      <w:r w:rsidRPr="00D972EF">
        <w:rPr>
          <w:lang w:val="fr-FR"/>
        </w:rPr>
        <w:noBreakHyphen/>
        <w:t>06 et les a informées des décisions prises à cet égard par ladite Conférence. Aucune administration des Etats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14:paraId="7FC807FA" w14:textId="77777777" w:rsidR="00141158" w:rsidRPr="00D972EF" w:rsidRDefault="00141158" w:rsidP="009A2C96">
      <w:pPr>
        <w:pStyle w:val="Heading8"/>
        <w:rPr>
          <w:lang w:val="fr-FR"/>
        </w:rPr>
      </w:pPr>
      <w:r w:rsidRPr="00D972EF">
        <w:rPr>
          <w:lang w:val="fr-FR"/>
        </w:rPr>
        <w:t>Annexe 2</w:t>
      </w:r>
    </w:p>
    <w:p w14:paraId="37E6F31D" w14:textId="77777777" w:rsidR="00141158" w:rsidRDefault="00141158" w:rsidP="00141158">
      <w:pPr>
        <w:pStyle w:val="Heading2"/>
        <w:ind w:left="0" w:firstLine="0"/>
        <w:jc w:val="center"/>
        <w:rPr>
          <w:lang w:val="fr-FR"/>
        </w:rPr>
      </w:pPr>
      <w:r w:rsidRPr="00D972EF">
        <w:rPr>
          <w:lang w:val="fr-FR"/>
        </w:rPr>
        <w:t>Eléments et critères techniques utilisés pour l'établissement du Plan</w:t>
      </w:r>
      <w:r w:rsidRPr="00D972EF">
        <w:rPr>
          <w:lang w:val="fr-FR"/>
        </w:rPr>
        <w:br/>
        <w:t>et la mise en œuvre de l'Accord</w:t>
      </w:r>
    </w:p>
    <w:p w14:paraId="32096B97" w14:textId="77777777" w:rsidR="008261C7" w:rsidRPr="008261C7" w:rsidRDefault="008261C7" w:rsidP="002A7850">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p>
    <w:p w14:paraId="2E714158" w14:textId="77777777" w:rsidR="00193957" w:rsidRDefault="008261C7" w:rsidP="00193957">
      <w:pPr>
        <w:rPr>
          <w:rFonts w:eastAsia="SimSun"/>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de 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Une telle situation pourrait conduire à différentes valeurs du champ calculées pour un trajet traversant plusieurs zones de propagation et, par conséquent, à différentes listes </w:t>
      </w:r>
      <w:r w:rsidR="00193957">
        <w:rPr>
          <w:rFonts w:asciiTheme="majorBidi" w:eastAsia="SimSun" w:hAnsiTheme="majorBidi" w:cstheme="majorBidi"/>
          <w:szCs w:val="24"/>
          <w:lang w:val="fr-CH" w:eastAsia="zh-CN"/>
        </w:rPr>
        <w:br/>
      </w:r>
      <w:r w:rsidR="00193957">
        <w:rPr>
          <w:rFonts w:eastAsia="SimSun"/>
          <w:lang w:val="fr-CH" w:eastAsia="zh-CN"/>
        </w:rPr>
        <w:br w:type="page"/>
      </w:r>
    </w:p>
    <w:p w14:paraId="49E49D5E" w14:textId="77777777" w:rsidR="008261C7" w:rsidRPr="008261C7" w:rsidRDefault="008261C7" w:rsidP="008261C7">
      <w:pPr>
        <w:rPr>
          <w:rFonts w:asciiTheme="majorBidi" w:eastAsia="SimSun" w:hAnsiTheme="majorBidi" w:cstheme="majorBidi"/>
          <w:szCs w:val="24"/>
          <w:lang w:val="fr-CH" w:eastAsia="zh-CN"/>
        </w:rPr>
      </w:pPr>
      <w:r w:rsidRPr="008261C7">
        <w:rPr>
          <w:rFonts w:asciiTheme="majorBidi" w:eastAsia="SimSun" w:hAnsiTheme="majorBidi" w:cstheme="majorBidi"/>
          <w:szCs w:val="24"/>
          <w:lang w:val="fr-CH" w:eastAsia="zh-CN"/>
        </w:rPr>
        <w:lastRenderedPageBreak/>
        <w:t>d'administrations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0 </w:t>
      </w:r>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(voir la Fig. A.2.1-2) sera calculé à l'aide de la formule suivante:</w:t>
      </w:r>
    </w:p>
    <w:p w14:paraId="6275F52A" w14:textId="77777777"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w14:anchorId="53377FC9">
          <v:shape id="_x0000_i1026" type="#_x0000_t75" style="width:111.4pt;height:21.05pt" o:ole="">
            <v:imagedata r:id="rId8" o:title=""/>
          </v:shape>
          <o:OLEObject Type="Embed" ProgID="Equation.3" ShapeID="_x0000_i1026" DrawAspect="Content" ObjectID="_1683445216" r:id="rId9"/>
        </w:object>
      </w:r>
    </w:p>
    <w:p w14:paraId="624B3A2D" w14:textId="77777777" w:rsidR="008261C7" w:rsidRPr="008261C7" w:rsidRDefault="008261C7" w:rsidP="008261C7">
      <w:pPr>
        <w:rPr>
          <w:lang w:val="fr-CH"/>
        </w:rPr>
      </w:pPr>
      <w:r w:rsidRPr="008261C7">
        <w:rPr>
          <w:rFonts w:asciiTheme="majorBidi" w:eastAsia="SimSun" w:hAnsiTheme="majorBidi" w:cstheme="majorBidi"/>
          <w:szCs w:val="24"/>
          <w:lang w:val="fr-CH" w:eastAsia="zh-CN"/>
        </w:rPr>
        <w:t>L'utilisation de cette formule est conforme à la méthode adoptée par la CRR-06, préconisée dans la Recommandation UIT-R P.1546 et actuellement utilisée par le Bureau pour la mise en oeuvre de l'Accord GE06.</w:t>
      </w:r>
    </w:p>
    <w:p w14:paraId="7B03BC17"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14:paraId="5953C633" w14:textId="77777777" w:rsidR="00141158" w:rsidRPr="00D972EF" w:rsidRDefault="00141158" w:rsidP="00141158">
      <w:pPr>
        <w:rPr>
          <w:lang w:val="fr-FR"/>
        </w:rPr>
      </w:pPr>
      <w:r w:rsidRPr="00D972EF">
        <w:rPr>
          <w:lang w:val="fr-FR"/>
        </w:rPr>
        <w:t>Ce Tableau s'applique également aux zones géographiques XGZ et XWB.</w:t>
      </w:r>
    </w:p>
    <w:p w14:paraId="7DE77880" w14:textId="77777777"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14:paraId="3406CEDF" w14:textId="77777777" w:rsidR="00141158" w:rsidRPr="00D972EF" w:rsidRDefault="00141158" w:rsidP="00141158">
      <w:pPr>
        <w:rPr>
          <w:lang w:val="fr-FR"/>
        </w:rPr>
      </w:pPr>
      <w:r w:rsidRPr="00D972EF">
        <w:rPr>
          <w:lang w:val="fr-FR"/>
        </w:rPr>
        <w:t>Ce Tableau s'applique également à la zone géographique AOE, à l'exception des canaux 4 et 5.</w:t>
      </w:r>
    </w:p>
    <w:p w14:paraId="043B0AF8" w14:textId="77777777" w:rsidR="00141158" w:rsidRPr="00D972EF" w:rsidRDefault="00141158" w:rsidP="00141158">
      <w:pPr>
        <w:pStyle w:val="Heading9"/>
        <w:ind w:right="7258"/>
        <w:jc w:val="left"/>
        <w:rPr>
          <w:lang w:val="fr-FR"/>
        </w:rPr>
      </w:pPr>
      <w:r w:rsidRPr="00D972EF">
        <w:rPr>
          <w:lang w:val="fr-FR"/>
        </w:rPr>
        <w:t>Appendice 3.3</w:t>
      </w:r>
    </w:p>
    <w:p w14:paraId="68208A48" w14:textId="77777777"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14:paraId="4365E338" w14:textId="77777777" w:rsidR="00141158" w:rsidRPr="00D972EF" w:rsidRDefault="00141158" w:rsidP="00141158">
      <w:pPr>
        <w:pStyle w:val="Heading8"/>
        <w:ind w:right="7428"/>
        <w:jc w:val="left"/>
        <w:rPr>
          <w:lang w:val="fr-FR"/>
        </w:rPr>
      </w:pPr>
      <w:r w:rsidRPr="00D972EF">
        <w:rPr>
          <w:lang w:val="fr-FR"/>
        </w:rPr>
        <w:t>Annexe 3</w:t>
      </w:r>
      <w:r w:rsidRPr="00D972EF">
        <w:rPr>
          <w:lang w:val="fr-FR"/>
        </w:rPr>
        <w:br/>
        <w:t>Tableau 3</w:t>
      </w:r>
    </w:p>
    <w:p w14:paraId="36CAA6DF" w14:textId="77777777"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14:paraId="17709673" w14:textId="77777777" w:rsidR="00193957"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xml:space="preserve">) est un renseignement obligatoire s'il a servi de base pour effectuer la coordination avec une autre administration (symbole «C»). Par ailleurs, cet élément de données est indiqué comme étant obligatoire aux fins de l'application de l'Article 5 de l'Accord (symbole «X»). Par conséquent, pour procéder aux examens au titre du § 5.2.2 de l'Accord, lorsque la communication de l'horaire normal de fonctionnement est </w:t>
      </w:r>
      <w:r w:rsidR="00193957">
        <w:rPr>
          <w:lang w:val="fr-FR"/>
        </w:rPr>
        <w:br/>
      </w:r>
    </w:p>
    <w:p w14:paraId="554880A9" w14:textId="77777777"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97CA6CA" w14:textId="77777777" w:rsidR="00141158" w:rsidRDefault="00141158" w:rsidP="00141158">
      <w:pPr>
        <w:rPr>
          <w:lang w:val="fr-FR"/>
        </w:rPr>
      </w:pPr>
      <w:r w:rsidRPr="00D972EF">
        <w:rPr>
          <w:lang w:val="fr-FR"/>
        </w:rPr>
        <w:lastRenderedPageBreak/>
        <w:t xml:space="preserve">obligatoire, le Bureau doit s'assurer que l'horaire de fonctionnement notifié est conforme à celui résultant de l'application de la procédure visée au § 4.2 de l'Accord. Compte tenu de ce qui précède, le Comité a conclu que l'élément de données </w:t>
      </w:r>
      <w:r w:rsidRPr="0094565F">
        <w:rPr>
          <w:i/>
          <w:iCs/>
          <w:lang w:val="fr-FR"/>
        </w:rPr>
        <w:t>«horaire normal de fonctionnement (UTC) de l'assignation de fréquence»</w:t>
      </w:r>
      <w:r w:rsidRPr="00D972EF">
        <w:rPr>
          <w:lang w:val="fr-FR"/>
        </w:rPr>
        <w:t xml:space="preserve"> devrait être considéré comme obligatoire dans le cas de toutes les soumissions au titre de l'Article 4 de l'Accord concernant des assignations à des stations d'autres services de Terre primaires.</w:t>
      </w:r>
    </w:p>
    <w:p w14:paraId="1E177398" w14:textId="77777777" w:rsidR="00141158" w:rsidRPr="00D972EF" w:rsidRDefault="00141158" w:rsidP="00D143E2">
      <w:pPr>
        <w:pStyle w:val="Heading8"/>
        <w:spacing w:before="0"/>
        <w:rPr>
          <w:lang w:val="fr-FR"/>
        </w:rPr>
      </w:pPr>
      <w:r w:rsidRPr="00D972EF">
        <w:rPr>
          <w:lang w:val="fr-FR"/>
        </w:rPr>
        <w:t>Annexe 4</w:t>
      </w:r>
    </w:p>
    <w:p w14:paraId="04BA4A64" w14:textId="77777777" w:rsidR="00141158" w:rsidRPr="00D972EF" w:rsidRDefault="00141158" w:rsidP="00141158">
      <w:pPr>
        <w:pStyle w:val="Heading2"/>
        <w:ind w:left="0" w:firstLine="0"/>
        <w:jc w:val="center"/>
        <w:rPr>
          <w:u w:val="single"/>
          <w:lang w:val="fr-FR"/>
        </w:rPr>
      </w:pPr>
      <w:r w:rsidRPr="00D972EF">
        <w:rPr>
          <w:lang w:val="fr-FR"/>
        </w:rPr>
        <w:t>Section I: Limites et méthode permettant de déterminer quand l'accord</w:t>
      </w:r>
      <w:r w:rsidRPr="00D972EF">
        <w:rPr>
          <w:lang w:val="fr-FR"/>
        </w:rPr>
        <w:br/>
        <w:t>d'une autre administration doit être obtenu</w:t>
      </w:r>
    </w:p>
    <w:p w14:paraId="79C48C55" w14:textId="77777777" w:rsidR="00141158" w:rsidRPr="00D972EF" w:rsidRDefault="00141158" w:rsidP="00141158">
      <w:pPr>
        <w:pStyle w:val="Heading9"/>
        <w:rPr>
          <w:lang w:val="fr-FR"/>
        </w:rPr>
      </w:pPr>
      <w:r w:rsidRPr="00D972EF">
        <w:rPr>
          <w:lang w:val="fr-FR"/>
        </w:rPr>
        <w:t>2.1</w:t>
      </w:r>
    </w:p>
    <w:p w14:paraId="044886F4" w14:textId="77777777" w:rsidR="00141158" w:rsidRPr="00D972EF" w:rsidRDefault="00141158" w:rsidP="00141158">
      <w:pPr>
        <w:rPr>
          <w:lang w:val="fr-FR"/>
        </w:rPr>
      </w:pPr>
      <w:r w:rsidRPr="00D972EF">
        <w:rPr>
          <w:lang w:val="fr-FR"/>
        </w:rPr>
        <w:t>A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14:paraId="6D6DEBAC" w14:textId="77777777" w:rsidR="00141158" w:rsidRPr="00D972EF" w:rsidRDefault="00141158" w:rsidP="00141158">
      <w:pPr>
        <w:pStyle w:val="Heading9"/>
        <w:rPr>
          <w:lang w:val="fr-FR"/>
        </w:rPr>
      </w:pPr>
      <w:r w:rsidRPr="00D972EF">
        <w:rPr>
          <w:lang w:val="fr-FR"/>
        </w:rPr>
        <w:t>2.2</w:t>
      </w:r>
    </w:p>
    <w:p w14:paraId="2CF705B2" w14:textId="77777777" w:rsidR="00141158" w:rsidRPr="00D972EF" w:rsidRDefault="00141158" w:rsidP="00141158">
      <w:pPr>
        <w:rPr>
          <w:lang w:val="fr-FR"/>
        </w:rPr>
      </w:pPr>
      <w:r w:rsidRPr="00D972EF">
        <w:rPr>
          <w:lang w:val="fr-FR"/>
        </w:rPr>
        <w:t>Cette Section indique la méthode générale à utiliser pour tracer des contours de coordination en vue de l'application de la procédure de coordination visée au § 4.2 de l'Accord. Etant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14:paraId="1BA239D6" w14:textId="77777777"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14:paraId="399174C0" w14:textId="77777777" w:rsidR="00141158" w:rsidRPr="00D972EF" w:rsidRDefault="00141158" w:rsidP="00141158">
      <w:pPr>
        <w:pStyle w:val="Heading9"/>
        <w:rPr>
          <w:lang w:val="fr-FR"/>
        </w:rPr>
      </w:pPr>
      <w:r w:rsidRPr="00D972EF">
        <w:rPr>
          <w:lang w:val="fr-FR"/>
        </w:rPr>
        <w:lastRenderedPageBreak/>
        <w:t>5.1.2</w:t>
      </w:r>
    </w:p>
    <w:p w14:paraId="1C38B175" w14:textId="5CA71B6D" w:rsidR="00141158" w:rsidRPr="00D972EF" w:rsidRDefault="00141158" w:rsidP="003E6AAE">
      <w:pPr>
        <w:rPr>
          <w:lang w:val="fr-FR"/>
        </w:rPr>
      </w:pPr>
      <w:r w:rsidRPr="00D972EF">
        <w:rPr>
          <w:lang w:val="fr-FR"/>
        </w:rPr>
        <w:t>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w:t>
      </w:r>
      <w:r w:rsidR="003E6AAE">
        <w:rPr>
          <w:lang w:val="fr-FR"/>
        </w:rPr>
        <w:t xml:space="preserve"> </w:t>
      </w:r>
      <w:r w:rsidRPr="00D972EF">
        <w:rPr>
          <w:lang w:val="fr-FR"/>
        </w:rPr>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r>
      <w:r w:rsidR="0091721E">
        <w:rPr>
          <w:lang w:val="fr-FR"/>
        </w:rPr>
        <w:t>7</w:t>
      </w:r>
      <w:r w:rsidRPr="00D972EF">
        <w:rPr>
          <w:lang w:val="fr-FR"/>
        </w:rPr>
        <w:t>, UIT</w:t>
      </w:r>
      <w:r w:rsidRPr="00D972EF">
        <w:rPr>
          <w:lang w:val="fr-FR"/>
        </w:rPr>
        <w:noBreakHyphen/>
        <w:t>R F.759</w:t>
      </w:r>
      <w:r w:rsidR="00004E95">
        <w:rPr>
          <w:rStyle w:val="FootnoteReference"/>
          <w:lang w:val="fr-FR"/>
        </w:rPr>
        <w:footnoteReference w:customMarkFollows="1" w:id="2"/>
        <w:t>*</w:t>
      </w:r>
      <w:r w:rsidRPr="00D972EF">
        <w:rPr>
          <w:lang w:val="fr-FR"/>
        </w:rPr>
        <w:t xml:space="preserve"> et UIT-R SM.851-1. Etant donné que la Recommandation UIT-R F.758</w:t>
      </w:r>
      <w:r w:rsidRPr="00D972EF">
        <w:rPr>
          <w:lang w:val="fr-FR"/>
        </w:rPr>
        <w:noBreakHyphen/>
      </w:r>
      <w:r w:rsidR="0091721E">
        <w:rPr>
          <w:lang w:val="fr-FR"/>
        </w:rPr>
        <w:t>7</w:t>
      </w:r>
      <w:r w:rsidRPr="00D972EF">
        <w:rPr>
          <w:lang w:val="fr-FR"/>
        </w:rPr>
        <w:t xml:space="preserve">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14:paraId="45FCA8D3" w14:textId="77777777"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vis des assignations de télévision analogiques, dans les cas qui ne sont traités dans aucune Recommandation UIT-R, à l'aide de la formule suivante:</w:t>
      </w:r>
    </w:p>
    <w:p w14:paraId="08E57FE5" w14:textId="77777777" w:rsidR="00141158" w:rsidRPr="0085136E" w:rsidRDefault="00141158" w:rsidP="00141158">
      <w:pPr>
        <w:pStyle w:val="Equation"/>
        <w:jc w:val="center"/>
        <w:rPr>
          <w:rFonts w:eastAsia="SimSun"/>
          <w:lang w:val="en-US" w:eastAsia="zh-CN"/>
        </w:rPr>
      </w:pPr>
      <w:r w:rsidRPr="0085136E">
        <w:rPr>
          <w:rFonts w:eastAsia="SimSun"/>
          <w:i/>
          <w:szCs w:val="24"/>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ATV</w:t>
      </w:r>
      <w:r w:rsidRPr="0085136E">
        <w:rPr>
          <w:rFonts w:eastAsia="SimSun"/>
          <w:lang w:val="en-US" w:eastAsia="zh-CN"/>
        </w:rPr>
        <w:t xml:space="preserve">  =  </w:t>
      </w:r>
      <w:r w:rsidRPr="0085136E">
        <w:rPr>
          <w:rFonts w:eastAsia="SimSun"/>
          <w:i/>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14:paraId="6768347A" w14:textId="77777777" w:rsidR="00141158" w:rsidRPr="00D972EF" w:rsidRDefault="00141158" w:rsidP="00141158">
      <w:pPr>
        <w:rPr>
          <w:rFonts w:eastAsia="SimSun"/>
          <w:lang w:val="fr-FR" w:eastAsia="zh-CN"/>
        </w:rPr>
      </w:pPr>
      <w:r w:rsidRPr="00D972EF">
        <w:rPr>
          <w:rFonts w:eastAsia="SimSun"/>
          <w:lang w:val="fr-FR" w:eastAsia="zh-CN"/>
        </w:rPr>
        <w:t>où:</w:t>
      </w:r>
    </w:p>
    <w:p w14:paraId="23B226AE"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14:paraId="0482AC71" w14:textId="77777777"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14:paraId="241E2C9D" w14:textId="77777777"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w:t>
      </w:r>
      <w:r w:rsidRPr="00D972EF">
        <w:rPr>
          <w:lang w:val="fr-FR"/>
        </w:rPr>
        <w:softHyphen/>
        <w:t>mandation UIT-R SM.851</w:t>
      </w:r>
      <w:r w:rsidRPr="00D972EF">
        <w:rPr>
          <w:lang w:val="fr-FR"/>
        </w:rPr>
        <w:noBreakHyphen/>
        <w:t>1.</w:t>
      </w:r>
    </w:p>
    <w:p w14:paraId="34A25A67" w14:textId="77777777" w:rsidR="00141158" w:rsidRPr="00D972EF" w:rsidRDefault="00141158" w:rsidP="00141158">
      <w:pPr>
        <w:pStyle w:val="Heading9"/>
        <w:rPr>
          <w:lang w:val="fr-FR"/>
        </w:rPr>
      </w:pPr>
      <w:r w:rsidRPr="00D972EF">
        <w:rPr>
          <w:lang w:val="fr-FR"/>
        </w:rPr>
        <w:t>5.2.2</w:t>
      </w:r>
    </w:p>
    <w:p w14:paraId="5372F350" w14:textId="77777777" w:rsidR="00141158" w:rsidRPr="00D972EF" w:rsidRDefault="00141158" w:rsidP="00141158">
      <w:pPr>
        <w:rPr>
          <w:lang w:val="fr-FR"/>
        </w:rPr>
      </w:pPr>
      <w:r w:rsidRPr="00D972EF">
        <w:rPr>
          <w:lang w:val="fr-FR"/>
        </w:rPr>
        <w:t>1)</w:t>
      </w:r>
      <w:r w:rsidRPr="00D972EF">
        <w:rPr>
          <w:lang w:val="fr-FR"/>
        </w:rPr>
        <w:tab/>
        <w:t>Afin d'effectuer les calculs visés par cette disposition, le Bureau considérera que la station de radiodiffusion de référence mentionnée dans ladite disposition (d’une puissance rayonnée maximale de 53 dBW, une hauteur équivalente maximale de l'antenne de 600 m et une polarisation mixte) fonctionne dans un système DVB-T avec une largeur de bande de 8 MHz dans la bande d’ondes décimétriques et avec une largeur de bande de 7 MHz dans la bande d'ondes métriques.</w:t>
      </w:r>
    </w:p>
    <w:p w14:paraId="7BED325B" w14:textId="77777777" w:rsidR="00C76D27" w:rsidRDefault="00C76D2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5B1B548" w14:textId="77777777" w:rsidR="00141158" w:rsidRPr="00D972EF" w:rsidRDefault="00141158" w:rsidP="00141158">
      <w:pPr>
        <w:rPr>
          <w:lang w:val="fr-FR"/>
        </w:rPr>
      </w:pPr>
      <w:r w:rsidRPr="00D972EF">
        <w:rPr>
          <w:lang w:val="fr-FR"/>
        </w:rPr>
        <w:lastRenderedPageBreak/>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w:t>
      </w:r>
      <w:r w:rsidRPr="00D972EF">
        <w:rPr>
          <w:lang w:val="fr-FR"/>
        </w:rPr>
        <w:softHyphen/>
        <w:t>sition, compte tenu des indications figurant dans d'autres dispositions pertinentes (notamment les dispositions 5.1.2 et 5.2.1 de la Section I de l'Annexe 4).</w:t>
      </w:r>
    </w:p>
    <w:p w14:paraId="1D847E79" w14:textId="77777777"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(sauf  mobile aéronautique), le RRB a chargé le Bureau d'appliquer la méthode suivante pour tracer  le contour de coordination d'une station de réception du service mobile (sauf mobile aéronautique):</w:t>
      </w:r>
    </w:p>
    <w:p w14:paraId="7EF4B056" w14:textId="77777777" w:rsidR="00141158"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14:paraId="0C1DBEEB"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b)</w:t>
      </w:r>
      <w:r w:rsidRPr="00D972EF">
        <w:rPr>
          <w:lang w:val="fr-FR"/>
        </w:rPr>
        <w:tab/>
        <w:t xml:space="preserve">Déterminer les 360 points à la limite de la zone de service spécifiée </w:t>
      </w:r>
      <w:r w:rsidRPr="0094565F">
        <w:rPr>
          <w:i/>
          <w:iCs/>
          <w:lang w:val="fr-FR"/>
        </w:rPr>
        <w:t>(«points limites»)</w:t>
      </w:r>
      <w:r w:rsidRPr="00D972EF">
        <w:rPr>
          <w:lang w:val="fr-FR"/>
        </w:rPr>
        <w:t xml:space="preserve">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Pr="00D972EF">
        <w:rPr>
          <w:rStyle w:val="FootnoteReference"/>
          <w:sz w:val="20"/>
          <w:lang w:val="fr-FR"/>
        </w:rPr>
        <w:footnoteReference w:customMarkFollows="1" w:id="3"/>
        <w:t>1</w:t>
      </w:r>
      <w:r w:rsidRPr="00D972EF">
        <w:rPr>
          <w:lang w:val="fr-FR"/>
        </w:rPr>
        <w:t xml:space="preserve">. Lorsqu'il y a plusieurs intersections entre un rayon donné et la zone de service, le </w:t>
      </w:r>
      <w:r w:rsidRPr="0094565F">
        <w:rPr>
          <w:i/>
          <w:iCs/>
          <w:lang w:val="fr-FR"/>
        </w:rPr>
        <w:t>«point limite»</w:t>
      </w:r>
      <w:r w:rsidRPr="00D972EF">
        <w:rPr>
          <w:lang w:val="fr-FR"/>
        </w:rPr>
        <w:t xml:space="preserve"> sera le point d'intersection le plus éloigné du centre de gravité.</w:t>
      </w:r>
    </w:p>
    <w:p w14:paraId="6C31F198"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 xml:space="preserve">000 km </w:t>
      </w:r>
      <w:r w:rsidRPr="0094565F">
        <w:rPr>
          <w:i/>
          <w:iCs/>
          <w:lang w:val="fr-FR"/>
        </w:rPr>
        <w:t>(«points initiaux de l'émetteur de référence»)</w:t>
      </w:r>
      <w:r w:rsidRPr="00D972EF">
        <w:rPr>
          <w:lang w:val="fr-FR"/>
        </w:rPr>
        <w:t xml:space="preserv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14:paraId="530E4536" w14:textId="77777777"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Déterminer la distance de coordination pour chaque rayon de la façon suivante:</w:t>
      </w:r>
    </w:p>
    <w:p w14:paraId="6581FF28" w14:textId="77777777" w:rsidR="00141158" w:rsidRPr="00D972EF" w:rsidRDefault="00141158" w:rsidP="00B407CD">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placer l'émetteur de radiodiffusion de référence au point initial de l'émetteur de référence pour ce rayon et calculer à tous les points limites le champ rayonné depuis cet emplacement;</w:t>
      </w:r>
    </w:p>
    <w:p w14:paraId="472699DE"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 xml:space="preserve">si le champ rayonné par la station de radiodiffusion de référence est égal ou supérieur à la valeur seuil du champ mesurée en l'un quelconque des </w:t>
      </w:r>
      <w:r w:rsidRPr="0094565F">
        <w:rPr>
          <w:i/>
          <w:iCs/>
          <w:lang w:val="fr-FR"/>
        </w:rPr>
        <w:t>«points limites»</w:t>
      </w:r>
      <w:r w:rsidRPr="00D972EF">
        <w:rPr>
          <w:lang w:val="fr-FR"/>
        </w:rPr>
        <w:t>, le point initial de l'émetteur de référence détermine la distance de coordination pour ce rayon;</w:t>
      </w:r>
    </w:p>
    <w:p w14:paraId="2EE9A88D"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pPr>
    </w:p>
    <w:p w14:paraId="54F3E6F6" w14:textId="77777777" w:rsidR="00A94BC9" w:rsidRDefault="00A94BC9">
      <w:pPr>
        <w:tabs>
          <w:tab w:val="clear" w:pos="1134"/>
          <w:tab w:val="clear" w:pos="1871"/>
          <w:tab w:val="clear" w:pos="2268"/>
        </w:tabs>
        <w:overflowPunct/>
        <w:autoSpaceDE/>
        <w:autoSpaceDN/>
        <w:adjustRightInd/>
        <w:spacing w:before="0"/>
        <w:jc w:val="left"/>
        <w:textAlignment w:val="auto"/>
        <w:rPr>
          <w:lang w:val="fr-FR"/>
        </w:rPr>
        <w:sectPr w:rsidR="00A94BC9" w:rsidSect="002422C4">
          <w:headerReference w:type="even" r:id="rId10"/>
          <w:headerReference w:type="default" r:id="rId11"/>
          <w:headerReference w:type="first" r:id="rId12"/>
          <w:footnotePr>
            <w:pos w:val="beneathText"/>
          </w:footnotePr>
          <w:pgSz w:w="11907" w:h="16840" w:code="9"/>
          <w:pgMar w:top="1701" w:right="851" w:bottom="1134" w:left="1985" w:header="720" w:footer="482" w:gutter="0"/>
          <w:pgNumType w:start="1"/>
          <w:cols w:space="720"/>
          <w:vAlign w:val="both"/>
          <w:titlePg/>
        </w:sectPr>
      </w:pPr>
    </w:p>
    <w:p w14:paraId="2BF05EFC" w14:textId="77777777"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lastRenderedPageBreak/>
        <w:tab/>
        <w:t>3)</w:t>
      </w:r>
      <w:r w:rsidRPr="00D972EF">
        <w:rPr>
          <w:lang w:val="fr-FR"/>
        </w:rPr>
        <w:tab/>
        <w:t xml:space="preserve">si le champ rayonné par la station de radiodiffusion de référence est inférieur à la valeur seuil du champ mesurée à tous les </w:t>
      </w:r>
      <w:r w:rsidRPr="0094565F">
        <w:rPr>
          <w:i/>
          <w:iCs/>
          <w:lang w:val="fr-FR"/>
        </w:rPr>
        <w:t>«points limites»</w:t>
      </w:r>
      <w:r w:rsidRPr="00D972EF">
        <w:rPr>
          <w:lang w:val="fr-FR"/>
        </w:rPr>
        <w:t>, la station de radio</w:t>
      </w:r>
      <w:r w:rsidRPr="00D972EF">
        <w:rPr>
          <w:lang w:val="fr-FR"/>
        </w:rPr>
        <w:softHyphen/>
        <w:t xml:space="preserve">diffusion de référence est alors déplacée, par pas de 10 km, le long du rayon vers le centre de gravité de la zone de service jusqu'à ce que le champ rayonné depuis ce nouvel emplacement soit égal ou supérieur à la valeur seuil du champ mesurée en l'un quelconque des </w:t>
      </w:r>
      <w:r w:rsidRPr="0094565F">
        <w:rPr>
          <w:i/>
          <w:iCs/>
          <w:lang w:val="fr-FR"/>
        </w:rPr>
        <w:t>«points limites»</w:t>
      </w:r>
      <w:r w:rsidRPr="00D972EF">
        <w:rPr>
          <w:lang w:val="fr-FR"/>
        </w:rPr>
        <w:t xml:space="preserve">. L'emplacement de la station de radiodiffusion de référence à partir duquel la station produit un champ égal ou supérieur à la valeur seuil du champ mesurée en l'un quelconque des </w:t>
      </w:r>
      <w:r w:rsidRPr="0094565F">
        <w:rPr>
          <w:i/>
          <w:iCs/>
          <w:lang w:val="fr-FR"/>
        </w:rPr>
        <w:t>«points limites»</w:t>
      </w:r>
      <w:r w:rsidRPr="00D972EF">
        <w:rPr>
          <w:lang w:val="fr-FR"/>
        </w:rPr>
        <w:t>, détermine la distance de coordination pour ce rayon.</w:t>
      </w:r>
    </w:p>
    <w:p w14:paraId="3F78A770" w14:textId="77777777"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14:paraId="5D2AC363" w14:textId="77777777" w:rsidR="00A94BC9" w:rsidRPr="00752B17" w:rsidRDefault="00A94BC9" w:rsidP="00A94BC9">
      <w:pPr>
        <w:pStyle w:val="Heading2"/>
        <w:jc w:val="center"/>
        <w:rPr>
          <w:lang w:val="fr-CH"/>
        </w:rPr>
      </w:pPr>
      <w:r w:rsidRPr="00752B17">
        <w:rPr>
          <w:lang w:val="fr-CH"/>
        </w:rPr>
        <w:t>Appendice 1 à la Section I</w:t>
      </w:r>
    </w:p>
    <w:p w14:paraId="4C9688E7" w14:textId="77777777" w:rsidR="00A94BC9" w:rsidRPr="00752B17" w:rsidRDefault="00A94BC9" w:rsidP="00A94BC9">
      <w:pPr>
        <w:pStyle w:val="Heading1"/>
        <w:rPr>
          <w:lang w:val="fr-CH"/>
        </w:rPr>
      </w:pPr>
      <w:r w:rsidRPr="00752B17">
        <w:rPr>
          <w:lang w:val="fr-CH"/>
        </w:rPr>
        <w:t>A</w:t>
      </w:r>
      <w:r w:rsidRPr="00752B17">
        <w:rPr>
          <w:lang w:val="fr-CH"/>
        </w:rPr>
        <w:tab/>
        <w:t>Valeurs seuil du champ déclenchant la coordination pour la protection du service de radiodiffusion et d'autres services primaires vis</w:t>
      </w:r>
      <w:r w:rsidRPr="00752B17">
        <w:rPr>
          <w:lang w:val="fr-CH"/>
        </w:rPr>
        <w:noBreakHyphen/>
        <w:t>à</w:t>
      </w:r>
      <w:r w:rsidRPr="00752B17">
        <w:rPr>
          <w:lang w:val="fr-CH"/>
        </w:rPr>
        <w:noBreakHyphen/>
        <w:t xml:space="preserve">vis d'une </w:t>
      </w:r>
      <w:r w:rsidRPr="00DD4462">
        <w:rPr>
          <w:lang w:val="fr-CH"/>
        </w:rPr>
        <w:t>modification</w:t>
      </w:r>
      <w:r w:rsidRPr="00752B17">
        <w:rPr>
          <w:lang w:val="fr-CH"/>
        </w:rPr>
        <w:t xml:space="preserve"> du Plan</w:t>
      </w:r>
    </w:p>
    <w:p w14:paraId="460EDAE3" w14:textId="77777777" w:rsidR="00A94BC9" w:rsidRPr="00752B17" w:rsidRDefault="00A94BC9" w:rsidP="00A94BC9">
      <w:pPr>
        <w:pStyle w:val="Heading2"/>
        <w:rPr>
          <w:lang w:val="fr-CH"/>
        </w:rPr>
      </w:pPr>
      <w:r w:rsidRPr="00752B17">
        <w:rPr>
          <w:lang w:val="fr-CH"/>
        </w:rPr>
        <w:t>A.2</w:t>
      </w:r>
      <w:r w:rsidRPr="00752B17">
        <w:rPr>
          <w:lang w:val="fr-CH"/>
        </w:rPr>
        <w:tab/>
        <w:t>Valeurs seuil du champ déclenchant la coordination pour protéger le service mobile dans les bandes 174</w:t>
      </w:r>
      <w:r w:rsidRPr="00752B17">
        <w:rPr>
          <w:lang w:val="fr-CH"/>
        </w:rPr>
        <w:noBreakHyphen/>
        <w:t>230 MHz et 470</w:t>
      </w:r>
      <w:r w:rsidRPr="00752B17">
        <w:rPr>
          <w:lang w:val="fr-CH"/>
        </w:rPr>
        <w:noBreakHyphen/>
        <w:t>862 MHz</w:t>
      </w:r>
    </w:p>
    <w:p w14:paraId="42F00F8E" w14:textId="11847C94" w:rsidR="00A94BC9" w:rsidRPr="00752B17" w:rsidRDefault="00A94BC9" w:rsidP="0094565F">
      <w:pPr>
        <w:rPr>
          <w:lang w:val="fr-CH"/>
        </w:rPr>
      </w:pPr>
      <w:bookmarkStart w:id="0" w:name="OLE_LINK2"/>
      <w:r w:rsidRPr="00752B17">
        <w:rPr>
          <w:lang w:val="fr-CH"/>
        </w:rPr>
        <w:t>Le Tableau A.1.3</w:t>
      </w:r>
      <w:bookmarkEnd w:id="0"/>
      <w:r w:rsidRPr="00752B17">
        <w:rPr>
          <w:lang w:val="fr-CH"/>
        </w:rPr>
        <w:t xml:space="preserve"> de la présente section contient les codes de type de système applicables aux systèmes du service mobile et les valeurs seuil correspondantes du champ déclenchant la coordination à appliquer pour la protection vis-à-vis de la radiodiffusion DVB-T. Ces valeurs seuil de déclenchement de la coordination ne peuvent être appliquées aux stations IMT-2000 et IMT évoluées, étant donné que les systèmes spécifiques énumérés dans le tableau n'appartiennent pas à la «famille» de normes IMT. Quant au code générique «NB» figurant dans le tableau, il ne peut être utilisé pour les systèmes IMT, conformément aux Résolutions</w:t>
      </w:r>
      <w:r w:rsidR="00B76795">
        <w:rPr>
          <w:lang w:val="fr-CH"/>
        </w:rPr>
        <w:t> </w:t>
      </w:r>
      <w:r w:rsidRPr="00752B17">
        <w:rPr>
          <w:b/>
          <w:bCs/>
          <w:lang w:val="fr-CH"/>
        </w:rPr>
        <w:t>749</w:t>
      </w:r>
      <w:r w:rsidR="00B76795">
        <w:rPr>
          <w:lang w:val="fr-CH"/>
        </w:rPr>
        <w:t> </w:t>
      </w:r>
      <w:r w:rsidRPr="00752B17">
        <w:rPr>
          <w:b/>
          <w:bCs/>
          <w:lang w:val="fr-CH"/>
        </w:rPr>
        <w:t>(Rév.CMR-1</w:t>
      </w:r>
      <w:r w:rsidR="0094565F">
        <w:rPr>
          <w:b/>
          <w:bCs/>
          <w:lang w:val="fr-CH"/>
        </w:rPr>
        <w:t>9</w:t>
      </w:r>
      <w:r w:rsidRPr="00752B17">
        <w:rPr>
          <w:b/>
          <w:bCs/>
          <w:lang w:val="fr-CH"/>
        </w:rPr>
        <w:t>)</w:t>
      </w:r>
      <w:r w:rsidRPr="00752B17">
        <w:rPr>
          <w:lang w:val="fr-CH"/>
        </w:rPr>
        <w:t xml:space="preserve"> et </w:t>
      </w:r>
      <w:r w:rsidRPr="00752B17">
        <w:rPr>
          <w:b/>
          <w:bCs/>
          <w:lang w:val="fr-CH"/>
        </w:rPr>
        <w:t>760 (</w:t>
      </w:r>
      <w:r w:rsidR="0094565F" w:rsidRPr="0094565F">
        <w:rPr>
          <w:b/>
          <w:bCs/>
          <w:lang w:val="fr-CH"/>
        </w:rPr>
        <w:t>Rév.CMR-19</w:t>
      </w:r>
      <w:r w:rsidRPr="00752B17">
        <w:rPr>
          <w:b/>
          <w:bCs/>
          <w:lang w:val="fr-CH"/>
        </w:rPr>
        <w:t>)</w:t>
      </w:r>
      <w:r w:rsidRPr="00752B17">
        <w:rPr>
          <w:lang w:val="fr-CH"/>
        </w:rPr>
        <w:t xml:space="preserve">. </w:t>
      </w:r>
    </w:p>
    <w:p w14:paraId="0E91934E" w14:textId="77777777" w:rsidR="00A94BC9" w:rsidRPr="00752B17" w:rsidRDefault="00A94BC9" w:rsidP="00A94BC9">
      <w:pPr>
        <w:rPr>
          <w:lang w:val="fr-CH"/>
        </w:rPr>
      </w:pPr>
      <w:r w:rsidRPr="00752B17">
        <w:rPr>
          <w:lang w:val="fr-CH"/>
        </w:rPr>
        <w:t xml:space="preserve">Compte tenu de ce qui précède, le Comité a décidé que les administrations, lorsqu'elles soumettent des assignations de fréquence à des stations de systèmes </w:t>
      </w:r>
      <w:bookmarkStart w:id="1" w:name="OLE_LINK1"/>
      <w:r w:rsidRPr="00752B17">
        <w:rPr>
          <w:lang w:val="fr-CH"/>
        </w:rPr>
        <w:t>IMT-2000 et IMT évoluées</w:t>
      </w:r>
      <w:bookmarkEnd w:id="1"/>
      <w:r w:rsidRPr="00752B17">
        <w:rPr>
          <w:lang w:val="fr-CH"/>
        </w:rPr>
        <w:t xml:space="preserve"> dans la bande 470-862 MHz aux fins de l'application de la procédure de coordination prévue dans l'Accord GE06 et de la notification pour inscription dans le Fichier de référence, devront utiliser le code de type de système «ND».</w:t>
      </w:r>
    </w:p>
    <w:p w14:paraId="01CCCD37" w14:textId="77777777" w:rsidR="00A94BC9" w:rsidRPr="00752B17" w:rsidRDefault="00A94BC9" w:rsidP="00A94BC9">
      <w:pPr>
        <w:rPr>
          <w:rFonts w:eastAsia="SimSun"/>
          <w:lang w:val="fr-CH" w:eastAsia="zh-CN"/>
        </w:rPr>
      </w:pPr>
      <w:r w:rsidRPr="00752B17">
        <w:rPr>
          <w:lang w:val="fr-CH"/>
        </w:rPr>
        <w:t>Le Bureau calcule les valeurs seuil du champ déclenchant la coordination correspondant à ce code au moyen des caractéristiques techniques notifiées et la formule (2) donnée dans la Recommandation UIT-R M. 1767-0 de la façon suivante:</w:t>
      </w:r>
    </w:p>
    <w:p w14:paraId="28E95B19" w14:textId="77777777" w:rsidR="00A94BC9" w:rsidRPr="00752B17" w:rsidRDefault="00A94BC9" w:rsidP="00A94BC9">
      <w:pPr>
        <w:overflowPunct/>
        <w:autoSpaceDE/>
        <w:autoSpaceDN/>
        <w:adjustRightInd/>
        <w:spacing w:after="120"/>
        <w:jc w:val="center"/>
        <w:textAlignment w:val="auto"/>
        <w:rPr>
          <w:rFonts w:asciiTheme="minorHAnsi" w:eastAsia="SimSun" w:hAnsiTheme="minorHAnsi" w:cstheme="minorHAnsi"/>
          <w:i/>
          <w:iCs/>
          <w:lang w:val="fr-CH" w:eastAsia="zh-CN"/>
        </w:rPr>
      </w:pPr>
      <w:r w:rsidRPr="00752B17">
        <w:rPr>
          <w:rFonts w:asciiTheme="minorHAnsi" w:eastAsia="SimSun" w:hAnsiTheme="minorHAnsi" w:cstheme="minorHAnsi"/>
          <w:position w:val="-14"/>
          <w:lang w:val="fr-CH" w:eastAsia="zh-CN"/>
        </w:rPr>
        <w:object w:dxaOrig="5620" w:dyaOrig="380" w14:anchorId="132E1199">
          <v:shape id="_x0000_i1027" type="#_x0000_t75" style="width:296.85pt;height:17pt" o:ole="">
            <v:imagedata r:id="rId13" o:title=""/>
          </v:shape>
          <o:OLEObject Type="Embed" ProgID="Equation.3" ShapeID="_x0000_i1027" DrawAspect="Content" ObjectID="_1683445217" r:id="rId14"/>
        </w:object>
      </w:r>
      <w:r w:rsidRPr="00752B17">
        <w:rPr>
          <w:rFonts w:asciiTheme="minorHAnsi" w:eastAsia="SimSun" w:hAnsiTheme="minorHAnsi" w:cstheme="minorHAnsi"/>
          <w:i/>
          <w:iCs/>
          <w:lang w:val="fr-CH" w:eastAsia="zh-CN"/>
        </w:rPr>
        <w:t xml:space="preserve">- </w:t>
      </w:r>
      <w:r w:rsidRPr="00752B17">
        <w:rPr>
          <w:rFonts w:asciiTheme="minorHAnsi" w:eastAsia="SimSun" w:hAnsiTheme="minorHAnsi" w:cstheme="minorHAnsi"/>
          <w:i/>
          <w:iCs/>
          <w:szCs w:val="24"/>
          <w:lang w:val="fr-CH" w:eastAsia="zh-CN"/>
        </w:rPr>
        <w:t xml:space="preserve">K </w:t>
      </w:r>
    </w:p>
    <w:p w14:paraId="1B5896B1" w14:textId="77777777" w:rsidR="00EE70FE" w:rsidRDefault="00EE70FE" w:rsidP="00EE70FE">
      <w:pPr>
        <w:rPr>
          <w:lang w:val="fr-CH"/>
        </w:rPr>
      </w:pPr>
      <w:r>
        <w:rPr>
          <w:lang w:val="fr-CH"/>
        </w:rPr>
        <w:br w:type="page"/>
      </w:r>
    </w:p>
    <w:p w14:paraId="3099CF28" w14:textId="77777777" w:rsidR="00A94BC9" w:rsidRPr="00752B17" w:rsidRDefault="00A94BC9" w:rsidP="00EE70FE">
      <w:pPr>
        <w:rPr>
          <w:lang w:val="fr-CH"/>
        </w:rPr>
      </w:pPr>
      <w:r w:rsidRPr="00752B17">
        <w:rPr>
          <w:lang w:val="fr-CH"/>
        </w:rPr>
        <w:lastRenderedPageBreak/>
        <w:t>où:</w:t>
      </w:r>
    </w:p>
    <w:p w14:paraId="17ACF69E" w14:textId="77777777"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facteur de bruit du récepteur (récepteur de la station de base ou de la station mobile du service mobile) (dB) </w:t>
      </w:r>
    </w:p>
    <w:p w14:paraId="617DD101" w14:textId="77777777" w:rsidR="00A94BC9" w:rsidRPr="00752B17" w:rsidRDefault="00A94BC9" w:rsidP="00EE70FE">
      <w:pPr>
        <w:pStyle w:val="enumlev2"/>
        <w:rPr>
          <w:lang w:val="fr-CH"/>
        </w:rPr>
      </w:pPr>
      <w:r w:rsidRPr="00EE70FE">
        <w:rPr>
          <w:i/>
          <w:iCs/>
          <w:lang w:val="fr-CH"/>
        </w:rPr>
        <w:t>B</w:t>
      </w:r>
      <w:r w:rsidRPr="00EE70FE">
        <w:rPr>
          <w:i/>
          <w:iCs/>
          <w:vertAlign w:val="subscript"/>
          <w:lang w:val="fr-CH"/>
        </w:rPr>
        <w:t>i</w:t>
      </w:r>
      <w:r w:rsidRPr="00752B17">
        <w:rPr>
          <w:lang w:val="fr-CH"/>
        </w:rPr>
        <w:t>:</w:t>
      </w:r>
      <w:r w:rsidRPr="00752B17">
        <w:rPr>
          <w:lang w:val="fr-CH"/>
        </w:rPr>
        <w:tab/>
        <w:t xml:space="preserve">largeur de bande de la station de radiodiffusion de Terre (MHz) </w:t>
      </w:r>
    </w:p>
    <w:p w14:paraId="32C809C0" w14:textId="77777777" w:rsidR="00A94BC9" w:rsidRPr="00752B17" w:rsidRDefault="00A94BC9" w:rsidP="00EE70FE">
      <w:pPr>
        <w:pStyle w:val="enumlev2"/>
        <w:rPr>
          <w:lang w:val="fr-CH"/>
        </w:rPr>
      </w:pPr>
      <w:r w:rsidRPr="00EE70FE">
        <w:rPr>
          <w:i/>
          <w:iCs/>
          <w:lang w:val="fr-CH"/>
        </w:rPr>
        <w:t>G</w:t>
      </w:r>
      <w:r w:rsidRPr="00EE70FE">
        <w:rPr>
          <w:i/>
          <w:iCs/>
          <w:vertAlign w:val="subscript"/>
          <w:lang w:val="fr-CH"/>
        </w:rPr>
        <w:t>i</w:t>
      </w:r>
      <w:r w:rsidRPr="00752B17">
        <w:rPr>
          <w:lang w:val="fr-CH"/>
        </w:rPr>
        <w:t>:</w:t>
      </w:r>
      <w:r w:rsidRPr="00752B17">
        <w:rPr>
          <w:lang w:val="fr-CH"/>
        </w:rPr>
        <w:tab/>
        <w:t>gain d'antenne du récepteur de la station du service mobile (dBi)</w:t>
      </w:r>
    </w:p>
    <w:p w14:paraId="3F2AE44A" w14:textId="77777777" w:rsidR="00A94BC9" w:rsidRPr="00752B17" w:rsidRDefault="00A94BC9" w:rsidP="00EE70FE">
      <w:pPr>
        <w:pStyle w:val="enumlev2"/>
        <w:rPr>
          <w:lang w:val="fr-CH"/>
        </w:rPr>
      </w:pPr>
      <w:r w:rsidRPr="00EE70FE">
        <w:rPr>
          <w:i/>
          <w:iCs/>
          <w:lang w:val="fr-CH"/>
        </w:rPr>
        <w:t>L</w:t>
      </w:r>
      <w:r w:rsidRPr="00EE70FE">
        <w:rPr>
          <w:i/>
          <w:iCs/>
          <w:vertAlign w:val="subscript"/>
          <w:lang w:val="fr-CH"/>
        </w:rPr>
        <w:t>F</w:t>
      </w:r>
      <w:r w:rsidRPr="00752B17">
        <w:rPr>
          <w:lang w:val="fr-CH"/>
        </w:rPr>
        <w:t>:</w:t>
      </w:r>
      <w:r w:rsidRPr="00752B17">
        <w:rPr>
          <w:lang w:val="fr-CH"/>
        </w:rPr>
        <w:tab/>
        <w:t>affaiblissement du câble de l'antenne (dB)</w:t>
      </w:r>
    </w:p>
    <w:p w14:paraId="6B84C70B" w14:textId="77777777"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fréquence centrale de la station brouilleuse (MHz) </w:t>
      </w:r>
    </w:p>
    <w:p w14:paraId="5FD4DADE" w14:textId="77777777" w:rsidR="00A94BC9" w:rsidRPr="00752B17" w:rsidRDefault="00A94BC9" w:rsidP="00EE70FE">
      <w:pPr>
        <w:pStyle w:val="enumlev2"/>
        <w:rPr>
          <w:lang w:val="fr-CH"/>
        </w:rPr>
      </w:pPr>
      <w:r w:rsidRPr="00EE70FE">
        <w:rPr>
          <w:i/>
          <w:iCs/>
          <w:lang w:val="fr-CH"/>
        </w:rPr>
        <w:t>P</w:t>
      </w:r>
      <w:r w:rsidRPr="00EE70FE">
        <w:rPr>
          <w:i/>
          <w:iCs/>
          <w:vertAlign w:val="subscript"/>
          <w:lang w:val="fr-CH"/>
        </w:rPr>
        <w:t>o</w:t>
      </w:r>
      <w:r w:rsidRPr="00752B17">
        <w:rPr>
          <w:lang w:val="fr-CH"/>
        </w:rPr>
        <w:t>:</w:t>
      </w:r>
      <w:r w:rsidRPr="00752B17">
        <w:rPr>
          <w:lang w:val="fr-CH"/>
        </w:rPr>
        <w:tab/>
        <w:t>bruit artificiel (dB) (la valeur type est de 0 dB pour la bande des ondes décimétriques)</w:t>
      </w:r>
    </w:p>
    <w:p w14:paraId="03DD69D1" w14:textId="77777777" w:rsidR="00A94BC9" w:rsidRPr="00752B17" w:rsidRDefault="00A94BC9" w:rsidP="00EE70FE">
      <w:pPr>
        <w:pStyle w:val="enumlev2"/>
        <w:rPr>
          <w:lang w:val="fr-CH"/>
        </w:rPr>
      </w:pPr>
      <w:r w:rsidRPr="00EE70FE">
        <w:rPr>
          <w:i/>
          <w:iCs/>
          <w:lang w:val="fr-CH"/>
        </w:rPr>
        <w:t>I</w:t>
      </w:r>
      <w:r w:rsidRPr="00752B17">
        <w:rPr>
          <w:lang w:val="fr-CH"/>
        </w:rPr>
        <w:t>/</w:t>
      </w:r>
      <w:r w:rsidRPr="00EE70FE">
        <w:rPr>
          <w:i/>
          <w:iCs/>
          <w:lang w:val="fr-CH"/>
        </w:rPr>
        <w:t>N</w:t>
      </w:r>
      <w:r w:rsidRPr="00752B17">
        <w:rPr>
          <w:lang w:val="fr-CH"/>
        </w:rPr>
        <w:t>:</w:t>
      </w:r>
      <w:r w:rsidRPr="00752B17">
        <w:rPr>
          <w:lang w:val="fr-CH"/>
        </w:rPr>
        <w:tab/>
        <w:t>rapport brouillage/bruit</w:t>
      </w:r>
    </w:p>
    <w:p w14:paraId="6031315E" w14:textId="77777777" w:rsidR="00A94BC9" w:rsidRPr="00752B17" w:rsidRDefault="00A94BC9" w:rsidP="00EE70FE">
      <w:pPr>
        <w:pStyle w:val="enumlev2"/>
        <w:rPr>
          <w:lang w:val="fr-CH"/>
        </w:rPr>
      </w:pPr>
      <w:r w:rsidRPr="00EE70FE">
        <w:rPr>
          <w:i/>
          <w:iCs/>
          <w:lang w:val="fr-CH"/>
        </w:rPr>
        <w:t>K</w:t>
      </w:r>
      <w:r w:rsidRPr="00752B17">
        <w:rPr>
          <w:lang w:val="fr-CH"/>
        </w:rPr>
        <w:t>:</w:t>
      </w:r>
      <w:r w:rsidRPr="00752B17">
        <w:rPr>
          <w:lang w:val="fr-CH"/>
        </w:rPr>
        <w:tab/>
        <w:t>facteur de correction du chevauchement, calculé comme indiqué dans la Pièce jointe à l'Appendice 4.2 de l'Accord GE06 (Tableaux AT.4.2-4 et AT.4.2-5), où la largeur de bande de chevauchement est calculée comme suit:</w:t>
      </w:r>
    </w:p>
    <w:p w14:paraId="5A3FD710" w14:textId="77777777" w:rsidR="00A94BC9" w:rsidRPr="00752B17" w:rsidRDefault="00A94BC9" w:rsidP="00EE70FE">
      <w:pPr>
        <w:jc w:val="center"/>
        <w:rPr>
          <w:lang w:val="fr-CH"/>
        </w:rPr>
      </w:pPr>
      <w:r w:rsidRPr="00752B17">
        <w:rPr>
          <w:i/>
          <w:iCs/>
          <w:lang w:val="fr-CH"/>
        </w:rPr>
        <w:t xml:space="preserve">Bo </w:t>
      </w:r>
      <w:r w:rsidRPr="00752B17">
        <w:rPr>
          <w:lang w:val="fr-CH"/>
        </w:rPr>
        <w:t>= Min (</w:t>
      </w:r>
      <w:r w:rsidRPr="00752B17">
        <w:rPr>
          <w:i/>
          <w:iCs/>
          <w:lang w:val="fr-CH"/>
        </w:rPr>
        <w:t>Bi, Bv</w:t>
      </w:r>
      <w:r w:rsidRPr="00752B17">
        <w:rPr>
          <w:lang w:val="fr-CH"/>
        </w:rPr>
        <w:t>, (</w:t>
      </w:r>
      <w:r w:rsidRPr="00752B17">
        <w:rPr>
          <w:i/>
          <w:iCs/>
          <w:lang w:val="fr-CH"/>
        </w:rPr>
        <w:t xml:space="preserve">Bv </w:t>
      </w:r>
      <w:r w:rsidRPr="00752B17">
        <w:rPr>
          <w:lang w:val="fr-CH"/>
        </w:rPr>
        <w:t xml:space="preserve">+ </w:t>
      </w:r>
      <w:r w:rsidRPr="00752B17">
        <w:rPr>
          <w:i/>
          <w:iCs/>
          <w:lang w:val="fr-CH"/>
        </w:rPr>
        <w:t>Bi</w:t>
      </w:r>
      <w:r w:rsidRPr="00752B17">
        <w:rPr>
          <w:lang w:val="fr-CH"/>
        </w:rPr>
        <w:t xml:space="preserve">)/2 – </w:t>
      </w:r>
      <w:r w:rsidRPr="00752B17">
        <w:rPr>
          <w:lang w:val="fr-CH"/>
        </w:rPr>
        <w:sym w:font="Symbol" w:char="F07C"/>
      </w:r>
      <w:r w:rsidRPr="00752B17">
        <w:rPr>
          <w:lang w:val="fr-CH"/>
        </w:rPr>
        <w:sym w:font="Symbol" w:char="F044"/>
      </w:r>
      <w:r w:rsidRPr="00752B17">
        <w:rPr>
          <w:i/>
          <w:iCs/>
          <w:lang w:val="fr-CH"/>
        </w:rPr>
        <w:t>f</w:t>
      </w:r>
      <w:r w:rsidRPr="00752B17">
        <w:rPr>
          <w:lang w:val="fr-CH"/>
        </w:rPr>
        <w:sym w:font="Symbol" w:char="F07C"/>
      </w:r>
      <w:r w:rsidRPr="00752B17">
        <w:rPr>
          <w:lang w:val="fr-CH"/>
        </w:rPr>
        <w:t>)</w:t>
      </w:r>
    </w:p>
    <w:p w14:paraId="5E2A5A93" w14:textId="77777777" w:rsidR="00A94BC9" w:rsidRPr="00752B17" w:rsidRDefault="00A94BC9" w:rsidP="00EE70FE">
      <w:pPr>
        <w:rPr>
          <w:lang w:val="fr-CH"/>
        </w:rPr>
      </w:pPr>
      <w:r w:rsidRPr="00752B17">
        <w:rPr>
          <w:lang w:val="fr-CH"/>
        </w:rPr>
        <w:t>où:</w:t>
      </w:r>
    </w:p>
    <w:p w14:paraId="19E1AA79" w14:textId="77777777" w:rsidR="00A94BC9" w:rsidRPr="00752B17" w:rsidRDefault="00A94BC9" w:rsidP="00EE70FE">
      <w:pPr>
        <w:pStyle w:val="enumlev2"/>
        <w:rPr>
          <w:lang w:val="fr-CH"/>
        </w:rPr>
      </w:pPr>
      <w:r w:rsidRPr="00752B17">
        <w:rPr>
          <w:i/>
          <w:iCs/>
          <w:lang w:val="fr-CH"/>
        </w:rPr>
        <w:t>Bv</w:t>
      </w:r>
      <w:r w:rsidRPr="00752B17">
        <w:rPr>
          <w:lang w:val="fr-CH"/>
        </w:rPr>
        <w:t>:</w:t>
      </w:r>
      <w:r w:rsidRPr="00752B17">
        <w:rPr>
          <w:lang w:val="fr-CH"/>
        </w:rPr>
        <w:tab/>
      </w:r>
      <w:r w:rsidRPr="00EE70FE">
        <w:rPr>
          <w:lang w:val="fr-CH"/>
        </w:rPr>
        <w:t>largeur</w:t>
      </w:r>
      <w:r w:rsidRPr="00752B17">
        <w:rPr>
          <w:lang w:val="fr-CH"/>
        </w:rPr>
        <w:t xml:space="preserve"> de bande de la station de réception du service mobile </w:t>
      </w:r>
    </w:p>
    <w:p w14:paraId="01559B1C" w14:textId="77777777" w:rsidR="00A94BC9" w:rsidRPr="00752B17" w:rsidRDefault="00A94BC9" w:rsidP="00EE70FE">
      <w:pPr>
        <w:pStyle w:val="enumlev2"/>
        <w:rPr>
          <w:lang w:val="fr-CH"/>
        </w:rPr>
      </w:pPr>
      <w:r w:rsidRPr="00752B17">
        <w:rPr>
          <w:lang w:val="fr-CH"/>
        </w:rPr>
        <w:sym w:font="Symbol" w:char="F044"/>
      </w:r>
      <w:r w:rsidRPr="00752B17">
        <w:rPr>
          <w:i/>
          <w:iCs/>
          <w:lang w:val="fr-CH"/>
        </w:rPr>
        <w:t>f</w:t>
      </w:r>
      <w:r w:rsidRPr="00752B17">
        <w:rPr>
          <w:lang w:val="fr-CH"/>
        </w:rPr>
        <w:t>:</w:t>
      </w:r>
      <w:r w:rsidRPr="00752B17">
        <w:rPr>
          <w:lang w:val="fr-CH"/>
        </w:rPr>
        <w:tab/>
        <w:t xml:space="preserve">différence entre la fréquence centrale du système du service mobile et la fréquence centrale du signal brouilleur (DVB-T). </w:t>
      </w:r>
    </w:p>
    <w:p w14:paraId="4C2C28A9" w14:textId="77777777" w:rsidR="00A94BC9" w:rsidRPr="00752B17" w:rsidRDefault="00A94BC9" w:rsidP="00A94BC9">
      <w:pPr>
        <w:rPr>
          <w:rFonts w:eastAsia="SimSun"/>
          <w:lang w:val="fr-CH" w:eastAsia="zh-CN"/>
        </w:rPr>
      </w:pPr>
      <w:r w:rsidRPr="00752B17">
        <w:rPr>
          <w:lang w:val="fr-CH"/>
        </w:rPr>
        <w:t>Les paramètres à appliquer dans la formule sont énumérés ci-dessous. Ils sont tirés du Rapport UIT</w:t>
      </w:r>
      <w:r w:rsidRPr="00752B17">
        <w:rPr>
          <w:lang w:val="fr-CH"/>
        </w:rPr>
        <w:noBreakHyphen/>
        <w:t>R M.2039-3 pour les systèmes IMT-2000 et du Rapport UIT</w:t>
      </w:r>
      <w:r w:rsidRPr="00752B17">
        <w:rPr>
          <w:lang w:val="fr-CH"/>
        </w:rPr>
        <w:noBreakHyphen/>
        <w:t>R M.2292-0 pour les systèmes IMT évolués.</w:t>
      </w:r>
    </w:p>
    <w:tbl>
      <w:tblPr>
        <w:tblStyle w:val="TableGrid"/>
        <w:tblW w:w="0" w:type="auto"/>
        <w:jc w:val="center"/>
        <w:tblLook w:val="04A0" w:firstRow="1" w:lastRow="0" w:firstColumn="1" w:lastColumn="0" w:noHBand="0" w:noVBand="1"/>
      </w:tblPr>
      <w:tblGrid>
        <w:gridCol w:w="3539"/>
        <w:gridCol w:w="1985"/>
        <w:gridCol w:w="2551"/>
      </w:tblGrid>
      <w:tr w:rsidR="00A94BC9" w:rsidRPr="00B52F2C" w14:paraId="54E8C274" w14:textId="77777777" w:rsidTr="00EE70FE">
        <w:trPr>
          <w:jc w:val="center"/>
        </w:trPr>
        <w:tc>
          <w:tcPr>
            <w:tcW w:w="3539" w:type="dxa"/>
            <w:vAlign w:val="center"/>
          </w:tcPr>
          <w:p w14:paraId="5520AAAB" w14:textId="77777777" w:rsidR="00A94BC9" w:rsidRPr="00EE70FE" w:rsidRDefault="00A94BC9" w:rsidP="00EE70FE">
            <w:pPr>
              <w:pStyle w:val="Tablehead0"/>
              <w:framePr w:hSpace="181" w:wrap="notBeside" w:vAnchor="text" w:hAnchor="text" w:xAlign="center" w:y="1"/>
            </w:pPr>
            <w:r w:rsidRPr="00EE70FE">
              <w:t>Paramètres</w:t>
            </w:r>
          </w:p>
        </w:tc>
        <w:tc>
          <w:tcPr>
            <w:tcW w:w="1985" w:type="dxa"/>
            <w:vAlign w:val="center"/>
          </w:tcPr>
          <w:p w14:paraId="61404E2A" w14:textId="77777777" w:rsidR="00A94BC9" w:rsidRPr="00EE70FE" w:rsidRDefault="00A94BC9" w:rsidP="00EE70FE">
            <w:pPr>
              <w:pStyle w:val="Tablehead0"/>
              <w:framePr w:hSpace="181" w:wrap="notBeside" w:vAnchor="text" w:hAnchor="text" w:xAlign="center" w:y="1"/>
            </w:pPr>
            <w:r w:rsidRPr="00EE70FE">
              <w:t>Station de base de réception (ML)</w:t>
            </w:r>
          </w:p>
        </w:tc>
        <w:tc>
          <w:tcPr>
            <w:tcW w:w="2551" w:type="dxa"/>
          </w:tcPr>
          <w:p w14:paraId="7B039E9C" w14:textId="77777777" w:rsidR="00A94BC9" w:rsidRPr="00EE70FE" w:rsidRDefault="00A94BC9" w:rsidP="00EE70FE">
            <w:pPr>
              <w:pStyle w:val="Tablehead0"/>
              <w:framePr w:hSpace="181" w:wrap="notBeside" w:vAnchor="text" w:hAnchor="text" w:xAlign="center" w:y="1"/>
            </w:pPr>
            <w:r w:rsidRPr="00EE70FE">
              <w:t>Station mobile de réception (FB)</w:t>
            </w:r>
          </w:p>
        </w:tc>
      </w:tr>
      <w:tr w:rsidR="00A94BC9" w:rsidRPr="00752B17" w14:paraId="0221A204" w14:textId="77777777" w:rsidTr="00EE70FE">
        <w:trPr>
          <w:jc w:val="center"/>
        </w:trPr>
        <w:tc>
          <w:tcPr>
            <w:tcW w:w="3539" w:type="dxa"/>
          </w:tcPr>
          <w:p w14:paraId="0078B8AE" w14:textId="77777777" w:rsidR="00A94BC9" w:rsidRPr="00EE70FE" w:rsidRDefault="00A94BC9" w:rsidP="00EE70FE">
            <w:pPr>
              <w:pStyle w:val="Tabletext0"/>
              <w:framePr w:hSpace="181" w:wrap="notBeside" w:vAnchor="text" w:hAnchor="text" w:xAlign="center" w:y="1"/>
            </w:pPr>
            <w:r w:rsidRPr="00DD4462">
              <w:rPr>
                <w:i/>
                <w:iCs/>
              </w:rPr>
              <w:t>f</w:t>
            </w:r>
            <w:r w:rsidRPr="00EE70FE">
              <w:t xml:space="preserve"> (fréquence centrale, MHz)</w:t>
            </w:r>
          </w:p>
        </w:tc>
        <w:tc>
          <w:tcPr>
            <w:tcW w:w="4536" w:type="dxa"/>
            <w:gridSpan w:val="2"/>
          </w:tcPr>
          <w:p w14:paraId="3251AB33" w14:textId="77777777" w:rsidR="00A94BC9" w:rsidRPr="00EE70FE" w:rsidRDefault="00A94BC9" w:rsidP="00EE70FE">
            <w:pPr>
              <w:pStyle w:val="Tabletext0"/>
              <w:framePr w:hSpace="181" w:wrap="notBeside" w:vAnchor="text" w:hAnchor="text" w:xAlign="center" w:y="1"/>
              <w:jc w:val="center"/>
            </w:pPr>
            <w:r w:rsidRPr="00EE70FE">
              <w:t>470-862</w:t>
            </w:r>
          </w:p>
        </w:tc>
      </w:tr>
      <w:tr w:rsidR="00A94BC9" w:rsidRPr="00752B17" w14:paraId="677DE2CD" w14:textId="77777777" w:rsidTr="00EE70FE">
        <w:trPr>
          <w:jc w:val="center"/>
        </w:trPr>
        <w:tc>
          <w:tcPr>
            <w:tcW w:w="3539" w:type="dxa"/>
            <w:vAlign w:val="center"/>
          </w:tcPr>
          <w:p w14:paraId="5F51344D" w14:textId="77777777" w:rsidR="00A94BC9" w:rsidRPr="00EE70FE" w:rsidRDefault="00A94BC9" w:rsidP="00EE70FE">
            <w:pPr>
              <w:pStyle w:val="Tabletext0"/>
              <w:framePr w:hSpace="181" w:wrap="notBeside" w:vAnchor="text" w:hAnchor="text" w:xAlign="center" w:y="1"/>
            </w:pPr>
            <w:r w:rsidRPr="0084013A">
              <w:rPr>
                <w:i/>
                <w:iCs/>
              </w:rPr>
              <w:t>F</w:t>
            </w:r>
            <w:r w:rsidRPr="00EE70FE">
              <w:t xml:space="preserve"> (facteur de bruit du récepteur, dB)</w:t>
            </w:r>
          </w:p>
        </w:tc>
        <w:tc>
          <w:tcPr>
            <w:tcW w:w="1985" w:type="dxa"/>
            <w:vAlign w:val="center"/>
          </w:tcPr>
          <w:p w14:paraId="4950630D" w14:textId="77777777" w:rsidR="00A94BC9" w:rsidRPr="00EE70FE" w:rsidRDefault="00A94BC9" w:rsidP="00EE70FE">
            <w:pPr>
              <w:pStyle w:val="Tabletext0"/>
              <w:framePr w:hSpace="181" w:wrap="notBeside" w:vAnchor="text" w:hAnchor="text" w:xAlign="center" w:y="1"/>
              <w:jc w:val="center"/>
            </w:pPr>
            <w:r w:rsidRPr="00EE70FE">
              <w:t>5</w:t>
            </w:r>
          </w:p>
        </w:tc>
        <w:tc>
          <w:tcPr>
            <w:tcW w:w="2551" w:type="dxa"/>
          </w:tcPr>
          <w:p w14:paraId="2BF4C031" w14:textId="77777777" w:rsidR="00A94BC9" w:rsidRPr="00EE70FE" w:rsidRDefault="00A94BC9" w:rsidP="00EE70FE">
            <w:pPr>
              <w:pStyle w:val="Tabletext0"/>
              <w:framePr w:hSpace="181" w:wrap="notBeside" w:vAnchor="text" w:hAnchor="text" w:xAlign="center" w:y="1"/>
              <w:jc w:val="center"/>
            </w:pPr>
            <w:r w:rsidRPr="00EE70FE">
              <w:t>9</w:t>
            </w:r>
          </w:p>
        </w:tc>
      </w:tr>
      <w:tr w:rsidR="00A94BC9" w:rsidRPr="00752B17" w14:paraId="1078FE88" w14:textId="77777777" w:rsidTr="00EE70FE">
        <w:trPr>
          <w:jc w:val="center"/>
        </w:trPr>
        <w:tc>
          <w:tcPr>
            <w:tcW w:w="3539" w:type="dxa"/>
            <w:vAlign w:val="center"/>
          </w:tcPr>
          <w:p w14:paraId="6372CBDB" w14:textId="77777777" w:rsidR="00A94BC9" w:rsidRPr="00EE70FE" w:rsidRDefault="0084013A" w:rsidP="00EE70FE">
            <w:pPr>
              <w:pStyle w:val="Tabletext0"/>
              <w:framePr w:hSpace="181" w:wrap="notBeside" w:vAnchor="text" w:hAnchor="text" w:xAlign="center" w:y="1"/>
            </w:pPr>
            <w:r w:rsidRPr="001C15B5">
              <w:rPr>
                <w:rFonts w:eastAsia="SimSun"/>
                <w:i/>
                <w:iCs/>
              </w:rPr>
              <w:t>G</w:t>
            </w:r>
            <w:r w:rsidRPr="001C15B5">
              <w:rPr>
                <w:rFonts w:eastAsia="SimSun"/>
                <w:i/>
                <w:iCs/>
                <w:vertAlign w:val="subscript"/>
              </w:rPr>
              <w:t>i</w:t>
            </w:r>
            <w:r w:rsidR="00A94BC9" w:rsidRPr="00EE70FE">
              <w:t xml:space="preserve"> (gain d'antenne du récepteur, dBi)</w:t>
            </w:r>
          </w:p>
        </w:tc>
        <w:tc>
          <w:tcPr>
            <w:tcW w:w="1985" w:type="dxa"/>
            <w:vAlign w:val="center"/>
          </w:tcPr>
          <w:p w14:paraId="4603744A" w14:textId="77777777" w:rsidR="00A94BC9" w:rsidRPr="00EE70FE" w:rsidRDefault="00A94BC9" w:rsidP="00EE70FE">
            <w:pPr>
              <w:pStyle w:val="Tabletext0"/>
              <w:framePr w:hSpace="181" w:wrap="notBeside" w:vAnchor="text" w:hAnchor="text" w:xAlign="center" w:y="1"/>
              <w:jc w:val="center"/>
            </w:pPr>
            <w:r w:rsidRPr="00EE70FE">
              <w:t>15</w:t>
            </w:r>
          </w:p>
        </w:tc>
        <w:tc>
          <w:tcPr>
            <w:tcW w:w="2551" w:type="dxa"/>
          </w:tcPr>
          <w:p w14:paraId="0D910BA9" w14:textId="77777777" w:rsidR="00A94BC9" w:rsidRPr="00EE70FE" w:rsidRDefault="00A94BC9" w:rsidP="00EE70FE">
            <w:pPr>
              <w:pStyle w:val="Tabletext0"/>
              <w:framePr w:hSpace="181" w:wrap="notBeside" w:vAnchor="text" w:hAnchor="text" w:xAlign="center" w:y="1"/>
              <w:jc w:val="center"/>
            </w:pPr>
            <w:r w:rsidRPr="00EE70FE">
              <w:t>–3</w:t>
            </w:r>
          </w:p>
        </w:tc>
      </w:tr>
      <w:tr w:rsidR="00A94BC9" w:rsidRPr="00752B17" w14:paraId="4E4C6098" w14:textId="77777777" w:rsidTr="00EE70FE">
        <w:trPr>
          <w:jc w:val="center"/>
        </w:trPr>
        <w:tc>
          <w:tcPr>
            <w:tcW w:w="3539" w:type="dxa"/>
            <w:vAlign w:val="center"/>
          </w:tcPr>
          <w:p w14:paraId="0CC95A5C" w14:textId="77777777" w:rsidR="00A94BC9" w:rsidRPr="00EE70FE" w:rsidRDefault="0084013A" w:rsidP="00EE70FE">
            <w:pPr>
              <w:pStyle w:val="Tabletext0"/>
              <w:framePr w:hSpace="181" w:wrap="notBeside" w:vAnchor="text" w:hAnchor="text" w:xAlign="center" w:y="1"/>
            </w:pPr>
            <w:r w:rsidRPr="001C15B5">
              <w:rPr>
                <w:rFonts w:eastAsia="SimSun"/>
                <w:i/>
                <w:iCs/>
              </w:rPr>
              <w:t>L</w:t>
            </w:r>
            <w:r w:rsidRPr="001C15B5">
              <w:rPr>
                <w:rFonts w:eastAsia="SimSun"/>
                <w:i/>
                <w:iCs/>
                <w:vertAlign w:val="subscript"/>
              </w:rPr>
              <w:t>F</w:t>
            </w:r>
            <w:r w:rsidR="00A94BC9" w:rsidRPr="00EE70FE">
              <w:t xml:space="preserve"> (affaiblissement du câble de l'antenne, dB)</w:t>
            </w:r>
          </w:p>
        </w:tc>
        <w:tc>
          <w:tcPr>
            <w:tcW w:w="1985" w:type="dxa"/>
            <w:vAlign w:val="center"/>
          </w:tcPr>
          <w:p w14:paraId="239C42AE" w14:textId="77777777" w:rsidR="00A94BC9" w:rsidRPr="00EE70FE" w:rsidRDefault="00A94BC9" w:rsidP="00EE70FE">
            <w:pPr>
              <w:pStyle w:val="Tabletext0"/>
              <w:framePr w:hSpace="181" w:wrap="notBeside" w:vAnchor="text" w:hAnchor="text" w:xAlign="center" w:y="1"/>
              <w:jc w:val="center"/>
            </w:pPr>
            <w:r w:rsidRPr="00EE70FE">
              <w:t>3</w:t>
            </w:r>
          </w:p>
        </w:tc>
        <w:tc>
          <w:tcPr>
            <w:tcW w:w="2551" w:type="dxa"/>
          </w:tcPr>
          <w:p w14:paraId="3CB6DD16"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1F12A57C" w14:textId="77777777" w:rsidTr="00EE70FE">
        <w:trPr>
          <w:jc w:val="center"/>
        </w:trPr>
        <w:tc>
          <w:tcPr>
            <w:tcW w:w="3539" w:type="dxa"/>
            <w:vAlign w:val="center"/>
          </w:tcPr>
          <w:p w14:paraId="63228B9F" w14:textId="77777777" w:rsidR="00A94BC9" w:rsidRPr="00EE70FE" w:rsidRDefault="0084013A" w:rsidP="00EE70FE">
            <w:pPr>
              <w:pStyle w:val="Tabletext0"/>
              <w:framePr w:hSpace="181" w:wrap="notBeside" w:vAnchor="text" w:hAnchor="text" w:xAlign="center" w:y="1"/>
            </w:pPr>
            <w:r w:rsidRPr="001C15B5">
              <w:rPr>
                <w:rFonts w:eastAsia="SimSun"/>
                <w:i/>
                <w:iCs/>
              </w:rPr>
              <w:t>P</w:t>
            </w:r>
            <w:r w:rsidRPr="001C15B5">
              <w:rPr>
                <w:rFonts w:eastAsia="SimSun"/>
                <w:i/>
                <w:iCs/>
                <w:vertAlign w:val="subscript"/>
              </w:rPr>
              <w:t>o</w:t>
            </w:r>
            <w:r w:rsidR="00A94BC9" w:rsidRPr="00EE70FE">
              <w:t xml:space="preserve"> (bruit artificiel, dB)</w:t>
            </w:r>
          </w:p>
        </w:tc>
        <w:tc>
          <w:tcPr>
            <w:tcW w:w="1985" w:type="dxa"/>
            <w:vAlign w:val="center"/>
          </w:tcPr>
          <w:p w14:paraId="3F533BE3" w14:textId="77777777" w:rsidR="00A94BC9" w:rsidRPr="00EE70FE" w:rsidRDefault="00A94BC9" w:rsidP="00EE70FE">
            <w:pPr>
              <w:pStyle w:val="Tabletext0"/>
              <w:framePr w:hSpace="181" w:wrap="notBeside" w:vAnchor="text" w:hAnchor="text" w:xAlign="center" w:y="1"/>
              <w:jc w:val="center"/>
            </w:pPr>
            <w:r w:rsidRPr="00EE70FE">
              <w:t>0</w:t>
            </w:r>
          </w:p>
        </w:tc>
        <w:tc>
          <w:tcPr>
            <w:tcW w:w="2551" w:type="dxa"/>
          </w:tcPr>
          <w:p w14:paraId="772D473B" w14:textId="77777777" w:rsidR="00A94BC9" w:rsidRPr="00EE70FE" w:rsidRDefault="00A94BC9" w:rsidP="00EE70FE">
            <w:pPr>
              <w:pStyle w:val="Tabletext0"/>
              <w:framePr w:hSpace="181" w:wrap="notBeside" w:vAnchor="text" w:hAnchor="text" w:xAlign="center" w:y="1"/>
              <w:jc w:val="center"/>
            </w:pPr>
            <w:r w:rsidRPr="00EE70FE">
              <w:t>0</w:t>
            </w:r>
          </w:p>
        </w:tc>
      </w:tr>
      <w:tr w:rsidR="00A94BC9" w:rsidRPr="00752B17" w14:paraId="6B06F2FF" w14:textId="77777777" w:rsidTr="00EE70FE">
        <w:trPr>
          <w:jc w:val="center"/>
        </w:trPr>
        <w:tc>
          <w:tcPr>
            <w:tcW w:w="3539" w:type="dxa"/>
            <w:vAlign w:val="center"/>
          </w:tcPr>
          <w:p w14:paraId="2963540D" w14:textId="77777777" w:rsidR="00A94BC9" w:rsidRPr="00EE70FE" w:rsidRDefault="00DD4462" w:rsidP="00EE70FE">
            <w:pPr>
              <w:pStyle w:val="Tabletext0"/>
              <w:framePr w:hSpace="181" w:wrap="notBeside" w:vAnchor="text" w:hAnchor="text" w:xAlign="center" w:y="1"/>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985" w:type="dxa"/>
            <w:vAlign w:val="center"/>
          </w:tcPr>
          <w:p w14:paraId="629C2D92" w14:textId="77777777" w:rsidR="00A94BC9" w:rsidRPr="00EE70FE" w:rsidRDefault="00A94BC9" w:rsidP="00EE70FE">
            <w:pPr>
              <w:pStyle w:val="Tabletext0"/>
              <w:framePr w:hSpace="181" w:wrap="notBeside" w:vAnchor="text" w:hAnchor="text" w:xAlign="center" w:y="1"/>
              <w:jc w:val="center"/>
            </w:pPr>
            <w:r w:rsidRPr="00EE70FE">
              <w:t>–7</w:t>
            </w:r>
          </w:p>
        </w:tc>
        <w:tc>
          <w:tcPr>
            <w:tcW w:w="2551" w:type="dxa"/>
          </w:tcPr>
          <w:p w14:paraId="1C8D1262" w14:textId="77777777" w:rsidR="00A94BC9" w:rsidRPr="00EE70FE" w:rsidRDefault="00A94BC9" w:rsidP="00EE70FE">
            <w:pPr>
              <w:pStyle w:val="Tabletext0"/>
              <w:framePr w:hSpace="181" w:wrap="notBeside" w:vAnchor="text" w:hAnchor="text" w:xAlign="center" w:y="1"/>
              <w:jc w:val="center"/>
            </w:pPr>
            <w:r w:rsidRPr="00EE70FE">
              <w:t>12</w:t>
            </w:r>
          </w:p>
        </w:tc>
      </w:tr>
      <w:tr w:rsidR="00A94BC9" w:rsidRPr="00752B17" w14:paraId="32931CE2" w14:textId="77777777" w:rsidTr="00EE70FE">
        <w:trPr>
          <w:jc w:val="center"/>
        </w:trPr>
        <w:tc>
          <w:tcPr>
            <w:tcW w:w="3539" w:type="dxa"/>
            <w:vAlign w:val="center"/>
          </w:tcPr>
          <w:p w14:paraId="04A4FFBA" w14:textId="77777777" w:rsidR="00A94BC9" w:rsidRPr="00EE70FE" w:rsidRDefault="00A94BC9" w:rsidP="00EE70FE">
            <w:pPr>
              <w:pStyle w:val="Tabletext0"/>
              <w:framePr w:hSpace="181" w:wrap="notBeside" w:vAnchor="text" w:hAnchor="text" w:xAlign="center" w:y="1"/>
            </w:pPr>
            <w:r w:rsidRPr="00756A17">
              <w:rPr>
                <w:i/>
                <w:iCs/>
              </w:rPr>
              <w:t>I</w:t>
            </w:r>
            <w:r w:rsidRPr="00EE70FE">
              <w:t>/</w:t>
            </w:r>
            <w:r w:rsidRPr="00756A17">
              <w:rPr>
                <w:i/>
                <w:iCs/>
              </w:rPr>
              <w:t>N</w:t>
            </w:r>
            <w:r w:rsidRPr="00EE70FE">
              <w:t xml:space="preserve"> (rapport brouillage/bruit, dB)</w:t>
            </w:r>
          </w:p>
        </w:tc>
        <w:tc>
          <w:tcPr>
            <w:tcW w:w="4536" w:type="dxa"/>
            <w:gridSpan w:val="2"/>
            <w:vAlign w:val="center"/>
          </w:tcPr>
          <w:p w14:paraId="48F32304" w14:textId="77777777" w:rsidR="00A94BC9" w:rsidRPr="00EE70FE" w:rsidRDefault="00A94BC9" w:rsidP="00EE70FE">
            <w:pPr>
              <w:pStyle w:val="Tabletext0"/>
              <w:framePr w:hSpace="181" w:wrap="notBeside" w:vAnchor="text" w:hAnchor="text" w:xAlign="center" w:y="1"/>
              <w:jc w:val="center"/>
            </w:pPr>
            <w:r w:rsidRPr="00EE70FE">
              <w:t>–6</w:t>
            </w:r>
          </w:p>
        </w:tc>
      </w:tr>
      <w:tr w:rsidR="00A94BC9" w:rsidRPr="00752B17" w14:paraId="5D8C92C5" w14:textId="77777777" w:rsidTr="00EE70FE">
        <w:trPr>
          <w:jc w:val="center"/>
        </w:trPr>
        <w:tc>
          <w:tcPr>
            <w:tcW w:w="3539" w:type="dxa"/>
            <w:vAlign w:val="center"/>
          </w:tcPr>
          <w:p w14:paraId="50C7C811" w14:textId="77777777" w:rsidR="00A94BC9" w:rsidRPr="00EE70FE" w:rsidRDefault="0084013A" w:rsidP="00EE70FE">
            <w:pPr>
              <w:pStyle w:val="Tabletext0"/>
              <w:framePr w:hSpace="181" w:wrap="notBeside" w:vAnchor="text" w:hAnchor="text" w:xAlign="center" w:y="1"/>
            </w:pPr>
            <w:r w:rsidRPr="00210C2A">
              <w:rPr>
                <w:rFonts w:eastAsia="SimSun"/>
                <w:i/>
                <w:iCs/>
                <w:lang w:val="fr-CH"/>
              </w:rPr>
              <w:t>B</w:t>
            </w:r>
            <w:r w:rsidRPr="00210C2A">
              <w:rPr>
                <w:rFonts w:eastAsia="SimSun"/>
                <w:i/>
                <w:iCs/>
                <w:vertAlign w:val="subscript"/>
                <w:lang w:val="fr-CH"/>
              </w:rPr>
              <w:t>i</w:t>
            </w:r>
            <w:r w:rsidR="00A94BC9" w:rsidRPr="00EE70FE">
              <w:t xml:space="preserve"> (Largeur de bande de la station de télévision, MHz)</w:t>
            </w:r>
          </w:p>
        </w:tc>
        <w:tc>
          <w:tcPr>
            <w:tcW w:w="4536" w:type="dxa"/>
            <w:gridSpan w:val="2"/>
            <w:vAlign w:val="center"/>
          </w:tcPr>
          <w:p w14:paraId="1B531656" w14:textId="77777777" w:rsidR="00A94BC9" w:rsidRPr="00EE70FE" w:rsidRDefault="00A94BC9" w:rsidP="00EE70FE">
            <w:pPr>
              <w:pStyle w:val="Tabletext0"/>
              <w:framePr w:hSpace="181" w:wrap="notBeside" w:vAnchor="text" w:hAnchor="text" w:xAlign="center" w:y="1"/>
              <w:jc w:val="center"/>
            </w:pPr>
            <w:r w:rsidRPr="00EE70FE">
              <w:t>8</w:t>
            </w:r>
          </w:p>
        </w:tc>
      </w:tr>
    </w:tbl>
    <w:p w14:paraId="74E76BE0" w14:textId="77777777" w:rsidR="00A94BC9" w:rsidRPr="00752B17" w:rsidRDefault="00A94BC9" w:rsidP="00A94BC9">
      <w:pPr>
        <w:rPr>
          <w:rFonts w:eastAsia="SimSun"/>
          <w:lang w:val="fr-CH" w:eastAsia="zh-CN"/>
        </w:rPr>
      </w:pPr>
      <w:r w:rsidRPr="00752B17">
        <w:rPr>
          <w:lang w:val="fr-CH"/>
        </w:rPr>
        <w:t>Les paramètres ci-dessus s'appliquent aux stations fonctionnant sur la fréquence 790 MHz. Pour les autres fréquences de la bande d'ondes décimétriques, il convient de procéder à une interpolation en ajoutant un facteur de correction de 10 log (</w:t>
      </w:r>
      <w:r w:rsidRPr="003C5FA2">
        <w:rPr>
          <w:i/>
          <w:iCs/>
          <w:lang w:val="fr-CH"/>
        </w:rPr>
        <w:t>f</w:t>
      </w:r>
      <w:r w:rsidRPr="00752B17">
        <w:rPr>
          <w:lang w:val="fr-CH"/>
        </w:rPr>
        <w:t>/790).</w:t>
      </w:r>
    </w:p>
    <w:p w14:paraId="6D22682F" w14:textId="77777777" w:rsidR="00EE70FE" w:rsidRDefault="00EE70FE" w:rsidP="00A238F1">
      <w:pPr>
        <w:rPr>
          <w:lang w:val="fr-CH"/>
        </w:rPr>
      </w:pPr>
      <w:r>
        <w:rPr>
          <w:lang w:val="fr-CH"/>
        </w:rPr>
        <w:br w:type="page"/>
      </w:r>
    </w:p>
    <w:p w14:paraId="5C03BDFF" w14:textId="77777777" w:rsidR="00A94BC9" w:rsidRPr="00752B17" w:rsidRDefault="00A94BC9" w:rsidP="00A238F1">
      <w:pPr>
        <w:rPr>
          <w:rFonts w:eastAsiaTheme="minorEastAsia"/>
          <w:lang w:val="fr-CH" w:eastAsia="zh-CN"/>
        </w:rPr>
      </w:pPr>
      <w:r w:rsidRPr="00752B17">
        <w:rPr>
          <w:lang w:val="fr-CH"/>
        </w:rPr>
        <w:lastRenderedPageBreak/>
        <w:t>Selon les indications des valeurs qui en résultent, les valeurs de seuil du champ déclenchant la coordination d'une station IMT fonctionnant à 790 MHz sont égales à 17 (dB(µV/m) pour</w:t>
      </w:r>
      <w:r>
        <w:rPr>
          <w:lang w:val="fr-CH"/>
        </w:rPr>
        <w:t xml:space="preserve"> </w:t>
      </w:r>
      <w:r w:rsidRPr="00752B17">
        <w:rPr>
          <w:lang w:val="fr-CH"/>
        </w:rPr>
        <w:t xml:space="preserve">une station de base de réception et à 36 (dB(µV/m) pour une station mobile de réception, lorsque le facteur </w:t>
      </w:r>
      <w:r w:rsidRPr="000A5E42">
        <w:rPr>
          <w:i/>
          <w:iCs/>
          <w:lang w:val="fr-CH"/>
        </w:rPr>
        <w:t>K</w:t>
      </w:r>
      <w:r w:rsidRPr="00752B17">
        <w:rPr>
          <w:lang w:val="fr-CH"/>
        </w:rPr>
        <w:t xml:space="preserve"> est égal 0, c'est-à-dire lorsque la station IMT utilise une largeur de bande inférieure ou égale à 8 MHz.</w:t>
      </w:r>
    </w:p>
    <w:p w14:paraId="169CC145" w14:textId="77777777" w:rsidR="00A94BC9" w:rsidRPr="00752B17" w:rsidRDefault="00A94BC9" w:rsidP="00A94BC9">
      <w:pPr>
        <w:rPr>
          <w:rFonts w:eastAsiaTheme="minorEastAsia"/>
          <w:lang w:val="fr-CH" w:eastAsia="zh-CN"/>
        </w:rPr>
      </w:pPr>
      <w:r w:rsidRPr="00752B17">
        <w:rPr>
          <w:lang w:val="fr-CH"/>
        </w:rPr>
        <w:t>Pour établir les contours de coordination, on suppose que les hauteurs d'antenne de réception des stations de base et des stations mobiles sont respectivement de 30 m et 1,5 m</w:t>
      </w:r>
      <w:r w:rsidRPr="00752B17">
        <w:rPr>
          <w:rFonts w:eastAsiaTheme="minorEastAsia"/>
          <w:lang w:val="fr-CH" w:eastAsia="zh-CN"/>
        </w:rPr>
        <w:t>.</w:t>
      </w:r>
    </w:p>
    <w:p w14:paraId="16AF418C" w14:textId="77777777" w:rsidR="00A94BC9" w:rsidRPr="00A94BC9" w:rsidRDefault="00A94BC9" w:rsidP="00A94BC9">
      <w:pPr>
        <w:rPr>
          <w:lang w:val="fr-CH"/>
        </w:rPr>
      </w:pPr>
    </w:p>
    <w:p w14:paraId="5C72444A" w14:textId="77777777" w:rsidR="00141158" w:rsidRPr="00D972EF" w:rsidRDefault="00141158" w:rsidP="00141158">
      <w:pPr>
        <w:jc w:val="center"/>
        <w:rPr>
          <w:lang w:val="fr-FR"/>
        </w:rPr>
      </w:pPr>
      <w:r w:rsidRPr="00D972EF">
        <w:rPr>
          <w:lang w:val="fr-FR"/>
        </w:rPr>
        <w:t>____________________</w:t>
      </w:r>
    </w:p>
    <w:p w14:paraId="26B2C013" w14:textId="77777777" w:rsidR="00141158" w:rsidRDefault="00141158" w:rsidP="00141158">
      <w:pPr>
        <w:rPr>
          <w:lang w:val="fr-FR"/>
        </w:rPr>
      </w:pPr>
    </w:p>
    <w:p w14:paraId="327F4FAD" w14:textId="77777777" w:rsidR="00F70C81" w:rsidRDefault="00F70C81" w:rsidP="00141158">
      <w:pPr>
        <w:rPr>
          <w:lang w:val="fr-FR"/>
        </w:rPr>
      </w:pPr>
    </w:p>
    <w:p w14:paraId="59207138" w14:textId="77777777" w:rsidR="00F70C81" w:rsidRDefault="00F70C81" w:rsidP="00141158">
      <w:pPr>
        <w:rPr>
          <w:lang w:val="fr-FR"/>
        </w:rPr>
      </w:pPr>
    </w:p>
    <w:p w14:paraId="4CA45539" w14:textId="77777777" w:rsidR="00F70C81" w:rsidRDefault="00F70C81" w:rsidP="00141158">
      <w:pPr>
        <w:rPr>
          <w:lang w:val="fr-FR"/>
        </w:rPr>
      </w:pPr>
    </w:p>
    <w:p w14:paraId="57664A6A" w14:textId="77777777" w:rsidR="00CC0488" w:rsidRDefault="00CC0488" w:rsidP="00141158">
      <w:pPr>
        <w:rPr>
          <w:lang w:val="fr-FR"/>
        </w:rPr>
      </w:pPr>
    </w:p>
    <w:p w14:paraId="0A41B521" w14:textId="77777777" w:rsidR="00CC0488" w:rsidRDefault="00CC0488" w:rsidP="00141158">
      <w:pPr>
        <w:rPr>
          <w:lang w:val="fr-FR"/>
        </w:rPr>
      </w:pPr>
    </w:p>
    <w:p w14:paraId="15CE66B1" w14:textId="77777777" w:rsidR="00CC0488" w:rsidRDefault="00CC0488" w:rsidP="00141158">
      <w:pPr>
        <w:rPr>
          <w:lang w:val="fr-FR"/>
        </w:rPr>
      </w:pPr>
    </w:p>
    <w:p w14:paraId="2A465484" w14:textId="77777777" w:rsidR="00CC0488" w:rsidRDefault="00CC0488" w:rsidP="00141158">
      <w:pPr>
        <w:rPr>
          <w:lang w:val="fr-FR"/>
        </w:rPr>
      </w:pPr>
    </w:p>
    <w:p w14:paraId="672518FA" w14:textId="77777777" w:rsidR="00CC0488" w:rsidRDefault="00CC0488" w:rsidP="00141158">
      <w:pPr>
        <w:rPr>
          <w:lang w:val="fr-FR"/>
        </w:rPr>
      </w:pPr>
    </w:p>
    <w:p w14:paraId="153C2489" w14:textId="77777777" w:rsidR="001C3E60" w:rsidRDefault="001C3E60" w:rsidP="00141158">
      <w:pPr>
        <w:rPr>
          <w:lang w:val="fr-FR"/>
        </w:rPr>
      </w:pPr>
    </w:p>
    <w:p w14:paraId="3F525CF5" w14:textId="77777777" w:rsidR="001C3E60" w:rsidRDefault="001C3E60" w:rsidP="00141158">
      <w:pPr>
        <w:rPr>
          <w:lang w:val="fr-FR"/>
        </w:rPr>
      </w:pPr>
    </w:p>
    <w:p w14:paraId="55C4FDE4" w14:textId="77777777" w:rsidR="001C3E60" w:rsidRDefault="001C3E60" w:rsidP="00141158">
      <w:pPr>
        <w:rPr>
          <w:lang w:val="fr-FR"/>
        </w:rPr>
      </w:pPr>
    </w:p>
    <w:p w14:paraId="014CFA56" w14:textId="77777777" w:rsidR="001C3E60" w:rsidRDefault="001C3E60" w:rsidP="00141158">
      <w:pPr>
        <w:rPr>
          <w:lang w:val="fr-FR"/>
        </w:rPr>
      </w:pPr>
    </w:p>
    <w:p w14:paraId="012C54F1" w14:textId="77777777" w:rsidR="001C3E60" w:rsidRDefault="001C3E60" w:rsidP="00141158">
      <w:pPr>
        <w:rPr>
          <w:lang w:val="fr-FR"/>
        </w:rPr>
      </w:pPr>
    </w:p>
    <w:p w14:paraId="1CC34EA9" w14:textId="77777777" w:rsidR="001C3E60" w:rsidRDefault="001C3E60" w:rsidP="00141158">
      <w:pPr>
        <w:rPr>
          <w:lang w:val="fr-FR"/>
        </w:rPr>
      </w:pPr>
    </w:p>
    <w:p w14:paraId="0BAD75B6" w14:textId="77777777" w:rsidR="001C3E60" w:rsidRPr="00D972EF" w:rsidRDefault="001C3E60" w:rsidP="00141158">
      <w:pPr>
        <w:rPr>
          <w:lang w:val="fr-FR"/>
        </w:rPr>
      </w:pPr>
    </w:p>
    <w:p w14:paraId="188976D0" w14:textId="77777777" w:rsidR="00141158" w:rsidRDefault="00141158" w:rsidP="00141158">
      <w:pPr>
        <w:rPr>
          <w:lang w:val="fr-FR"/>
        </w:rPr>
      </w:pPr>
    </w:p>
    <w:p w14:paraId="6C9FC16B" w14:textId="77777777" w:rsidR="00D143E2" w:rsidRPr="00D972EF" w:rsidRDefault="00D143E2" w:rsidP="00141158">
      <w:pPr>
        <w:rPr>
          <w:lang w:val="fr-FR"/>
        </w:rPr>
      </w:pPr>
    </w:p>
    <w:p w14:paraId="47CC22BD" w14:textId="77777777" w:rsidR="00A302FC" w:rsidRDefault="00A302FC" w:rsidP="00141158">
      <w:pPr>
        <w:rPr>
          <w:lang w:val="fr-FR"/>
        </w:rPr>
        <w:sectPr w:rsidR="00A302FC" w:rsidSect="00CC0488">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14:paraId="7D5D8E70" w14:textId="77777777" w:rsidR="004E6E38" w:rsidRPr="00D972EF" w:rsidRDefault="004E6E38">
      <w:pPr>
        <w:rPr>
          <w:lang w:val="fr-FR"/>
        </w:rPr>
      </w:pPr>
    </w:p>
    <w:sectPr w:rsidR="004E6E38" w:rsidRPr="00D972EF" w:rsidSect="004635F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F8CF6" w14:textId="77777777" w:rsidR="00F37CB8" w:rsidRDefault="00F37CB8">
      <w:r>
        <w:separator/>
      </w:r>
    </w:p>
  </w:endnote>
  <w:endnote w:type="continuationSeparator" w:id="0">
    <w:p w14:paraId="0E031943" w14:textId="77777777" w:rsidR="00F37CB8" w:rsidRDefault="00F3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5CA4F" w14:textId="77777777" w:rsidR="00F37CB8" w:rsidRDefault="00F37CB8">
      <w:r>
        <w:rPr>
          <w:b/>
        </w:rPr>
        <w:t>_______________</w:t>
      </w:r>
    </w:p>
  </w:footnote>
  <w:footnote w:type="continuationSeparator" w:id="0">
    <w:p w14:paraId="3E54BB1E" w14:textId="77777777" w:rsidR="00F37CB8" w:rsidRDefault="00F37CB8">
      <w:r>
        <w:continuationSeparator/>
      </w:r>
    </w:p>
  </w:footnote>
  <w:footnote w:id="1">
    <w:p w14:paraId="66621BAF" w14:textId="77777777" w:rsidR="000109A5" w:rsidRPr="00017EF1" w:rsidRDefault="000109A5" w:rsidP="000109A5">
      <w:pPr>
        <w:pStyle w:val="FootnoteText"/>
        <w:spacing w:before="0"/>
        <w:rPr>
          <w:lang w:val="fr-CH"/>
        </w:rPr>
      </w:pPr>
      <w:r>
        <w:rPr>
          <w:rStyle w:val="FootnoteReference"/>
        </w:rPr>
        <w:footnoteRef/>
      </w:r>
      <w:r w:rsidRPr="00017EF1">
        <w:rPr>
          <w:lang w:val="fr-CH"/>
        </w:rPr>
        <w:t xml:space="preserve"> </w:t>
      </w:r>
      <w:r w:rsidRPr="00017EF1">
        <w:rPr>
          <w:lang w:val="fr-CH"/>
        </w:rPr>
        <w:tab/>
        <w:t>De même, aucune protection ne devrait être demandée vis-à-vis d’assignations découlant des allotissements qui ont été inscrits antérieurement dans le Plan.</w:t>
      </w:r>
    </w:p>
  </w:footnote>
  <w:footnote w:id="2">
    <w:p w14:paraId="5CCD0122" w14:textId="77777777" w:rsidR="00004E95" w:rsidRPr="00004E95" w:rsidRDefault="00004E95">
      <w:pPr>
        <w:pStyle w:val="FootnoteText"/>
        <w:rPr>
          <w:lang w:val="fr-CH"/>
        </w:rPr>
      </w:pPr>
      <w:r w:rsidRPr="00A94BC9">
        <w:rPr>
          <w:rStyle w:val="FootnoteReference"/>
          <w:lang w:val="fr-CH"/>
        </w:rPr>
        <w:t>*</w:t>
      </w:r>
      <w:r w:rsidRPr="00A94BC9">
        <w:rPr>
          <w:lang w:val="fr-CH"/>
        </w:rPr>
        <w:t xml:space="preserve"> </w:t>
      </w:r>
      <w:r>
        <w:rPr>
          <w:lang w:val="fr-CH"/>
        </w:rPr>
        <w:tab/>
      </w:r>
      <w:r w:rsidRPr="00004E95">
        <w:rPr>
          <w:i/>
          <w:iCs/>
          <w:lang w:val="fr-CH"/>
        </w:rPr>
        <w:t>Note du Secrétariat</w:t>
      </w:r>
      <w:r>
        <w:rPr>
          <w:lang w:val="fr-CH"/>
        </w:rPr>
        <w:t>: Cette Recommandation a été supprimée en 2009.</w:t>
      </w:r>
    </w:p>
  </w:footnote>
  <w:footnote w:id="3">
    <w:p w14:paraId="3FB15928" w14:textId="77777777" w:rsidR="00141158" w:rsidRPr="0085136E" w:rsidRDefault="00141158" w:rsidP="00141158">
      <w:pPr>
        <w:pStyle w:val="FootnoteText"/>
        <w:rPr>
          <w:lang w:val="fr-CH"/>
        </w:rPr>
      </w:pPr>
      <w:r w:rsidRPr="0085136E">
        <w:rPr>
          <w:rStyle w:val="FootnoteReference"/>
          <w:lang w:val="fr-CH"/>
        </w:rPr>
        <w:t>1</w:t>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14:paraId="37CB61E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20D96C" w14:textId="50955498" w:rsidR="004371FE" w:rsidRDefault="004371FE">
          <w:pPr>
            <w:pStyle w:val="HeaderRegProc"/>
          </w:pPr>
          <w:r>
            <w:t xml:space="preserve">Partie </w:t>
          </w:r>
          <w:r w:rsidR="00BA34E4">
            <w:fldChar w:fldCharType="begin"/>
          </w:r>
          <w:r w:rsidR="00BA34E4">
            <w:instrText>styleref href</w:instrText>
          </w:r>
          <w:r w:rsidR="00BA34E4">
            <w:fldChar w:fldCharType="separate"/>
          </w:r>
          <w:r w:rsidR="002D78F3">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1E6EB" w14:textId="77777777"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33448151"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12</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21BFE3" w14:textId="77777777" w:rsidR="004371FE" w:rsidRDefault="00E20895" w:rsidP="00DF733A">
          <w:pPr>
            <w:pStyle w:val="HeaderRegProc"/>
            <w:rPr>
              <w:lang w:val="fr-CH"/>
            </w:rPr>
          </w:pPr>
          <w:r>
            <w:rPr>
              <w:lang w:val="fr-CH"/>
            </w:rPr>
            <w:t>rév.</w:t>
          </w:r>
          <w:r w:rsidR="00DF733A">
            <w:rPr>
              <w:lang w:val="fr-CH"/>
            </w:rPr>
            <w:t>-</w:t>
          </w:r>
        </w:p>
      </w:tc>
    </w:tr>
  </w:tbl>
  <w:p w14:paraId="107786C1" w14:textId="77777777" w:rsidR="004371FE" w:rsidRDefault="004371F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14:paraId="576670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20BA54" w14:textId="77777777" w:rsidR="004371FE" w:rsidRDefault="004371FE">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5898F6E4" w14:textId="77777777"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7F446284" w14:textId="77777777"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11</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44C0C" w14:textId="77777777" w:rsidR="004371FE" w:rsidRDefault="004371FE">
          <w:pPr>
            <w:pStyle w:val="HeaderRegProc"/>
            <w:rPr>
              <w:lang w:val="fr-CH"/>
            </w:rPr>
          </w:pPr>
          <w:r>
            <w:rPr>
              <w:lang w:val="fr-CH"/>
            </w:rPr>
            <w:t>rév.</w:t>
          </w:r>
          <w:r>
            <w:t>-</w:t>
          </w:r>
        </w:p>
      </w:tc>
    </w:tr>
  </w:tbl>
  <w:p w14:paraId="0FF1209D" w14:textId="77777777" w:rsidR="004371FE" w:rsidRDefault="00437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015F" w14:paraId="710E315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0D4C564" w14:textId="77777777" w:rsidR="006D015F" w:rsidRDefault="006D015F"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3DA56AD7" w14:textId="77777777" w:rsidR="006D015F" w:rsidRDefault="006D015F"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0E0087F6" w14:textId="77777777" w:rsidR="006D015F" w:rsidRDefault="006D015F"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6C9147" w14:textId="740719B2" w:rsidR="006D015F" w:rsidRDefault="006D015F" w:rsidP="006D015F">
          <w:pPr>
            <w:pStyle w:val="HeaderRegProc"/>
            <w:rPr>
              <w:lang w:val="fr-CH"/>
            </w:rPr>
          </w:pPr>
          <w:r>
            <w:rPr>
              <w:lang w:val="fr-CH"/>
            </w:rPr>
            <w:t>r</w:t>
          </w:r>
          <w:r w:rsidR="00234B56">
            <w:rPr>
              <w:lang w:val="fr-CH"/>
            </w:rPr>
            <w:t>é</w:t>
          </w:r>
          <w:r>
            <w:rPr>
              <w:lang w:val="fr-CH"/>
            </w:rPr>
            <w:t>v.</w:t>
          </w:r>
          <w:r>
            <w:t>-</w:t>
          </w:r>
        </w:p>
      </w:tc>
    </w:tr>
  </w:tbl>
  <w:p w14:paraId="48890EE2" w14:textId="77777777" w:rsidR="004371FE" w:rsidRPr="006D015F" w:rsidRDefault="004371FE" w:rsidP="006D0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RPr="00E20895" w14:paraId="277C41F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11CD304" w14:textId="5BA586C3" w:rsidR="00CC0488" w:rsidRDefault="00CC0488">
          <w:pPr>
            <w:pStyle w:val="HeaderRegProc"/>
          </w:pPr>
          <w:r>
            <w:t xml:space="preserve">Partie </w:t>
          </w:r>
          <w:r>
            <w:fldChar w:fldCharType="begin"/>
          </w:r>
          <w:r>
            <w:instrText>styleref href</w:instrText>
          </w:r>
          <w:r>
            <w:fldChar w:fldCharType="separate"/>
          </w:r>
          <w:r w:rsidR="002D78F3">
            <w:rPr>
              <w:noProof/>
            </w:rPr>
            <w:t>A10</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8022A" w14:textId="77777777" w:rsidR="00CC0488" w:rsidRDefault="00CC048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ED7EA8F"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4E6B6E" w14:textId="6389BAFD" w:rsidR="00CC0488" w:rsidRDefault="00CC0488" w:rsidP="00CC0488">
          <w:pPr>
            <w:pStyle w:val="HeaderRegProc"/>
            <w:rPr>
              <w:lang w:val="fr-CH"/>
            </w:rPr>
          </w:pPr>
          <w:r>
            <w:rPr>
              <w:lang w:val="fr-CH"/>
            </w:rPr>
            <w:t>rév.</w:t>
          </w:r>
          <w:r w:rsidR="00B52F2C">
            <w:rPr>
              <w:lang w:val="fr-CH"/>
            </w:rPr>
            <w:t>-</w:t>
          </w:r>
        </w:p>
      </w:tc>
    </w:tr>
  </w:tbl>
  <w:p w14:paraId="64FC5762" w14:textId="77777777" w:rsidR="00CC0488" w:rsidRDefault="00CC0488">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41B2A7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88F4B" w14:textId="77777777" w:rsidR="00CC0488" w:rsidRDefault="00CC0488">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14:paraId="1CADF602" w14:textId="77777777" w:rsidR="00CC0488" w:rsidRDefault="00CC0488">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8C36252" w14:textId="77777777"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FDB73" w14:textId="400F39A1" w:rsidR="00CC0488" w:rsidRDefault="00CC0488" w:rsidP="00CC0488">
          <w:pPr>
            <w:pStyle w:val="HeaderRegProc"/>
            <w:rPr>
              <w:lang w:val="fr-CH"/>
            </w:rPr>
          </w:pPr>
          <w:r>
            <w:rPr>
              <w:lang w:val="fr-CH"/>
            </w:rPr>
            <w:t>rév.</w:t>
          </w:r>
          <w:r w:rsidR="00B52F2C">
            <w:t>-</w:t>
          </w:r>
        </w:p>
      </w:tc>
    </w:tr>
  </w:tbl>
  <w:p w14:paraId="7DD7EDC4" w14:textId="77777777" w:rsidR="00CC0488" w:rsidRDefault="00CC0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14:paraId="0E28D0F5"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CB8BB26" w14:textId="77777777" w:rsidR="00CC0488" w:rsidRDefault="00CC0488"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65F0838F" w14:textId="77777777" w:rsidR="00CC0488" w:rsidRDefault="00CC0488"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14:paraId="56F3EE39" w14:textId="77777777" w:rsidR="00CC0488" w:rsidRDefault="00CC0488"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06E269" w14:textId="1C24BC0F" w:rsidR="00CC0488" w:rsidRDefault="00CC0488" w:rsidP="00CC0488">
          <w:pPr>
            <w:pStyle w:val="HeaderRegProc"/>
            <w:rPr>
              <w:lang w:val="fr-CH"/>
            </w:rPr>
          </w:pPr>
          <w:r>
            <w:rPr>
              <w:lang w:val="fr-CH"/>
            </w:rPr>
            <w:t>r</w:t>
          </w:r>
          <w:r w:rsidR="00234B56">
            <w:rPr>
              <w:lang w:val="fr-CH"/>
            </w:rPr>
            <w:t>é</w:t>
          </w:r>
          <w:r>
            <w:rPr>
              <w:lang w:val="fr-CH"/>
            </w:rPr>
            <w:t>v.</w:t>
          </w:r>
          <w:r w:rsidR="00B52F2C">
            <w:t>-</w:t>
          </w:r>
        </w:p>
      </w:tc>
    </w:tr>
  </w:tbl>
  <w:p w14:paraId="4EE4EF51" w14:textId="77777777" w:rsidR="00CC0488" w:rsidRPr="006D015F" w:rsidRDefault="00CC0488" w:rsidP="006D01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364BD" w14:textId="77777777"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812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0C3B"/>
    <w:rsid w:val="00004E95"/>
    <w:rsid w:val="000109A5"/>
    <w:rsid w:val="00017EF1"/>
    <w:rsid w:val="00066AE9"/>
    <w:rsid w:val="00075F4F"/>
    <w:rsid w:val="000A5E42"/>
    <w:rsid w:val="000D1CEC"/>
    <w:rsid w:val="000E2B65"/>
    <w:rsid w:val="00141158"/>
    <w:rsid w:val="00156B3A"/>
    <w:rsid w:val="00193957"/>
    <w:rsid w:val="001B7882"/>
    <w:rsid w:val="001C3E60"/>
    <w:rsid w:val="001C3E92"/>
    <w:rsid w:val="001E1C89"/>
    <w:rsid w:val="001E29DB"/>
    <w:rsid w:val="00210C2A"/>
    <w:rsid w:val="00234B56"/>
    <w:rsid w:val="002375D5"/>
    <w:rsid w:val="002422C4"/>
    <w:rsid w:val="002551C0"/>
    <w:rsid w:val="00265A2C"/>
    <w:rsid w:val="00271EAE"/>
    <w:rsid w:val="002A1754"/>
    <w:rsid w:val="002A7850"/>
    <w:rsid w:val="002D78F3"/>
    <w:rsid w:val="002F0C3F"/>
    <w:rsid w:val="00322F21"/>
    <w:rsid w:val="00333D02"/>
    <w:rsid w:val="00382083"/>
    <w:rsid w:val="003929CE"/>
    <w:rsid w:val="003C5FA2"/>
    <w:rsid w:val="003E4D53"/>
    <w:rsid w:val="003E6AAE"/>
    <w:rsid w:val="003F3477"/>
    <w:rsid w:val="004178B5"/>
    <w:rsid w:val="004371FE"/>
    <w:rsid w:val="0044236C"/>
    <w:rsid w:val="004635F7"/>
    <w:rsid w:val="004737FB"/>
    <w:rsid w:val="004A6F67"/>
    <w:rsid w:val="004C2CA4"/>
    <w:rsid w:val="004D0C3B"/>
    <w:rsid w:val="004E6E38"/>
    <w:rsid w:val="00595F8E"/>
    <w:rsid w:val="005A0B06"/>
    <w:rsid w:val="005E25DF"/>
    <w:rsid w:val="005E759D"/>
    <w:rsid w:val="00650C40"/>
    <w:rsid w:val="00675ED9"/>
    <w:rsid w:val="006C3C9C"/>
    <w:rsid w:val="006D015F"/>
    <w:rsid w:val="007156F7"/>
    <w:rsid w:val="00716ABC"/>
    <w:rsid w:val="00731290"/>
    <w:rsid w:val="00752775"/>
    <w:rsid w:val="00756A17"/>
    <w:rsid w:val="00763F56"/>
    <w:rsid w:val="007A75F4"/>
    <w:rsid w:val="0080382D"/>
    <w:rsid w:val="008261C7"/>
    <w:rsid w:val="0084013A"/>
    <w:rsid w:val="008413C9"/>
    <w:rsid w:val="0085136E"/>
    <w:rsid w:val="00862274"/>
    <w:rsid w:val="00864C15"/>
    <w:rsid w:val="008E57F6"/>
    <w:rsid w:val="0091721E"/>
    <w:rsid w:val="0094565F"/>
    <w:rsid w:val="0095114B"/>
    <w:rsid w:val="009914BA"/>
    <w:rsid w:val="009A2C96"/>
    <w:rsid w:val="009A5645"/>
    <w:rsid w:val="009B6262"/>
    <w:rsid w:val="009C39CD"/>
    <w:rsid w:val="009F1535"/>
    <w:rsid w:val="009F4019"/>
    <w:rsid w:val="00A238F1"/>
    <w:rsid w:val="00A242E8"/>
    <w:rsid w:val="00A302FC"/>
    <w:rsid w:val="00A54A2C"/>
    <w:rsid w:val="00A94BC9"/>
    <w:rsid w:val="00AA472B"/>
    <w:rsid w:val="00AB62B3"/>
    <w:rsid w:val="00AF5036"/>
    <w:rsid w:val="00B407CD"/>
    <w:rsid w:val="00B52F2C"/>
    <w:rsid w:val="00B64C7A"/>
    <w:rsid w:val="00B76795"/>
    <w:rsid w:val="00BA34E4"/>
    <w:rsid w:val="00C42E32"/>
    <w:rsid w:val="00C438E0"/>
    <w:rsid w:val="00C76D27"/>
    <w:rsid w:val="00CA64D1"/>
    <w:rsid w:val="00CC0488"/>
    <w:rsid w:val="00D102AF"/>
    <w:rsid w:val="00D143E2"/>
    <w:rsid w:val="00D474C4"/>
    <w:rsid w:val="00D6124B"/>
    <w:rsid w:val="00D90C10"/>
    <w:rsid w:val="00D972EF"/>
    <w:rsid w:val="00DB68C3"/>
    <w:rsid w:val="00DC0FA2"/>
    <w:rsid w:val="00DD4462"/>
    <w:rsid w:val="00DE3EC2"/>
    <w:rsid w:val="00DF733A"/>
    <w:rsid w:val="00E20895"/>
    <w:rsid w:val="00E457F8"/>
    <w:rsid w:val="00E8296C"/>
    <w:rsid w:val="00E87D15"/>
    <w:rsid w:val="00ED202D"/>
    <w:rsid w:val="00EE70FE"/>
    <w:rsid w:val="00EF5C7B"/>
    <w:rsid w:val="00F30C81"/>
    <w:rsid w:val="00F37CB8"/>
    <w:rsid w:val="00F628D0"/>
    <w:rsid w:val="00F70C81"/>
    <w:rsid w:val="00F85495"/>
    <w:rsid w:val="00F86378"/>
    <w:rsid w:val="00FC6E87"/>
    <w:rsid w:val="00FE607A"/>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628ABA86"/>
  <w15:docId w15:val="{F6E3F381-74AC-4E1B-8785-0E93C425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rsid w:val="000D1CEC"/>
    <w:rPr>
      <w:position w:val="6"/>
      <w:sz w:val="16"/>
    </w:rPr>
  </w:style>
  <w:style w:type="paragraph" w:styleId="FootnoteText">
    <w:name w:val="footnote text"/>
    <w:basedOn w:val="Normal"/>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link w:val="TabletextChar"/>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 w:type="character" w:customStyle="1" w:styleId="enumlev1Char">
    <w:name w:val="enumlev1 Char"/>
    <w:basedOn w:val="DefaultParagraphFont"/>
    <w:link w:val="enumlev1"/>
    <w:rsid w:val="00017EF1"/>
    <w:rPr>
      <w:sz w:val="24"/>
      <w:lang w:val="en-GB" w:eastAsia="en-US"/>
    </w:rPr>
  </w:style>
  <w:style w:type="paragraph" w:customStyle="1" w:styleId="AnnexNoTitle">
    <w:name w:val="Annex_NoTitle"/>
    <w:basedOn w:val="Normal"/>
    <w:next w:val="Normal"/>
    <w:rsid w:val="00017EF1"/>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character" w:customStyle="1" w:styleId="TabletextChar">
    <w:name w:val="Table_text Char"/>
    <w:basedOn w:val="DefaultParagraphFont"/>
    <w:link w:val="Tabletext0"/>
    <w:locked/>
    <w:rsid w:val="00A94BC9"/>
    <w:rPr>
      <w:sz w:val="22"/>
      <w:lang w:val="fr-FR" w:eastAsia="en-US"/>
    </w:rPr>
  </w:style>
  <w:style w:type="table" w:styleId="TableGrid">
    <w:name w:val="Table Grid"/>
    <w:basedOn w:val="TableNormal"/>
    <w:rsid w:val="00A94BC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127</TotalTime>
  <Pages>16</Pages>
  <Words>5666</Words>
  <Characters>32300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37891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A10 / GE06 du RR</dc:subject>
  <dc:creator>Composition des Publications</dc:creator>
  <cp:keywords>FOLIOS:  1  -  8</cp:keywords>
  <dc:description>Edition 2009:  10.03.2009/DD (dict. ok)</dc:description>
  <cp:lastModifiedBy>Al-Yammouni, Hala</cp:lastModifiedBy>
  <cp:revision>79</cp:revision>
  <cp:lastPrinted>2021-05-25T08:47:00Z</cp:lastPrinted>
  <dcterms:created xsi:type="dcterms:W3CDTF">2012-08-08T15:58:00Z</dcterms:created>
  <dcterms:modified xsi:type="dcterms:W3CDTF">2021-05-25T08:52:00Z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