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174BC" w14:textId="77777777" w:rsidR="0057266D" w:rsidRPr="00EC311E" w:rsidRDefault="0057266D" w:rsidP="00EC311E">
      <w:pPr>
        <w:pStyle w:val="Heading1"/>
        <w:spacing w:before="300"/>
        <w:jc w:val="center"/>
        <w:rPr>
          <w:lang w:val="fr-FR"/>
        </w:rPr>
      </w:pPr>
      <w:r w:rsidRPr="00EC311E">
        <w:rPr>
          <w:lang w:val="fr-FR"/>
        </w:rPr>
        <w:t xml:space="preserve">PARTIE  </w:t>
      </w:r>
      <w:r w:rsidRPr="00EC311E">
        <w:rPr>
          <w:rStyle w:val="href"/>
          <w:lang w:val="fr-FR"/>
        </w:rPr>
        <w:t>A8</w:t>
      </w:r>
    </w:p>
    <w:p w14:paraId="178823FF" w14:textId="77777777" w:rsidR="0057266D" w:rsidRPr="00EC311E" w:rsidRDefault="0057266D" w:rsidP="00EC311E">
      <w:pPr>
        <w:pStyle w:val="Heading1"/>
        <w:ind w:left="0" w:firstLine="0"/>
        <w:jc w:val="center"/>
        <w:rPr>
          <w:lang w:val="fr-FR"/>
        </w:rPr>
      </w:pPr>
      <w:r w:rsidRPr="00EC311E">
        <w:rPr>
          <w:lang w:val="fr-FR"/>
        </w:rPr>
        <w:t>Règles relatives à l'Accord régional relatif aux services mobile maritime</w:t>
      </w:r>
      <w:r w:rsidR="00EC311E" w:rsidRPr="00EC311E">
        <w:rPr>
          <w:lang w:val="fr-FR"/>
        </w:rPr>
        <w:t xml:space="preserve"> </w:t>
      </w:r>
      <w:r w:rsidRPr="00EC311E">
        <w:rPr>
          <w:lang w:val="fr-FR"/>
        </w:rPr>
        <w:t>et</w:t>
      </w:r>
      <w:r w:rsidR="00EC311E" w:rsidRPr="00EC311E">
        <w:rPr>
          <w:lang w:val="fr-FR"/>
        </w:rPr>
        <w:br/>
      </w:r>
      <w:r w:rsidRPr="00EC311E">
        <w:rPr>
          <w:lang w:val="fr-FR"/>
        </w:rPr>
        <w:t>de radionavigation aéronautique en ondes hectométriques (Région 1)</w:t>
      </w:r>
      <w:r w:rsidRPr="00EC311E">
        <w:rPr>
          <w:lang w:val="fr-FR"/>
        </w:rPr>
        <w:br/>
        <w:t>(Genève, 1985) (</w:t>
      </w:r>
      <w:r w:rsidRPr="00EC311E">
        <w:rPr>
          <w:rStyle w:val="href2"/>
          <w:lang w:val="fr-FR"/>
        </w:rPr>
        <w:t>GE85-</w:t>
      </w:r>
      <w:r w:rsidRPr="00EC311E">
        <w:rPr>
          <w:lang w:val="fr-FR"/>
        </w:rPr>
        <w:t>MM-R1)</w:t>
      </w:r>
    </w:p>
    <w:p w14:paraId="5CD99CFD" w14:textId="77777777" w:rsidR="0057266D" w:rsidRPr="00EC311E" w:rsidRDefault="0057266D">
      <w:pPr>
        <w:pStyle w:val="Heading1"/>
        <w:rPr>
          <w:lang w:val="fr-FR"/>
        </w:rPr>
      </w:pPr>
      <w:r w:rsidRPr="00EC311E">
        <w:rPr>
          <w:lang w:val="fr-FR"/>
        </w:rPr>
        <w:t>1</w:t>
      </w:r>
      <w:r w:rsidRPr="00EC311E">
        <w:rPr>
          <w:lang w:val="fr-FR"/>
        </w:rPr>
        <w:tab/>
        <w:t>Statut des administrations en ce qui concerne l'Accord</w:t>
      </w:r>
    </w:p>
    <w:p w14:paraId="23688E52" w14:textId="77777777" w:rsidR="0057266D" w:rsidRPr="00EC311E" w:rsidRDefault="0057266D" w:rsidP="00EC311E">
      <w:pPr>
        <w:rPr>
          <w:lang w:val="fr-FR"/>
        </w:rPr>
      </w:pPr>
      <w:r w:rsidRPr="00EC311E">
        <w:rPr>
          <w:lang w:val="fr-FR"/>
        </w:rPr>
        <w:t>1.1</w:t>
      </w:r>
      <w:r w:rsidRPr="00EC311E">
        <w:rPr>
          <w:lang w:val="fr-FR"/>
        </w:rPr>
        <w:tab/>
        <w:t>Pendant la période transitoire entre l'établissement de l'Accord (13 mars 1985) et son entrée en vigueur (1</w:t>
      </w:r>
      <w:r w:rsidRPr="00EC311E">
        <w:rPr>
          <w:vertAlign w:val="superscript"/>
          <w:lang w:val="fr-FR"/>
        </w:rPr>
        <w:t>er</w:t>
      </w:r>
      <w:r w:rsidRPr="00EC311E">
        <w:rPr>
          <w:lang w:val="fr-FR"/>
        </w:rPr>
        <w:t xml:space="preserve"> avril 1992), et après consultation des administrations des pays de la Région 1, le Comité a introduit et utilisé la notion de </w:t>
      </w:r>
      <w:r w:rsidRPr="0067678B">
        <w:rPr>
          <w:i/>
          <w:iCs/>
          <w:lang w:val="fr-FR"/>
        </w:rPr>
        <w:t>«parties à l'Accord»</w:t>
      </w:r>
      <w:r w:rsidRPr="00EC311E">
        <w:rPr>
          <w:lang w:val="fr-FR"/>
        </w:rPr>
        <w:t xml:space="preserve"> aux fins de l'appli</w:t>
      </w:r>
      <w:r w:rsidR="00EC311E" w:rsidRPr="00EC311E">
        <w:rPr>
          <w:lang w:val="fr-FR"/>
        </w:rPr>
        <w:softHyphen/>
      </w:r>
      <w:r w:rsidRPr="00EC311E">
        <w:rPr>
          <w:lang w:val="fr-FR"/>
        </w:rPr>
        <w:t>cation des procédures et des critères techniques connexes énoncés aux Articles</w:t>
      </w:r>
      <w:r w:rsidR="00EC311E" w:rsidRPr="00EC311E">
        <w:rPr>
          <w:lang w:val="fr-FR"/>
        </w:rPr>
        <w:t> </w:t>
      </w:r>
      <w:r w:rsidRPr="00EC311E">
        <w:rPr>
          <w:lang w:val="fr-FR"/>
        </w:rPr>
        <w:t>4, 5 et 6 de l'Accord GE85</w:t>
      </w:r>
      <w:r w:rsidR="00EC311E" w:rsidRPr="00EC311E">
        <w:rPr>
          <w:lang w:val="fr-FR"/>
        </w:rPr>
        <w:noBreakHyphen/>
      </w:r>
      <w:r w:rsidRPr="00EC311E">
        <w:rPr>
          <w:lang w:val="fr-FR"/>
        </w:rPr>
        <w:t>MM</w:t>
      </w:r>
      <w:r w:rsidR="00EC311E" w:rsidRPr="00EC311E">
        <w:rPr>
          <w:lang w:val="fr-FR"/>
        </w:rPr>
        <w:noBreakHyphen/>
      </w:r>
      <w:r w:rsidRPr="00EC311E">
        <w:rPr>
          <w:lang w:val="fr-FR"/>
        </w:rPr>
        <w:t xml:space="preserve">R1 relatifs aux modifications du Plan, et à la notification, à l'examen et à l'inscription des fiches de notification d'assignation de fréquence aux stations des services planifiés (mobile maritime et de radionavigation aéronautique) ou non planifiés (fixe et mobile terrestre). Ont été considérées comme étant </w:t>
      </w:r>
      <w:r w:rsidRPr="0067678B">
        <w:rPr>
          <w:i/>
          <w:iCs/>
          <w:lang w:val="fr-FR"/>
        </w:rPr>
        <w:t>«parties à l'Accord GE85-MM-R1»</w:t>
      </w:r>
      <w:r w:rsidRPr="00EC311E">
        <w:rPr>
          <w:lang w:val="fr-FR"/>
        </w:rPr>
        <w:t xml:space="preserve"> toutes les administrations ayant des territoires dans la zone de planification (c'est-à-dire dans la Région 1) qui n'étaient pas opposées à ce concept. Les administrations ayant déclaré formel</w:t>
      </w:r>
      <w:r w:rsidR="00EC311E" w:rsidRPr="00EC311E">
        <w:rPr>
          <w:lang w:val="fr-FR"/>
        </w:rPr>
        <w:softHyphen/>
      </w:r>
      <w:r w:rsidRPr="00EC311E">
        <w:rPr>
          <w:lang w:val="fr-FR"/>
        </w:rPr>
        <w:t xml:space="preserve">lement qu'elles ne souhaitaient pas être considérées comme étant </w:t>
      </w:r>
      <w:r w:rsidRPr="0067678B">
        <w:rPr>
          <w:i/>
          <w:iCs/>
          <w:lang w:val="fr-FR"/>
        </w:rPr>
        <w:t>«parties à l'Accord»</w:t>
      </w:r>
      <w:r w:rsidRPr="00EC311E">
        <w:rPr>
          <w:lang w:val="fr-FR"/>
        </w:rPr>
        <w:t xml:space="preserve">, ainsi que les administrations non participantes, sans assignations dans le Plan n'ayant pas déclaré formellement qu'elles avaient l'intention de devenir </w:t>
      </w:r>
      <w:r w:rsidRPr="0067678B">
        <w:rPr>
          <w:i/>
          <w:iCs/>
          <w:lang w:val="fr-FR"/>
        </w:rPr>
        <w:t>«parties à l'Accord»</w:t>
      </w:r>
      <w:r w:rsidRPr="00EC311E">
        <w:rPr>
          <w:lang w:val="fr-FR"/>
        </w:rPr>
        <w:t xml:space="preserve"> ont été considérées comme étant non parties à l'Accord.</w:t>
      </w:r>
    </w:p>
    <w:p w14:paraId="7D28B5A7" w14:textId="77777777" w:rsidR="0057266D" w:rsidRPr="00EC311E" w:rsidRDefault="0057266D" w:rsidP="00EC311E">
      <w:pPr>
        <w:rPr>
          <w:lang w:val="fr-FR"/>
        </w:rPr>
      </w:pPr>
      <w:r w:rsidRPr="00EC311E">
        <w:rPr>
          <w:lang w:val="fr-FR"/>
        </w:rPr>
        <w:t>1.2</w:t>
      </w:r>
      <w:r w:rsidRPr="00EC311E">
        <w:rPr>
          <w:lang w:val="fr-FR"/>
        </w:rPr>
        <w:tab/>
        <w:t>Après l'entrée en vigueur de l'Accord et en attendant d'engager de nouvelles consultations avec les administrations concernées, le Comité a décidé de maintenir ce concept. En conséquence, le Bureau considérera comme étant partie à l'Accord GE85</w:t>
      </w:r>
      <w:r w:rsidRPr="00EC311E">
        <w:rPr>
          <w:lang w:val="fr-FR"/>
        </w:rPr>
        <w:noBreakHyphen/>
        <w:t>MM</w:t>
      </w:r>
      <w:r w:rsidR="00EC311E" w:rsidRPr="00EC311E">
        <w:rPr>
          <w:lang w:val="fr-FR"/>
        </w:rPr>
        <w:noBreakHyphen/>
      </w:r>
      <w:r w:rsidRPr="00EC311E">
        <w:rPr>
          <w:lang w:val="fr-FR"/>
        </w:rPr>
        <w:t>R1 toutes les administrations ayant des territoires dans la Région 1, à l'exception des adminis</w:t>
      </w:r>
      <w:r w:rsidRPr="00EC311E">
        <w:rPr>
          <w:lang w:val="fr-FR"/>
        </w:rPr>
        <w:softHyphen/>
        <w:t>trations des pays suivants: AND, BFA, CAF, GNB, LSO, LUX, MLI, MNG, MWI, NGR, RRW, SWZ, TZA, UGA, ZMB et ZWE qui sont considérées comme étant non parties à l'Accord jusqu'à ce qu'elles adhèrent officiellement à l'Accord.</w:t>
      </w:r>
    </w:p>
    <w:p w14:paraId="1DCDCE04" w14:textId="77777777" w:rsidR="0057266D" w:rsidRPr="00EC311E" w:rsidRDefault="0057266D">
      <w:pPr>
        <w:pStyle w:val="Heading1"/>
        <w:rPr>
          <w:lang w:val="fr-FR"/>
        </w:rPr>
      </w:pPr>
      <w:r w:rsidRPr="00EC311E">
        <w:rPr>
          <w:lang w:val="fr-FR"/>
        </w:rPr>
        <w:t>2</w:t>
      </w:r>
      <w:r w:rsidRPr="00EC311E">
        <w:rPr>
          <w:lang w:val="fr-FR"/>
        </w:rPr>
        <w:tab/>
        <w:t>Traitement des fiches de notification relatives aux modifications des Plans régis par l'Accord GE85-MM-R1</w:t>
      </w:r>
    </w:p>
    <w:p w14:paraId="7B653D27" w14:textId="77777777" w:rsidR="0057266D" w:rsidRPr="00EC311E" w:rsidRDefault="0057266D">
      <w:pPr>
        <w:rPr>
          <w:lang w:val="fr-FR"/>
        </w:rPr>
      </w:pPr>
      <w:r w:rsidRPr="00EC311E">
        <w:rPr>
          <w:lang w:val="fr-FR"/>
        </w:rPr>
        <w:t>2.1</w:t>
      </w:r>
      <w:r w:rsidRPr="00EC311E">
        <w:rPr>
          <w:lang w:val="fr-FR"/>
        </w:rPr>
        <w:tab/>
        <w:t>Les modifications aux Plans apportées par toutes les administrations considérées comme étant parties à l'Accord (voir le § 1.2 ci-dessus) sont réputées être recevables.</w:t>
      </w:r>
    </w:p>
    <w:p w14:paraId="75E7E8DE" w14:textId="77777777" w:rsidR="0057266D" w:rsidRPr="00EC311E" w:rsidRDefault="0057266D">
      <w:pPr>
        <w:rPr>
          <w:lang w:val="fr-FR"/>
        </w:rPr>
      </w:pPr>
      <w:r w:rsidRPr="00EC311E">
        <w:rPr>
          <w:lang w:val="fr-FR"/>
        </w:rPr>
        <w:t>2.2</w:t>
      </w:r>
      <w:r w:rsidRPr="00EC311E">
        <w:rPr>
          <w:lang w:val="fr-FR"/>
        </w:rPr>
        <w:tab/>
        <w:t>Le traitement des fiches de notification relatives aux modifications aux Plans d'assignations de fréquence s'effectue selon les procédures énoncées dans l'Article 4 de l'Accord.</w:t>
      </w:r>
    </w:p>
    <w:p w14:paraId="5CDD7579" w14:textId="77777777" w:rsidR="0057266D" w:rsidRPr="00EC311E" w:rsidRDefault="00EC311E">
      <w:pPr>
        <w:rPr>
          <w:lang w:val="fr-FR"/>
        </w:rPr>
      </w:pPr>
      <w:r w:rsidRPr="00EC311E">
        <w:rPr>
          <w:lang w:val="fr-FR"/>
        </w:rPr>
        <w:br w:type="page"/>
      </w:r>
      <w:r w:rsidR="0057266D" w:rsidRPr="00EC311E">
        <w:rPr>
          <w:lang w:val="fr-FR"/>
        </w:rPr>
        <w:lastRenderedPageBreak/>
        <w:t>2.3</w:t>
      </w:r>
      <w:r w:rsidR="0057266D" w:rsidRPr="00EC311E">
        <w:rPr>
          <w:lang w:val="fr-FR"/>
        </w:rPr>
        <w:tab/>
        <w:t>Les principes techniques à utiliser dans la procédure pour les modifications des Plans d'assignations de fréquence sont ceux que contiennent les Annexes 3, 4 et 5 de l'Accord GE85-MM-R1. Le logiciel utilisé à la CARR-MM-R1 sera employé à cette fin, après avoir été convenablement modifié en vue de tenir compte des lignes côtières numérisées.</w:t>
      </w:r>
    </w:p>
    <w:p w14:paraId="36F0814B" w14:textId="77777777" w:rsidR="0057266D" w:rsidRPr="00EC311E" w:rsidRDefault="0057266D">
      <w:pPr>
        <w:rPr>
          <w:lang w:val="fr-FR"/>
        </w:rPr>
      </w:pPr>
      <w:r w:rsidRPr="00EC311E">
        <w:rPr>
          <w:lang w:val="fr-FR"/>
        </w:rPr>
        <w:t>2.4</w:t>
      </w:r>
      <w:r w:rsidRPr="00EC311E">
        <w:rPr>
          <w:lang w:val="fr-FR"/>
        </w:rPr>
        <w:tab/>
        <w:t>Les éléments suivants sont vérifiés du point de vue de leur conformité avec les principes techniques de l'Accord:</w:t>
      </w:r>
    </w:p>
    <w:p w14:paraId="439CE806" w14:textId="77777777" w:rsidR="0057266D" w:rsidRPr="00EC311E" w:rsidRDefault="0057266D" w:rsidP="00EC311E">
      <w:pPr>
        <w:rPr>
          <w:lang w:val="fr-FR"/>
        </w:rPr>
      </w:pPr>
      <w:r w:rsidRPr="00EC311E">
        <w:rPr>
          <w:lang w:val="fr-FR"/>
        </w:rPr>
        <w:t>2.4.1</w:t>
      </w:r>
      <w:r w:rsidRPr="00EC311E">
        <w:rPr>
          <w:lang w:val="fr-FR"/>
        </w:rPr>
        <w:tab/>
        <w:t>conformité de la fréquence assignée (paire de fréquences) avec la disposition des voies appropriée (des vérifications sont effectuées en ce qui concerne les Tableaux 1 à 4 de l'Annexe</w:t>
      </w:r>
      <w:r w:rsidR="00EC311E" w:rsidRPr="00EC311E">
        <w:rPr>
          <w:lang w:val="fr-FR"/>
        </w:rPr>
        <w:t> </w:t>
      </w:r>
      <w:r w:rsidRPr="00EC311E">
        <w:rPr>
          <w:lang w:val="fr-FR"/>
        </w:rPr>
        <w:t>3 de l'Accord GE85</w:t>
      </w:r>
      <w:r w:rsidR="00EC311E" w:rsidRPr="00EC311E">
        <w:rPr>
          <w:lang w:val="fr-FR"/>
        </w:rPr>
        <w:noBreakHyphen/>
      </w:r>
      <w:r w:rsidRPr="00EC311E">
        <w:rPr>
          <w:lang w:val="fr-FR"/>
        </w:rPr>
        <w:t>MM</w:t>
      </w:r>
      <w:r w:rsidR="00EC311E" w:rsidRPr="00EC311E">
        <w:rPr>
          <w:lang w:val="fr-FR"/>
        </w:rPr>
        <w:noBreakHyphen/>
      </w:r>
      <w:r w:rsidRPr="00EC311E">
        <w:rPr>
          <w:lang w:val="fr-FR"/>
        </w:rPr>
        <w:t>R1);</w:t>
      </w:r>
    </w:p>
    <w:p w14:paraId="757DF67C" w14:textId="77777777" w:rsidR="0057266D" w:rsidRPr="00EC311E" w:rsidRDefault="0057266D" w:rsidP="00EC311E">
      <w:pPr>
        <w:rPr>
          <w:lang w:val="fr-FR"/>
        </w:rPr>
      </w:pPr>
      <w:r w:rsidRPr="00EC311E">
        <w:rPr>
          <w:lang w:val="fr-FR"/>
        </w:rPr>
        <w:t>2.4.2</w:t>
      </w:r>
      <w:r w:rsidRPr="00EC311E">
        <w:rPr>
          <w:lang w:val="fr-FR"/>
        </w:rPr>
        <w:tab/>
        <w:t>conformité de la classe d'émission notifiée avec la classe d'émission admissible. Les classes d'émission et les largeurs de bande suivantes sont considérées comme étant recevables:</w:t>
      </w:r>
    </w:p>
    <w:p w14:paraId="7C65D7BF" w14:textId="77777777" w:rsidR="0057266D" w:rsidRPr="00EC311E" w:rsidRDefault="0057266D" w:rsidP="00EC311E">
      <w:pPr>
        <w:pStyle w:val="enumlev1"/>
        <w:rPr>
          <w:lang w:val="fr-FR"/>
        </w:rPr>
      </w:pPr>
      <w:r w:rsidRPr="00EC311E">
        <w:rPr>
          <w:lang w:val="fr-FR"/>
        </w:rPr>
        <w:t>–</w:t>
      </w:r>
      <w:r w:rsidRPr="00EC311E">
        <w:rPr>
          <w:lang w:val="fr-FR"/>
        </w:rPr>
        <w:tab/>
      </w:r>
      <w:r w:rsidRPr="00EC311E">
        <w:rPr>
          <w:i/>
          <w:lang w:val="fr-FR"/>
        </w:rPr>
        <w:t>pour les stations AL</w:t>
      </w:r>
      <w:r w:rsidRPr="00EC311E">
        <w:rPr>
          <w:lang w:val="fr-FR"/>
        </w:rPr>
        <w:t>: 100HA1A, 850HA2A et 2K14A2A; toutefois, pour certains canaux, il est aussi tenu compte des limites indiquées dans le Tableau 4 de l'Annexe</w:t>
      </w:r>
      <w:r w:rsidR="00EC311E" w:rsidRPr="00EC311E">
        <w:rPr>
          <w:lang w:val="fr-FR"/>
        </w:rPr>
        <w:t xml:space="preserve"> </w:t>
      </w:r>
      <w:r w:rsidRPr="00EC311E">
        <w:rPr>
          <w:lang w:val="fr-FR"/>
        </w:rPr>
        <w:t>3 de l'Accord;</w:t>
      </w:r>
    </w:p>
    <w:p w14:paraId="6A12BF62" w14:textId="77777777" w:rsidR="0057266D" w:rsidRPr="00EC311E" w:rsidRDefault="0057266D" w:rsidP="00EC311E">
      <w:pPr>
        <w:pStyle w:val="enumlev1"/>
        <w:rPr>
          <w:lang w:val="fr-FR"/>
        </w:rPr>
      </w:pPr>
      <w:r w:rsidRPr="00EC311E">
        <w:rPr>
          <w:lang w:val="fr-FR"/>
        </w:rPr>
        <w:t>–</w:t>
      </w:r>
      <w:r w:rsidRPr="00EC311E">
        <w:rPr>
          <w:lang w:val="fr-FR"/>
        </w:rPr>
        <w:tab/>
      </w:r>
      <w:r w:rsidRPr="00EC311E">
        <w:rPr>
          <w:i/>
          <w:lang w:val="fr-FR"/>
        </w:rPr>
        <w:t>pour les stations FC/MS dans les bandes autour de 500 kHz</w:t>
      </w:r>
      <w:r w:rsidRPr="00EC311E">
        <w:rPr>
          <w:lang w:val="fr-FR"/>
        </w:rPr>
        <w:t>: classes A1A et F1B, et les largeurs de bande nécessaires jusqu'à 500</w:t>
      </w:r>
      <w:r w:rsidR="00EC311E" w:rsidRPr="00EC311E">
        <w:rPr>
          <w:lang w:val="fr-FR"/>
        </w:rPr>
        <w:t> </w:t>
      </w:r>
      <w:r w:rsidRPr="00EC311E">
        <w:rPr>
          <w:lang w:val="fr-FR"/>
        </w:rPr>
        <w:t>Hz.</w:t>
      </w:r>
    </w:p>
    <w:p w14:paraId="6C44FC53" w14:textId="14D9AA4E" w:rsidR="0057266D" w:rsidRPr="00EC311E" w:rsidRDefault="0057266D" w:rsidP="00EC311E">
      <w:pPr>
        <w:pStyle w:val="enumlev1"/>
        <w:rPr>
          <w:lang w:val="fr-FR"/>
        </w:rPr>
      </w:pPr>
      <w:r w:rsidRPr="00EC311E">
        <w:rPr>
          <w:lang w:val="fr-FR"/>
        </w:rPr>
        <w:tab/>
        <w:t>A cet égard, le Comité a considéré que la largeur de bande de 500 Hz représente, pour les émissions de classe A1A, une vitesse de 100 mots par minute, ce qui est plus que suffisant pour la télégraphie manuelle. Pour les émissions de la classe F1B, cette limite englobe la largeur de bande normalisée de 304 Hz (Recommandations UIT</w:t>
      </w:r>
      <w:r w:rsidR="00EC311E" w:rsidRPr="00EC311E">
        <w:rPr>
          <w:lang w:val="fr-FR"/>
        </w:rPr>
        <w:noBreakHyphen/>
      </w:r>
      <w:r w:rsidRPr="00EC311E">
        <w:rPr>
          <w:lang w:val="fr-FR"/>
        </w:rPr>
        <w:t>R</w:t>
      </w:r>
      <w:r w:rsidR="00EC311E" w:rsidRPr="00EC311E">
        <w:rPr>
          <w:lang w:val="fr-FR"/>
        </w:rPr>
        <w:t> </w:t>
      </w:r>
      <w:r w:rsidRPr="00EC311E">
        <w:rPr>
          <w:lang w:val="fr-FR"/>
        </w:rPr>
        <w:t>M.476</w:t>
      </w:r>
      <w:r w:rsidR="00EC311E" w:rsidRPr="00EC311E">
        <w:rPr>
          <w:lang w:val="fr-FR"/>
        </w:rPr>
        <w:noBreakHyphen/>
      </w:r>
      <w:r w:rsidRPr="00EC311E">
        <w:rPr>
          <w:lang w:val="fr-FR"/>
        </w:rPr>
        <w:t>5, UIT</w:t>
      </w:r>
      <w:r w:rsidR="00EC311E" w:rsidRPr="00EC311E">
        <w:rPr>
          <w:lang w:val="fr-FR"/>
        </w:rPr>
        <w:noBreakHyphen/>
      </w:r>
      <w:r w:rsidRPr="00EC311E">
        <w:rPr>
          <w:lang w:val="fr-FR"/>
        </w:rPr>
        <w:t>R</w:t>
      </w:r>
      <w:r w:rsidR="00EC311E" w:rsidRPr="00EC311E">
        <w:rPr>
          <w:lang w:val="fr-FR"/>
        </w:rPr>
        <w:t> </w:t>
      </w:r>
      <w:r w:rsidRPr="00EC311E">
        <w:rPr>
          <w:lang w:val="fr-FR"/>
        </w:rPr>
        <w:t>M.493-</w:t>
      </w:r>
      <w:r w:rsidR="002412D3">
        <w:rPr>
          <w:lang w:val="fr-FR"/>
        </w:rPr>
        <w:t>15</w:t>
      </w:r>
      <w:r w:rsidRPr="00EC311E">
        <w:rPr>
          <w:lang w:val="fr-FR"/>
        </w:rPr>
        <w:t>, UIT-R M.625-</w:t>
      </w:r>
      <w:r w:rsidR="002412D3">
        <w:rPr>
          <w:lang w:val="fr-FR"/>
        </w:rPr>
        <w:t>4</w:t>
      </w:r>
      <w:r w:rsidRPr="00EC311E">
        <w:rPr>
          <w:lang w:val="fr-FR"/>
        </w:rPr>
        <w:t xml:space="preserve"> et UIT</w:t>
      </w:r>
      <w:r w:rsidR="00EC311E" w:rsidRPr="00EC311E">
        <w:rPr>
          <w:lang w:val="fr-FR"/>
        </w:rPr>
        <w:noBreakHyphen/>
      </w:r>
      <w:r w:rsidRPr="00EC311E">
        <w:rPr>
          <w:lang w:val="fr-FR"/>
        </w:rPr>
        <w:t>R</w:t>
      </w:r>
      <w:r w:rsidR="00EC311E" w:rsidRPr="00EC311E">
        <w:rPr>
          <w:lang w:val="fr-FR"/>
        </w:rPr>
        <w:t> </w:t>
      </w:r>
      <w:r w:rsidRPr="00EC311E">
        <w:rPr>
          <w:lang w:val="fr-FR"/>
        </w:rPr>
        <w:t>SM.1138</w:t>
      </w:r>
      <w:r w:rsidR="002412D3">
        <w:rPr>
          <w:lang w:val="fr-FR"/>
        </w:rPr>
        <w:t>-3</w:t>
      </w:r>
      <w:r w:rsidRPr="00EC311E">
        <w:rPr>
          <w:lang w:val="fr-FR"/>
        </w:rPr>
        <w:t>).</w:t>
      </w:r>
    </w:p>
    <w:p w14:paraId="2D90E14F" w14:textId="77777777" w:rsidR="0057266D" w:rsidRPr="00EC311E" w:rsidRDefault="0057266D" w:rsidP="00EC311E">
      <w:pPr>
        <w:pStyle w:val="enumlev1"/>
        <w:rPr>
          <w:lang w:val="fr-FR"/>
        </w:rPr>
      </w:pPr>
      <w:r w:rsidRPr="00EC311E">
        <w:rPr>
          <w:lang w:val="fr-FR"/>
        </w:rPr>
        <w:t>–</w:t>
      </w:r>
      <w:r w:rsidRPr="00EC311E">
        <w:rPr>
          <w:lang w:val="fr-FR"/>
        </w:rPr>
        <w:tab/>
      </w:r>
      <w:r w:rsidRPr="00EC311E">
        <w:rPr>
          <w:i/>
          <w:lang w:val="fr-FR"/>
        </w:rPr>
        <w:t>pour les stations FC/MS dans les bandes voisines de 2 MHz</w:t>
      </w:r>
      <w:r w:rsidRPr="00EC311E">
        <w:rPr>
          <w:lang w:val="fr-FR"/>
        </w:rPr>
        <w:t>: classes F1B et J3E; la </w:t>
      </w:r>
      <w:r w:rsidR="00EC311E" w:rsidRPr="00EC311E">
        <w:rPr>
          <w:rFonts w:ascii="Tms Rmn" w:hAnsi="Tms Rmn"/>
          <w:sz w:val="12"/>
          <w:lang w:val="fr-FR"/>
        </w:rPr>
        <w:t> </w:t>
      </w:r>
      <w:r w:rsidRPr="00EC311E">
        <w:rPr>
          <w:lang w:val="fr-FR"/>
        </w:rPr>
        <w:t>largeur de bande nécessaire pour les émissions de classe F1B ne doit pas dépasser 500 Hz, et la largeur de bande nécessaire pour l'émission de classe J3E ne doit pas dépasser 2</w:t>
      </w:r>
      <w:r w:rsidRPr="00EC311E">
        <w:rPr>
          <w:rFonts w:ascii="Tms Rmn" w:hAnsi="Tms Rmn"/>
          <w:sz w:val="12"/>
          <w:lang w:val="fr-FR"/>
        </w:rPr>
        <w:t> </w:t>
      </w:r>
      <w:r w:rsidRPr="00EC311E">
        <w:rPr>
          <w:lang w:val="fr-FR"/>
        </w:rPr>
        <w:t>800</w:t>
      </w:r>
      <w:r w:rsidR="00EC311E" w:rsidRPr="00EC311E">
        <w:rPr>
          <w:lang w:val="fr-FR"/>
        </w:rPr>
        <w:t> </w:t>
      </w:r>
      <w:r w:rsidRPr="00EC311E">
        <w:rPr>
          <w:lang w:val="fr-FR"/>
        </w:rPr>
        <w:t>Hz (le numéro </w:t>
      </w:r>
      <w:r w:rsidRPr="00EC311E">
        <w:rPr>
          <w:rStyle w:val="Artref"/>
          <w:b/>
          <w:color w:val="000000"/>
          <w:lang w:val="fr-FR"/>
        </w:rPr>
        <w:t>52.177</w:t>
      </w:r>
      <w:r w:rsidRPr="00EC311E">
        <w:rPr>
          <w:lang w:val="fr-FR"/>
        </w:rPr>
        <w:t xml:space="preserve"> se réfère à ce dernier cas);</w:t>
      </w:r>
    </w:p>
    <w:p w14:paraId="2A204F92" w14:textId="77777777" w:rsidR="0057266D" w:rsidRPr="00EC311E" w:rsidRDefault="0057266D">
      <w:pPr>
        <w:rPr>
          <w:lang w:val="fr-FR"/>
        </w:rPr>
      </w:pPr>
      <w:r w:rsidRPr="00EC311E">
        <w:rPr>
          <w:lang w:val="fr-FR"/>
        </w:rPr>
        <w:t>2.4.3</w:t>
      </w:r>
      <w:r w:rsidRPr="00EC311E">
        <w:rPr>
          <w:lang w:val="fr-FR"/>
        </w:rPr>
        <w:tab/>
        <w:t>conformité de la portée de service notifiée avec les limites établies par la Conférence:</w:t>
      </w:r>
    </w:p>
    <w:p w14:paraId="34994C89" w14:textId="77777777" w:rsidR="0057266D" w:rsidRPr="00EC311E" w:rsidRDefault="0057266D">
      <w:pPr>
        <w:pStyle w:val="enumlev2"/>
        <w:rPr>
          <w:lang w:val="fr-FR"/>
        </w:rPr>
      </w:pPr>
      <w:r w:rsidRPr="00EC311E">
        <w:rPr>
          <w:lang w:val="fr-FR"/>
        </w:rPr>
        <w:tab/>
        <w:t>Les administrations doivent notifier uniquement la portée de service nécessaire, qui sert de base pour déterminer la valeur de puissance nécessaire en vue d'assurer le champ minimum à la limite de la zone de service. Les limites de portée de service suivantes, pour les stations côtières, ne doivent pas dépasser:</w:t>
      </w:r>
    </w:p>
    <w:p w14:paraId="7819FBF5" w14:textId="77777777" w:rsidR="0057266D" w:rsidRPr="00EC311E" w:rsidRDefault="0057266D">
      <w:pPr>
        <w:pStyle w:val="enumlev3"/>
        <w:rPr>
          <w:lang w:val="fr-FR"/>
        </w:rPr>
      </w:pPr>
      <w:r w:rsidRPr="00EC311E">
        <w:rPr>
          <w:lang w:val="fr-FR"/>
        </w:rPr>
        <w:t>–</w:t>
      </w:r>
      <w:r w:rsidRPr="00EC311E">
        <w:rPr>
          <w:lang w:val="fr-FR"/>
        </w:rPr>
        <w:tab/>
        <w:t>500 km, pour la bande 415-526,5 kHz</w:t>
      </w:r>
    </w:p>
    <w:p w14:paraId="17E3DE31" w14:textId="77777777" w:rsidR="0057266D" w:rsidRPr="00EC311E" w:rsidRDefault="0057266D">
      <w:pPr>
        <w:pStyle w:val="enumlev3"/>
        <w:rPr>
          <w:lang w:val="fr-FR"/>
        </w:rPr>
      </w:pPr>
      <w:r w:rsidRPr="00EC311E">
        <w:rPr>
          <w:lang w:val="fr-FR"/>
        </w:rPr>
        <w:t>–</w:t>
      </w:r>
      <w:r w:rsidRPr="00EC311E">
        <w:rPr>
          <w:lang w:val="fr-FR"/>
        </w:rPr>
        <w:tab/>
        <w:t>400 km, pour la bande 1</w:t>
      </w:r>
      <w:r w:rsidRPr="00EC311E">
        <w:rPr>
          <w:rFonts w:ascii="Tms Rmn" w:hAnsi="Tms Rmn"/>
          <w:sz w:val="12"/>
          <w:lang w:val="fr-FR"/>
        </w:rPr>
        <w:t> </w:t>
      </w:r>
      <w:r w:rsidRPr="00EC311E">
        <w:rPr>
          <w:lang w:val="fr-FR"/>
        </w:rPr>
        <w:t>606,5-2</w:t>
      </w:r>
      <w:r w:rsidRPr="00EC311E">
        <w:rPr>
          <w:rFonts w:ascii="Tms Rmn" w:hAnsi="Tms Rmn"/>
          <w:sz w:val="12"/>
          <w:lang w:val="fr-FR"/>
        </w:rPr>
        <w:t> </w:t>
      </w:r>
      <w:r w:rsidRPr="00EC311E">
        <w:rPr>
          <w:lang w:val="fr-FR"/>
        </w:rPr>
        <w:t>160 kHz.</w:t>
      </w:r>
    </w:p>
    <w:p w14:paraId="1BCFBEC4" w14:textId="77777777" w:rsidR="0057266D" w:rsidRPr="00EC311E" w:rsidRDefault="0057266D" w:rsidP="00EC311E">
      <w:pPr>
        <w:pStyle w:val="enumlev2"/>
        <w:rPr>
          <w:lang w:val="fr-FR"/>
        </w:rPr>
      </w:pPr>
      <w:r w:rsidRPr="00EC311E">
        <w:rPr>
          <w:lang w:val="fr-FR"/>
        </w:rPr>
        <w:tab/>
        <w:t>Le Bureau utilise les valeurs établies par la CARR-MM-R1 sur la base de considé</w:t>
      </w:r>
      <w:r w:rsidR="00EC311E" w:rsidRPr="00EC311E">
        <w:rPr>
          <w:lang w:val="fr-FR"/>
        </w:rPr>
        <w:softHyphen/>
      </w:r>
      <w:r w:rsidRPr="00EC311E">
        <w:rPr>
          <w:lang w:val="fr-FR"/>
        </w:rPr>
        <w:t>rations de planification (voir le Document 63 de la CARR</w:t>
      </w:r>
      <w:r w:rsidR="00EC311E" w:rsidRPr="00EC311E">
        <w:rPr>
          <w:lang w:val="fr-FR"/>
        </w:rPr>
        <w:noBreakHyphen/>
      </w:r>
      <w:r w:rsidRPr="00EC311E">
        <w:rPr>
          <w:lang w:val="fr-FR"/>
        </w:rPr>
        <w:t>MM</w:t>
      </w:r>
      <w:r w:rsidR="00EC311E" w:rsidRPr="00EC311E">
        <w:rPr>
          <w:lang w:val="fr-FR"/>
        </w:rPr>
        <w:noBreakHyphen/>
      </w:r>
      <w:r w:rsidRPr="00EC311E">
        <w:rPr>
          <w:lang w:val="fr-FR"/>
        </w:rPr>
        <w:t>R1). Néanmoins, ces valeurs représentent en même temps des limites techniques pour l'utilisation du mode de propagation de l'onde de sol, étant donné qu'aux distances susmentionnées, la composante de l'onde de sol ne dépasse que de 3 dB la composante ionosphérique.</w:t>
      </w:r>
    </w:p>
    <w:p w14:paraId="0BD62B31" w14:textId="77777777" w:rsidR="0057266D" w:rsidRPr="00EC311E" w:rsidRDefault="00EC311E">
      <w:pPr>
        <w:rPr>
          <w:lang w:val="fr-FR"/>
        </w:rPr>
      </w:pPr>
      <w:r w:rsidRPr="00EC311E">
        <w:rPr>
          <w:lang w:val="fr-FR"/>
        </w:rPr>
        <w:br w:type="page"/>
      </w:r>
      <w:r w:rsidR="0057266D" w:rsidRPr="00EC311E">
        <w:rPr>
          <w:lang w:val="fr-FR"/>
        </w:rPr>
        <w:lastRenderedPageBreak/>
        <w:t>2.5</w:t>
      </w:r>
      <w:r w:rsidR="0057266D" w:rsidRPr="00EC311E">
        <w:rPr>
          <w:lang w:val="fr-FR"/>
        </w:rPr>
        <w:tab/>
        <w:t>Pour les stations FC dans les bandes autour de 500 kHz, une seule assignation de classe A1A par station côtière sera acceptée; cependant, l'administration concernée sera informée qu'elle peut utiliser les émissions de classes A1A sur des assignations de classe F1B et vice versa.</w:t>
      </w:r>
    </w:p>
    <w:p w14:paraId="32439CF1" w14:textId="77777777" w:rsidR="0057266D" w:rsidRPr="00EC311E" w:rsidRDefault="0057266D" w:rsidP="00EC311E">
      <w:pPr>
        <w:pStyle w:val="enumlev2"/>
        <w:rPr>
          <w:lang w:val="fr-FR"/>
        </w:rPr>
      </w:pPr>
      <w:r w:rsidRPr="00EC311E">
        <w:rPr>
          <w:lang w:val="fr-FR"/>
        </w:rPr>
        <w:tab/>
        <w:t>Le Bureau applique la méthode utilisée lors de l'établissement du Plan à la CARR</w:t>
      </w:r>
      <w:r w:rsidRPr="00EC311E">
        <w:rPr>
          <w:lang w:val="fr-FR"/>
        </w:rPr>
        <w:noBreakHyphen/>
        <w:t>MM</w:t>
      </w:r>
      <w:r w:rsidR="00EC311E" w:rsidRPr="00EC311E">
        <w:rPr>
          <w:lang w:val="fr-FR"/>
        </w:rPr>
        <w:noBreakHyphen/>
      </w:r>
      <w:r w:rsidRPr="00EC311E">
        <w:rPr>
          <w:lang w:val="fr-FR"/>
        </w:rPr>
        <w:t>R1, en tenant compte de la note de la page 14 des Actes finals de la CARR</w:t>
      </w:r>
      <w:r w:rsidR="00EC311E" w:rsidRPr="00EC311E">
        <w:rPr>
          <w:lang w:val="fr-FR"/>
        </w:rPr>
        <w:noBreakHyphen/>
      </w:r>
      <w:r w:rsidRPr="00EC311E">
        <w:rPr>
          <w:lang w:val="fr-FR"/>
        </w:rPr>
        <w:t>MM</w:t>
      </w:r>
      <w:r w:rsidR="00EC311E" w:rsidRPr="00EC311E">
        <w:rPr>
          <w:lang w:val="fr-FR"/>
        </w:rPr>
        <w:noBreakHyphen/>
      </w:r>
      <w:r w:rsidRPr="00EC311E">
        <w:rPr>
          <w:lang w:val="fr-FR"/>
        </w:rPr>
        <w:t xml:space="preserve">R1 qui stipule que </w:t>
      </w:r>
      <w:r w:rsidRPr="0067678B">
        <w:rPr>
          <w:i/>
          <w:iCs/>
          <w:lang w:val="fr-FR"/>
        </w:rPr>
        <w:t>«dans les bandes de fréquences comprises entre 415 et 526,5</w:t>
      </w:r>
      <w:r w:rsidR="00EC311E" w:rsidRPr="0067678B">
        <w:rPr>
          <w:i/>
          <w:iCs/>
          <w:lang w:val="fr-FR"/>
        </w:rPr>
        <w:t> </w:t>
      </w:r>
      <w:r w:rsidRPr="0067678B">
        <w:rPr>
          <w:i/>
          <w:iCs/>
          <w:lang w:val="fr-FR"/>
        </w:rPr>
        <w:t>kHz, les émissions de classe A1A peuvent être utilisées sur des assignations de classe</w:t>
      </w:r>
      <w:r w:rsidR="00EC311E" w:rsidRPr="0067678B">
        <w:rPr>
          <w:i/>
          <w:iCs/>
          <w:lang w:val="fr-FR"/>
        </w:rPr>
        <w:t> </w:t>
      </w:r>
      <w:r w:rsidRPr="0067678B">
        <w:rPr>
          <w:i/>
          <w:iCs/>
          <w:lang w:val="fr-FR"/>
        </w:rPr>
        <w:t>F1B et vice versa»</w:t>
      </w:r>
      <w:r w:rsidRPr="00EC311E">
        <w:rPr>
          <w:lang w:val="fr-FR"/>
        </w:rPr>
        <w:t>.</w:t>
      </w:r>
    </w:p>
    <w:p w14:paraId="66E88E7C" w14:textId="77777777" w:rsidR="0057266D" w:rsidRPr="00EC311E" w:rsidRDefault="0057266D">
      <w:pPr>
        <w:pStyle w:val="Heading1"/>
        <w:rPr>
          <w:lang w:val="fr-FR"/>
        </w:rPr>
      </w:pPr>
      <w:r w:rsidRPr="00EC311E">
        <w:rPr>
          <w:lang w:val="fr-FR"/>
        </w:rPr>
        <w:t>3</w:t>
      </w:r>
      <w:r w:rsidRPr="00EC311E">
        <w:rPr>
          <w:lang w:val="fr-FR"/>
        </w:rPr>
        <w:tab/>
        <w:t>Traitement des fiches de notification d'assignation de fréquence à des stations d'émission et de réception dans les bandes régies par l'Accord GE85-MM-R1, (pour les administrations considérées comme étant parties à l'Accord)</w:t>
      </w:r>
    </w:p>
    <w:p w14:paraId="02AF0916" w14:textId="77777777" w:rsidR="0057266D" w:rsidRPr="00EC311E" w:rsidRDefault="0057266D">
      <w:pPr>
        <w:pStyle w:val="Heading2"/>
        <w:rPr>
          <w:lang w:val="fr-FR"/>
        </w:rPr>
      </w:pPr>
      <w:r w:rsidRPr="00EC311E">
        <w:rPr>
          <w:lang w:val="fr-FR"/>
        </w:rPr>
        <w:t>3.1</w:t>
      </w:r>
      <w:r w:rsidRPr="00EC311E">
        <w:rPr>
          <w:lang w:val="fr-FR"/>
        </w:rPr>
        <w:tab/>
        <w:t>Traitement des fiches de notification d'assignation de fréquence aux stations d'émission et de réception des services planifiés dans les bandes visées par les Plans d'assignations de fréquence</w:t>
      </w:r>
    </w:p>
    <w:p w14:paraId="0FFC42E6" w14:textId="77777777" w:rsidR="0057266D" w:rsidRPr="00EC311E" w:rsidRDefault="0057266D" w:rsidP="00EC311E">
      <w:pPr>
        <w:rPr>
          <w:lang w:val="fr-FR"/>
        </w:rPr>
      </w:pPr>
      <w:r w:rsidRPr="00EC311E">
        <w:rPr>
          <w:lang w:val="fr-FR"/>
        </w:rPr>
        <w:t>3.1.1</w:t>
      </w:r>
      <w:r w:rsidRPr="00EC311E">
        <w:rPr>
          <w:lang w:val="fr-FR"/>
        </w:rPr>
        <w:tab/>
        <w:t>Le traitement des fiches de notification d'assignation de fréquence aux stations d'émission et de réception des services planifiés dans les bandes de fréquences visées par les Plans d'assignations de fréquence (à savoir 415-435 kHz, 435-453 kHz, 460,5-495 kHz, 505</w:t>
      </w:r>
      <w:r w:rsidR="00EC311E" w:rsidRPr="00EC311E">
        <w:rPr>
          <w:lang w:val="fr-FR"/>
        </w:rPr>
        <w:t>-</w:t>
      </w:r>
      <w:r w:rsidRPr="00EC311E">
        <w:rPr>
          <w:lang w:val="fr-FR"/>
        </w:rPr>
        <w:t>526,5</w:t>
      </w:r>
      <w:r w:rsidR="00EC311E" w:rsidRPr="00EC311E">
        <w:rPr>
          <w:lang w:val="fr-FR"/>
        </w:rPr>
        <w:t> </w:t>
      </w:r>
      <w:r w:rsidRPr="00EC311E">
        <w:rPr>
          <w:lang w:val="fr-FR"/>
        </w:rPr>
        <w:t>kHz, 1</w:t>
      </w:r>
      <w:r w:rsidRPr="00EC311E">
        <w:rPr>
          <w:rFonts w:ascii="Tms Rmn" w:hAnsi="Tms Rmn"/>
          <w:sz w:val="12"/>
          <w:lang w:val="fr-FR"/>
        </w:rPr>
        <w:t> </w:t>
      </w:r>
      <w:r w:rsidRPr="00EC311E">
        <w:rPr>
          <w:lang w:val="fr-FR"/>
        </w:rPr>
        <w:t>606,5-1</w:t>
      </w:r>
      <w:r w:rsidRPr="00EC311E">
        <w:rPr>
          <w:rFonts w:ascii="Tms Rmn" w:hAnsi="Tms Rmn"/>
          <w:sz w:val="12"/>
          <w:lang w:val="fr-FR"/>
        </w:rPr>
        <w:t> </w:t>
      </w:r>
      <w:r w:rsidRPr="00EC311E">
        <w:rPr>
          <w:lang w:val="fr-FR"/>
        </w:rPr>
        <w:t>621 kHz, 1</w:t>
      </w:r>
      <w:r w:rsidRPr="00EC311E">
        <w:rPr>
          <w:rFonts w:ascii="Tms Rmn" w:hAnsi="Tms Rmn"/>
          <w:sz w:val="12"/>
          <w:lang w:val="fr-FR"/>
        </w:rPr>
        <w:t> </w:t>
      </w:r>
      <w:r w:rsidRPr="00EC311E">
        <w:rPr>
          <w:lang w:val="fr-FR"/>
        </w:rPr>
        <w:t>635-1</w:t>
      </w:r>
      <w:r w:rsidRPr="00EC311E">
        <w:rPr>
          <w:rFonts w:ascii="Tms Rmn" w:hAnsi="Tms Rmn"/>
          <w:sz w:val="12"/>
          <w:lang w:val="fr-FR"/>
        </w:rPr>
        <w:t> </w:t>
      </w:r>
      <w:r w:rsidRPr="00EC311E">
        <w:rPr>
          <w:lang w:val="fr-FR"/>
        </w:rPr>
        <w:t>800 kHz et 2</w:t>
      </w:r>
      <w:r w:rsidRPr="00EC311E">
        <w:rPr>
          <w:rFonts w:ascii="Tms Rmn" w:hAnsi="Tms Rmn"/>
          <w:sz w:val="12"/>
          <w:lang w:val="fr-FR"/>
        </w:rPr>
        <w:t> </w:t>
      </w:r>
      <w:r w:rsidRPr="00EC311E">
        <w:rPr>
          <w:lang w:val="fr-FR"/>
        </w:rPr>
        <w:t>060-2</w:t>
      </w:r>
      <w:r w:rsidRPr="00EC311E">
        <w:rPr>
          <w:rFonts w:ascii="Tms Rmn" w:hAnsi="Tms Rmn"/>
          <w:sz w:val="12"/>
          <w:lang w:val="fr-FR"/>
        </w:rPr>
        <w:t> </w:t>
      </w:r>
      <w:r w:rsidRPr="00EC311E">
        <w:rPr>
          <w:lang w:val="fr-FR"/>
        </w:rPr>
        <w:t>156 kHz), et notifiées par les admi</w:t>
      </w:r>
      <w:r w:rsidR="00EC311E" w:rsidRPr="00EC311E">
        <w:rPr>
          <w:lang w:val="fr-FR"/>
        </w:rPr>
        <w:softHyphen/>
      </w:r>
      <w:r w:rsidRPr="00EC311E">
        <w:rPr>
          <w:lang w:val="fr-FR"/>
        </w:rPr>
        <w:t>nistrations considérées comme étant parties à l'Accord, s'effectue selon la procédure énoncée dans l'Article</w:t>
      </w:r>
      <w:r w:rsidR="00EC311E" w:rsidRPr="00EC311E">
        <w:rPr>
          <w:lang w:val="fr-FR"/>
        </w:rPr>
        <w:t> </w:t>
      </w:r>
      <w:r w:rsidRPr="00EC311E">
        <w:rPr>
          <w:lang w:val="fr-FR"/>
        </w:rPr>
        <w:t>5 de l'Accord.</w:t>
      </w:r>
    </w:p>
    <w:p w14:paraId="5B9F23FB" w14:textId="77777777" w:rsidR="0057266D" w:rsidRPr="00EC311E" w:rsidRDefault="0057266D" w:rsidP="00EC311E">
      <w:pPr>
        <w:rPr>
          <w:lang w:val="fr-FR"/>
        </w:rPr>
      </w:pPr>
      <w:r w:rsidRPr="00EC311E">
        <w:rPr>
          <w:lang w:val="fr-FR"/>
        </w:rPr>
        <w:t>3.1.2</w:t>
      </w:r>
      <w:r w:rsidRPr="00EC311E">
        <w:rPr>
          <w:lang w:val="fr-FR"/>
        </w:rPr>
        <w:tab/>
        <w:t>L'examen réglementaire consiste à vérifier que ces fiches de notification sont</w:t>
      </w:r>
      <w:r w:rsidR="00EC311E" w:rsidRPr="00EC311E">
        <w:rPr>
          <w:lang w:val="fr-FR"/>
        </w:rPr>
        <w:t xml:space="preserve"> </w:t>
      </w:r>
      <w:r w:rsidRPr="00EC311E">
        <w:rPr>
          <w:lang w:val="fr-FR"/>
        </w:rPr>
        <w:t>conformes au Tableau d'attribution des bandes de fréquences et aux dispositions des</w:t>
      </w:r>
      <w:r w:rsidR="00EC311E" w:rsidRPr="00EC311E">
        <w:rPr>
          <w:lang w:val="fr-FR"/>
        </w:rPr>
        <w:t xml:space="preserve"> </w:t>
      </w:r>
      <w:r w:rsidRPr="00EC311E">
        <w:rPr>
          <w:lang w:val="fr-FR"/>
        </w:rPr>
        <w:t>nu</w:t>
      </w:r>
      <w:r w:rsidR="00EC311E" w:rsidRPr="00EC311E">
        <w:rPr>
          <w:lang w:val="fr-FR"/>
        </w:rPr>
        <w:softHyphen/>
      </w:r>
      <w:r w:rsidRPr="00EC311E">
        <w:rPr>
          <w:lang w:val="fr-FR"/>
        </w:rPr>
        <w:t>méros</w:t>
      </w:r>
      <w:r w:rsidR="00EC311E" w:rsidRPr="00EC311E">
        <w:rPr>
          <w:lang w:val="fr-FR"/>
        </w:rPr>
        <w:t> </w:t>
      </w:r>
      <w:r w:rsidRPr="00EC311E">
        <w:rPr>
          <w:rStyle w:val="Artref"/>
          <w:b/>
          <w:color w:val="000000"/>
          <w:lang w:val="fr-FR"/>
        </w:rPr>
        <w:t>52.10</w:t>
      </w:r>
      <w:r w:rsidRPr="00EC311E">
        <w:rPr>
          <w:lang w:val="fr-FR"/>
        </w:rPr>
        <w:t xml:space="preserve">, </w:t>
      </w:r>
      <w:r w:rsidRPr="00EC311E">
        <w:rPr>
          <w:rStyle w:val="Artref"/>
          <w:b/>
          <w:color w:val="000000"/>
          <w:lang w:val="fr-FR"/>
        </w:rPr>
        <w:t>52.177</w:t>
      </w:r>
      <w:r w:rsidRPr="00EC311E">
        <w:rPr>
          <w:lang w:val="fr-FR"/>
        </w:rPr>
        <w:t xml:space="preserve">, </w:t>
      </w:r>
      <w:r w:rsidRPr="00EC311E">
        <w:rPr>
          <w:rStyle w:val="Artref"/>
          <w:b/>
          <w:color w:val="000000"/>
          <w:lang w:val="fr-FR"/>
        </w:rPr>
        <w:t>52.183</w:t>
      </w:r>
      <w:r w:rsidRPr="00EC311E">
        <w:rPr>
          <w:lang w:val="fr-FR"/>
        </w:rPr>
        <w:t xml:space="preserve">, </w:t>
      </w:r>
      <w:r w:rsidRPr="00EC311E">
        <w:rPr>
          <w:rStyle w:val="Artref"/>
          <w:b/>
          <w:color w:val="000000"/>
          <w:lang w:val="fr-FR"/>
        </w:rPr>
        <w:t>52.184</w:t>
      </w:r>
      <w:r w:rsidRPr="00EC311E">
        <w:rPr>
          <w:lang w:val="fr-FR"/>
        </w:rPr>
        <w:t xml:space="preserve"> à </w:t>
      </w:r>
      <w:r w:rsidRPr="00EC311E">
        <w:rPr>
          <w:rStyle w:val="Artref"/>
          <w:b/>
          <w:color w:val="000000"/>
          <w:lang w:val="fr-FR"/>
        </w:rPr>
        <w:t>52.186</w:t>
      </w:r>
      <w:r w:rsidRPr="00EC311E">
        <w:rPr>
          <w:lang w:val="fr-FR"/>
        </w:rPr>
        <w:t xml:space="preserve"> et </w:t>
      </w:r>
      <w:r w:rsidRPr="00EC311E">
        <w:rPr>
          <w:rStyle w:val="Artref"/>
          <w:b/>
          <w:color w:val="000000"/>
          <w:lang w:val="fr-FR"/>
        </w:rPr>
        <w:t>52.202</w:t>
      </w:r>
      <w:r w:rsidRPr="00EC311E">
        <w:rPr>
          <w:lang w:val="fr-FR"/>
        </w:rPr>
        <w:t>. Il sera aussi tenu compte des</w:t>
      </w:r>
      <w:r w:rsidR="00EC311E" w:rsidRPr="00EC311E">
        <w:rPr>
          <w:lang w:val="fr-FR"/>
        </w:rPr>
        <w:t xml:space="preserve"> </w:t>
      </w:r>
      <w:r w:rsidRPr="00EC311E">
        <w:rPr>
          <w:lang w:val="fr-FR"/>
        </w:rPr>
        <w:t xml:space="preserve">dispositions du numéro </w:t>
      </w:r>
      <w:r w:rsidRPr="00EC311E">
        <w:rPr>
          <w:rStyle w:val="Artref"/>
          <w:b/>
          <w:color w:val="000000"/>
          <w:lang w:val="fr-FR"/>
        </w:rPr>
        <w:t>5.81</w:t>
      </w:r>
      <w:r w:rsidRPr="00EC311E">
        <w:rPr>
          <w:lang w:val="fr-FR"/>
        </w:rPr>
        <w:t xml:space="preserve"> et de l'Appendice </w:t>
      </w:r>
      <w:r w:rsidRPr="00EC311E">
        <w:rPr>
          <w:rStyle w:val="Appref"/>
          <w:b/>
          <w:color w:val="000000"/>
          <w:lang w:val="fr-FR"/>
        </w:rPr>
        <w:t>13</w:t>
      </w:r>
      <w:r w:rsidRPr="00EC311E">
        <w:rPr>
          <w:lang w:val="fr-FR"/>
        </w:rPr>
        <w:t>, § 15 1), Partie A2 jusqu'au 1</w:t>
      </w:r>
      <w:r w:rsidRPr="00EC311E">
        <w:rPr>
          <w:vertAlign w:val="superscript"/>
          <w:lang w:val="fr-FR"/>
        </w:rPr>
        <w:t>er</w:t>
      </w:r>
      <w:r w:rsidRPr="00EC311E">
        <w:rPr>
          <w:lang w:val="fr-FR"/>
        </w:rPr>
        <w:t> février 1999.</w:t>
      </w:r>
    </w:p>
    <w:p w14:paraId="03344E65" w14:textId="77777777" w:rsidR="0057266D" w:rsidRPr="00EC311E" w:rsidRDefault="0057266D">
      <w:pPr>
        <w:rPr>
          <w:lang w:val="fr-FR"/>
        </w:rPr>
      </w:pPr>
      <w:r w:rsidRPr="00EC311E">
        <w:rPr>
          <w:lang w:val="fr-FR"/>
        </w:rPr>
        <w:t>3.1.3</w:t>
      </w:r>
      <w:r w:rsidRPr="00EC311E">
        <w:rPr>
          <w:lang w:val="fr-FR"/>
        </w:rPr>
        <w:tab/>
        <w:t>L'examen de la conformité avec le Plan est fondé sur la vérification de toutes les données figurant dans le Plan d'assignations de fréquence approprié et des points supplé</w:t>
      </w:r>
      <w:r w:rsidRPr="00EC311E">
        <w:rPr>
          <w:lang w:val="fr-FR"/>
        </w:rPr>
        <w:softHyphen/>
        <w:t>mentaires suivants:</w:t>
      </w:r>
    </w:p>
    <w:p w14:paraId="08B035FD" w14:textId="77777777" w:rsidR="0057266D" w:rsidRPr="00EC311E" w:rsidRDefault="0057266D">
      <w:pPr>
        <w:pStyle w:val="enumlev1"/>
        <w:ind w:left="0" w:firstLine="0"/>
        <w:rPr>
          <w:lang w:val="fr-FR"/>
        </w:rPr>
      </w:pPr>
      <w:r w:rsidRPr="00EC311E">
        <w:rPr>
          <w:lang w:val="fr-FR"/>
        </w:rPr>
        <w:t>3.1.3.1</w:t>
      </w:r>
      <w:r w:rsidRPr="00EC311E">
        <w:rPr>
          <w:lang w:val="fr-FR"/>
        </w:rPr>
        <w:tab/>
        <w:t>Etant donné que les Plans FC/MS ne contiennent pas de valeurs concernant les largeurs de bande nécessaires, les valeurs suivantes sont utilisées pour vérifier la conformité des assignations notifiées en ce qui concerne les Plans:</w:t>
      </w:r>
    </w:p>
    <w:p w14:paraId="6B13CE5A" w14:textId="77777777" w:rsidR="0057266D" w:rsidRPr="00EC311E" w:rsidRDefault="0057266D">
      <w:pPr>
        <w:pStyle w:val="enumlev2"/>
        <w:jc w:val="left"/>
        <w:rPr>
          <w:lang w:val="fr-FR"/>
        </w:rPr>
      </w:pPr>
      <w:r w:rsidRPr="00EC311E">
        <w:rPr>
          <w:lang w:val="fr-FR"/>
        </w:rPr>
        <w:t>–</w:t>
      </w:r>
      <w:r w:rsidRPr="00EC311E">
        <w:rPr>
          <w:lang w:val="fr-FR"/>
        </w:rPr>
        <w:tab/>
      </w:r>
      <w:r w:rsidRPr="00EC311E">
        <w:rPr>
          <w:i/>
          <w:lang w:val="fr-FR"/>
        </w:rPr>
        <w:t>pour les classes A1A et F1B</w:t>
      </w:r>
      <w:r w:rsidRPr="00EC311E">
        <w:rPr>
          <w:lang w:val="fr-FR"/>
        </w:rPr>
        <w:t>: 500 Hz.</w:t>
      </w:r>
    </w:p>
    <w:p w14:paraId="71E0404E" w14:textId="13A6D95A" w:rsidR="0057266D" w:rsidRPr="00EC311E" w:rsidRDefault="0057266D" w:rsidP="00EC311E">
      <w:pPr>
        <w:pStyle w:val="enumlev2"/>
        <w:rPr>
          <w:lang w:val="fr-FR"/>
        </w:rPr>
      </w:pPr>
      <w:r w:rsidRPr="00EC311E">
        <w:rPr>
          <w:lang w:val="fr-FR"/>
        </w:rPr>
        <w:tab/>
        <w:t>Le Comité a considéré à cet égard que la largeur de 500 Hz représente, pour les</w:t>
      </w:r>
      <w:r w:rsidR="00EC311E">
        <w:rPr>
          <w:lang w:val="fr-FR"/>
        </w:rPr>
        <w:t>  </w:t>
      </w:r>
      <w:r w:rsidRPr="00EC311E">
        <w:rPr>
          <w:lang w:val="fr-FR"/>
        </w:rPr>
        <w:t>émissions de la classe A1A, une vitesse de 100 mots par minute, ce qui est plus que suffisant pour la télégraphie manuelle. Pour les émissions de la classe F1B, cette</w:t>
      </w:r>
      <w:r w:rsidR="00EC311E">
        <w:rPr>
          <w:lang w:val="fr-FR"/>
        </w:rPr>
        <w:t>  </w:t>
      </w:r>
      <w:r w:rsidRPr="00EC311E">
        <w:rPr>
          <w:lang w:val="fr-FR"/>
        </w:rPr>
        <w:t>limite englobe la largeur de bande normalisée de 304 Hz (Recomman</w:t>
      </w:r>
      <w:r w:rsidR="00EC311E">
        <w:rPr>
          <w:lang w:val="fr-FR"/>
        </w:rPr>
        <w:softHyphen/>
      </w:r>
      <w:r w:rsidRPr="00EC311E">
        <w:rPr>
          <w:lang w:val="fr-FR"/>
        </w:rPr>
        <w:t>dations</w:t>
      </w:r>
      <w:r w:rsidR="00EC311E">
        <w:rPr>
          <w:lang w:val="fr-FR"/>
        </w:rPr>
        <w:t> </w:t>
      </w:r>
      <w:r w:rsidRPr="00EC311E">
        <w:rPr>
          <w:lang w:val="fr-FR"/>
        </w:rPr>
        <w:t>UIT</w:t>
      </w:r>
      <w:r w:rsidRPr="00EC311E">
        <w:rPr>
          <w:lang w:val="fr-FR"/>
        </w:rPr>
        <w:noBreakHyphen/>
        <w:t>R</w:t>
      </w:r>
      <w:r w:rsidR="00EC311E" w:rsidRPr="00EC311E">
        <w:rPr>
          <w:lang w:val="fr-FR"/>
        </w:rPr>
        <w:t xml:space="preserve"> </w:t>
      </w:r>
      <w:r w:rsidRPr="00EC311E">
        <w:rPr>
          <w:lang w:val="fr-FR"/>
        </w:rPr>
        <w:t>M.476</w:t>
      </w:r>
      <w:r w:rsidRPr="00EC311E">
        <w:rPr>
          <w:lang w:val="fr-FR"/>
        </w:rPr>
        <w:noBreakHyphen/>
        <w:t>5, UIT</w:t>
      </w:r>
      <w:r w:rsidR="00EC311E" w:rsidRPr="00EC311E">
        <w:rPr>
          <w:lang w:val="fr-FR"/>
        </w:rPr>
        <w:noBreakHyphen/>
      </w:r>
      <w:r w:rsidRPr="00EC311E">
        <w:rPr>
          <w:lang w:val="fr-FR"/>
        </w:rPr>
        <w:t>R M.493-</w:t>
      </w:r>
      <w:r w:rsidR="002412D3">
        <w:rPr>
          <w:lang w:val="fr-FR"/>
        </w:rPr>
        <w:t>15</w:t>
      </w:r>
      <w:r w:rsidRPr="00EC311E">
        <w:rPr>
          <w:lang w:val="fr-FR"/>
        </w:rPr>
        <w:t>, UIT-R M.625-</w:t>
      </w:r>
      <w:r w:rsidR="002412D3">
        <w:rPr>
          <w:lang w:val="fr-FR"/>
        </w:rPr>
        <w:t>4</w:t>
      </w:r>
      <w:r w:rsidRPr="00EC311E">
        <w:rPr>
          <w:lang w:val="fr-FR"/>
        </w:rPr>
        <w:t xml:space="preserve"> et UIT-R SM.1138</w:t>
      </w:r>
      <w:r w:rsidR="002412D3">
        <w:rPr>
          <w:lang w:val="fr-FR"/>
        </w:rPr>
        <w:t>-3</w:t>
      </w:r>
      <w:r w:rsidRPr="00EC311E">
        <w:rPr>
          <w:lang w:val="fr-FR"/>
        </w:rPr>
        <w:t>).</w:t>
      </w:r>
    </w:p>
    <w:p w14:paraId="430FD75D" w14:textId="77777777" w:rsidR="0057266D" w:rsidRPr="00EC311E" w:rsidRDefault="0057266D">
      <w:pPr>
        <w:pStyle w:val="enumlev2"/>
        <w:rPr>
          <w:lang w:val="fr-FR"/>
        </w:rPr>
      </w:pPr>
      <w:r w:rsidRPr="00EC311E">
        <w:rPr>
          <w:lang w:val="fr-FR"/>
        </w:rPr>
        <w:t>–</w:t>
      </w:r>
      <w:r w:rsidRPr="00EC311E">
        <w:rPr>
          <w:lang w:val="fr-FR"/>
        </w:rPr>
        <w:tab/>
      </w:r>
      <w:r w:rsidRPr="00EC311E">
        <w:rPr>
          <w:i/>
          <w:lang w:val="fr-FR"/>
        </w:rPr>
        <w:t>pour la classe J3E</w:t>
      </w:r>
      <w:r w:rsidRPr="00EC311E">
        <w:rPr>
          <w:lang w:val="fr-FR"/>
        </w:rPr>
        <w:t xml:space="preserve">: </w:t>
      </w:r>
      <w:r w:rsidRPr="00EC311E">
        <w:rPr>
          <w:rFonts w:ascii="Tms Rmn" w:hAnsi="Tms Rmn"/>
          <w:lang w:val="fr-FR"/>
        </w:rPr>
        <w:t>2</w:t>
      </w:r>
      <w:r w:rsidRPr="00EC311E">
        <w:rPr>
          <w:rFonts w:ascii="Tms Rmn" w:hAnsi="Tms Rmn"/>
          <w:sz w:val="12"/>
          <w:lang w:val="fr-FR"/>
        </w:rPr>
        <w:t> </w:t>
      </w:r>
      <w:r w:rsidRPr="00EC311E">
        <w:rPr>
          <w:rFonts w:ascii="Tms Rmn" w:hAnsi="Tms Rmn"/>
          <w:lang w:val="fr-FR"/>
        </w:rPr>
        <w:t>800</w:t>
      </w:r>
      <w:r w:rsidRPr="00EC311E">
        <w:rPr>
          <w:lang w:val="fr-FR"/>
        </w:rPr>
        <w:t xml:space="preserve"> Hz, conformément au numéro </w:t>
      </w:r>
      <w:r w:rsidRPr="00EC311E">
        <w:rPr>
          <w:rStyle w:val="Artref"/>
          <w:b/>
          <w:color w:val="000000"/>
          <w:lang w:val="fr-FR"/>
        </w:rPr>
        <w:t>52.177</w:t>
      </w:r>
      <w:r w:rsidRPr="00EC311E">
        <w:rPr>
          <w:lang w:val="fr-FR"/>
        </w:rPr>
        <w:t>.</w:t>
      </w:r>
    </w:p>
    <w:p w14:paraId="51C5DB55" w14:textId="77777777" w:rsidR="0057266D" w:rsidRPr="00EC311E" w:rsidRDefault="00EC311E">
      <w:pPr>
        <w:pStyle w:val="enumlev1"/>
        <w:ind w:left="0" w:firstLine="0"/>
        <w:rPr>
          <w:lang w:val="fr-FR"/>
        </w:rPr>
      </w:pPr>
      <w:r w:rsidRPr="00EC311E">
        <w:rPr>
          <w:lang w:val="fr-FR"/>
        </w:rPr>
        <w:br w:type="page"/>
      </w:r>
      <w:r w:rsidR="0057266D" w:rsidRPr="00EC311E">
        <w:rPr>
          <w:lang w:val="fr-FR"/>
        </w:rPr>
        <w:lastRenderedPageBreak/>
        <w:t>3.1.3.2</w:t>
      </w:r>
      <w:r w:rsidR="0057266D" w:rsidRPr="00EC311E">
        <w:rPr>
          <w:lang w:val="fr-FR"/>
        </w:rPr>
        <w:tab/>
        <w:t>La largeur de bande notifiée pour les assignations ALRC est vérifiée pour ce qui est des valeurs figurant dans le Plan.</w:t>
      </w:r>
    </w:p>
    <w:p w14:paraId="2E7C2FD6" w14:textId="77777777" w:rsidR="0057266D" w:rsidRPr="00EC311E" w:rsidRDefault="0057266D" w:rsidP="00EC311E">
      <w:pPr>
        <w:rPr>
          <w:lang w:val="fr-FR"/>
        </w:rPr>
      </w:pPr>
      <w:r w:rsidRPr="00EC311E">
        <w:rPr>
          <w:lang w:val="fr-FR"/>
        </w:rPr>
        <w:t>3.1.4</w:t>
      </w:r>
      <w:r w:rsidRPr="00EC311E">
        <w:rPr>
          <w:lang w:val="fr-FR"/>
        </w:rPr>
        <w:tab/>
        <w:t>Conformément à la Résolution 3 (MM), le Comité a fait une analyse de compa</w:t>
      </w:r>
      <w:r w:rsidRPr="00EC311E">
        <w:rPr>
          <w:lang w:val="fr-FR"/>
        </w:rPr>
        <w:softHyphen/>
        <w:t>tibilité dans les bandes 1</w:t>
      </w:r>
      <w:r w:rsidRPr="00EC311E">
        <w:rPr>
          <w:rFonts w:ascii="Tms Rmn" w:hAnsi="Tms Rmn"/>
          <w:sz w:val="12"/>
          <w:lang w:val="fr-FR"/>
        </w:rPr>
        <w:t> </w:t>
      </w:r>
      <w:r w:rsidRPr="00EC311E">
        <w:rPr>
          <w:lang w:val="fr-FR"/>
        </w:rPr>
        <w:t>606,5-1</w:t>
      </w:r>
      <w:r w:rsidRPr="00EC311E">
        <w:rPr>
          <w:rFonts w:ascii="Tms Rmn" w:hAnsi="Tms Rmn"/>
          <w:sz w:val="12"/>
          <w:lang w:val="fr-FR"/>
        </w:rPr>
        <w:t> </w:t>
      </w:r>
      <w:r w:rsidRPr="00EC311E">
        <w:rPr>
          <w:lang w:val="fr-FR"/>
        </w:rPr>
        <w:t>625 kHz, 1</w:t>
      </w:r>
      <w:r w:rsidRPr="00EC311E">
        <w:rPr>
          <w:rFonts w:ascii="Tms Rmn" w:hAnsi="Tms Rmn"/>
          <w:sz w:val="12"/>
          <w:lang w:val="fr-FR"/>
        </w:rPr>
        <w:t> </w:t>
      </w:r>
      <w:r w:rsidRPr="00EC311E">
        <w:rPr>
          <w:lang w:val="fr-FR"/>
        </w:rPr>
        <w:t>635-1</w:t>
      </w:r>
      <w:r w:rsidRPr="00EC311E">
        <w:rPr>
          <w:rFonts w:ascii="Tms Rmn" w:hAnsi="Tms Rmn"/>
          <w:sz w:val="12"/>
          <w:lang w:val="fr-FR"/>
        </w:rPr>
        <w:t> </w:t>
      </w:r>
      <w:r w:rsidRPr="00EC311E">
        <w:rPr>
          <w:lang w:val="fr-FR"/>
        </w:rPr>
        <w:t>800 kHz et 2</w:t>
      </w:r>
      <w:r w:rsidRPr="00EC311E">
        <w:rPr>
          <w:rFonts w:ascii="Tms Rmn" w:hAnsi="Tms Rmn"/>
          <w:sz w:val="12"/>
          <w:lang w:val="fr-FR"/>
        </w:rPr>
        <w:t> </w:t>
      </w:r>
      <w:r w:rsidRPr="00EC311E">
        <w:rPr>
          <w:lang w:val="fr-FR"/>
        </w:rPr>
        <w:t>045-2</w:t>
      </w:r>
      <w:r w:rsidRPr="00EC311E">
        <w:rPr>
          <w:rFonts w:ascii="Tms Rmn" w:hAnsi="Tms Rmn"/>
          <w:sz w:val="12"/>
          <w:lang w:val="fr-FR"/>
        </w:rPr>
        <w:t> </w:t>
      </w:r>
      <w:r w:rsidRPr="00EC311E">
        <w:rPr>
          <w:lang w:val="fr-FR"/>
        </w:rPr>
        <w:t>160 kHz, en tenant compte des services non planifiés (voir les Lettres circulaires de l'ex-IFRB Nº 762 et 890 respectivement, du 20 octobre 1988 et du 19 décembre 1991). Il est tenu compte des résultats de l'analyse de compatibilité.</w:t>
      </w:r>
    </w:p>
    <w:p w14:paraId="6D43E40E" w14:textId="77777777" w:rsidR="0057266D" w:rsidRPr="00EC311E" w:rsidRDefault="0057266D">
      <w:pPr>
        <w:pStyle w:val="Heading2"/>
        <w:rPr>
          <w:lang w:val="fr-FR"/>
        </w:rPr>
      </w:pPr>
      <w:r w:rsidRPr="00EC311E">
        <w:rPr>
          <w:lang w:val="fr-FR"/>
        </w:rPr>
        <w:t>3.2</w:t>
      </w:r>
      <w:r w:rsidRPr="00EC311E">
        <w:rPr>
          <w:lang w:val="fr-FR"/>
        </w:rPr>
        <w:tab/>
        <w:t>Traitement des fiches de notification d'assignation de fréquence aux stations d'émission et de réception des services planifiés dans les bandes visées par les Plans d'allotissement de fréquence</w:t>
      </w:r>
    </w:p>
    <w:p w14:paraId="6090D995" w14:textId="77777777" w:rsidR="0057266D" w:rsidRPr="00EC311E" w:rsidRDefault="0057266D" w:rsidP="00EC311E">
      <w:pPr>
        <w:rPr>
          <w:lang w:val="fr-FR"/>
        </w:rPr>
      </w:pPr>
      <w:r w:rsidRPr="00EC311E">
        <w:rPr>
          <w:lang w:val="fr-FR"/>
        </w:rPr>
        <w:t>Le traitement des fiches de notification d'assignation de fréquence aux stations d'émission et de réception des services planifiés dans les bandes de fréquences visées par les Plans d'allotissement de fréquence (à savoir 456-457 kHz, 459-460 kHz, 1</w:t>
      </w:r>
      <w:r w:rsidRPr="00EC311E">
        <w:rPr>
          <w:rFonts w:ascii="Tms Rmn" w:hAnsi="Tms Rmn"/>
          <w:sz w:val="12"/>
          <w:lang w:val="fr-FR"/>
        </w:rPr>
        <w:t> </w:t>
      </w:r>
      <w:r w:rsidRPr="00EC311E">
        <w:rPr>
          <w:lang w:val="fr-FR"/>
        </w:rPr>
        <w:t>621-1</w:t>
      </w:r>
      <w:r w:rsidRPr="00EC311E">
        <w:rPr>
          <w:rFonts w:ascii="Tms Rmn" w:hAnsi="Tms Rmn"/>
          <w:sz w:val="12"/>
          <w:lang w:val="fr-FR"/>
        </w:rPr>
        <w:t> </w:t>
      </w:r>
      <w:r w:rsidRPr="00EC311E">
        <w:rPr>
          <w:lang w:val="fr-FR"/>
        </w:rPr>
        <w:t>625 kHz et 2</w:t>
      </w:r>
      <w:r w:rsidRPr="00EC311E">
        <w:rPr>
          <w:rFonts w:ascii="Tms Rmn" w:hAnsi="Tms Rmn"/>
          <w:sz w:val="12"/>
          <w:lang w:val="fr-FR"/>
        </w:rPr>
        <w:t> </w:t>
      </w:r>
      <w:r w:rsidRPr="00EC311E">
        <w:rPr>
          <w:lang w:val="fr-FR"/>
        </w:rPr>
        <w:t>156</w:t>
      </w:r>
      <w:r w:rsidR="00EC311E" w:rsidRPr="00EC311E">
        <w:rPr>
          <w:lang w:val="fr-FR"/>
        </w:rPr>
        <w:t>-</w:t>
      </w:r>
      <w:r w:rsidRPr="00EC311E">
        <w:rPr>
          <w:lang w:val="fr-FR"/>
        </w:rPr>
        <w:t>2</w:t>
      </w:r>
      <w:r w:rsidRPr="00EC311E">
        <w:rPr>
          <w:rFonts w:ascii="Tms Rmn" w:hAnsi="Tms Rmn"/>
          <w:sz w:val="12"/>
          <w:lang w:val="fr-FR"/>
        </w:rPr>
        <w:t> </w:t>
      </w:r>
      <w:r w:rsidRPr="00EC311E">
        <w:rPr>
          <w:lang w:val="fr-FR"/>
        </w:rPr>
        <w:t>160 kHz) notifiées par les administrations considérées comme étant parties à l'Accord, est subordonné à l'examen de conformité avec le Plan d'allotissement, tel qu'il est reproduit dans l'Annexe</w:t>
      </w:r>
      <w:r w:rsidR="00EC311E" w:rsidRPr="00EC311E">
        <w:rPr>
          <w:lang w:val="fr-FR"/>
        </w:rPr>
        <w:t> </w:t>
      </w:r>
      <w:r w:rsidRPr="00EC311E">
        <w:rPr>
          <w:lang w:val="fr-FR"/>
        </w:rPr>
        <w:t>1 de la Résolution 5 (MM) compte tenu des critères suivants:</w:t>
      </w:r>
    </w:p>
    <w:p w14:paraId="2FF80392" w14:textId="77777777" w:rsidR="0057266D" w:rsidRPr="00EC311E" w:rsidRDefault="0057266D" w:rsidP="00EC311E">
      <w:pPr>
        <w:pStyle w:val="enumlev1"/>
        <w:rPr>
          <w:lang w:val="fr-FR"/>
        </w:rPr>
      </w:pPr>
      <w:r w:rsidRPr="00EC311E">
        <w:rPr>
          <w:lang w:val="fr-FR"/>
        </w:rPr>
        <w:t>–</w:t>
      </w:r>
      <w:r w:rsidRPr="00EC311E">
        <w:rPr>
          <w:lang w:val="fr-FR"/>
        </w:rPr>
        <w:tab/>
        <w:t>les paires de fréquences assignées doivent coïncider avec celles des Plans d'allotissement figurant dans les Annexes de la Résolution</w:t>
      </w:r>
      <w:r w:rsidR="00EC311E" w:rsidRPr="00EC311E">
        <w:rPr>
          <w:lang w:val="fr-FR"/>
        </w:rPr>
        <w:t> </w:t>
      </w:r>
      <w:r w:rsidRPr="00EC311E">
        <w:rPr>
          <w:lang w:val="fr-FR"/>
        </w:rPr>
        <w:t>5 (MM);</w:t>
      </w:r>
    </w:p>
    <w:p w14:paraId="58ADB4BB" w14:textId="77777777" w:rsidR="0057266D" w:rsidRPr="00EC311E" w:rsidRDefault="0057266D">
      <w:pPr>
        <w:pStyle w:val="enumlev1"/>
        <w:rPr>
          <w:lang w:val="fr-FR"/>
        </w:rPr>
      </w:pPr>
      <w:r w:rsidRPr="00EC311E">
        <w:rPr>
          <w:lang w:val="fr-FR"/>
        </w:rPr>
        <w:t>–</w:t>
      </w:r>
      <w:r w:rsidRPr="00EC311E">
        <w:rPr>
          <w:lang w:val="fr-FR"/>
        </w:rPr>
        <w:tab/>
        <w:t>les coordonnées géographiques de la station d'émission/de réception doivent se trouver dans le pays considéré;</w:t>
      </w:r>
    </w:p>
    <w:p w14:paraId="1AFB48B8" w14:textId="77777777" w:rsidR="0057266D" w:rsidRPr="00EC311E" w:rsidRDefault="0057266D">
      <w:pPr>
        <w:pStyle w:val="enumlev1"/>
        <w:rPr>
          <w:lang w:val="fr-FR"/>
        </w:rPr>
      </w:pPr>
      <w:r w:rsidRPr="00EC311E">
        <w:rPr>
          <w:lang w:val="fr-FR"/>
        </w:rPr>
        <w:t>–</w:t>
      </w:r>
      <w:r w:rsidRPr="00EC311E">
        <w:rPr>
          <w:lang w:val="fr-FR"/>
        </w:rPr>
        <w:tab/>
        <w:t>la portée de service notifiée ne doit pas dépasser les limites de 500 km pour la bande 435-526,5 kHz et de 400 km pour la bande 1</w:t>
      </w:r>
      <w:r w:rsidRPr="00EC311E">
        <w:rPr>
          <w:rFonts w:ascii="Tms Rmn" w:hAnsi="Tms Rmn"/>
          <w:sz w:val="12"/>
          <w:lang w:val="fr-FR"/>
        </w:rPr>
        <w:t> </w:t>
      </w:r>
      <w:r w:rsidRPr="00EC311E">
        <w:rPr>
          <w:lang w:val="fr-FR"/>
        </w:rPr>
        <w:t>606,5-2</w:t>
      </w:r>
      <w:r w:rsidRPr="00EC311E">
        <w:rPr>
          <w:rFonts w:ascii="Tms Rmn" w:hAnsi="Tms Rmn"/>
          <w:sz w:val="12"/>
          <w:lang w:val="fr-FR"/>
        </w:rPr>
        <w:t> </w:t>
      </w:r>
      <w:r w:rsidRPr="00EC311E">
        <w:rPr>
          <w:lang w:val="fr-FR"/>
        </w:rPr>
        <w:t>160 kHz (ces limites ont été utilisées lors de l'établissement des Plans d'assignations de fréquence);</w:t>
      </w:r>
    </w:p>
    <w:p w14:paraId="35218C11" w14:textId="77777777" w:rsidR="0057266D" w:rsidRPr="00EC311E" w:rsidRDefault="0057266D" w:rsidP="00EC311E">
      <w:pPr>
        <w:pStyle w:val="enumlev1"/>
        <w:rPr>
          <w:lang w:val="fr-FR"/>
        </w:rPr>
      </w:pPr>
      <w:r w:rsidRPr="00EC311E">
        <w:rPr>
          <w:lang w:val="fr-FR"/>
        </w:rPr>
        <w:t>–</w:t>
      </w:r>
      <w:r w:rsidRPr="00EC311E">
        <w:rPr>
          <w:lang w:val="fr-FR"/>
        </w:rPr>
        <w:tab/>
        <w:t>la nature du service notifié doit être</w:t>
      </w:r>
      <w:r w:rsidR="00EC311E" w:rsidRPr="00EC311E">
        <w:rPr>
          <w:lang w:val="fr-FR"/>
        </w:rPr>
        <w:t> </w:t>
      </w:r>
      <w:r w:rsidRPr="00EC311E">
        <w:rPr>
          <w:lang w:val="fr-FR"/>
        </w:rPr>
        <w:t>CP;</w:t>
      </w:r>
    </w:p>
    <w:p w14:paraId="63073E1E" w14:textId="77777777" w:rsidR="0057266D" w:rsidRPr="00EC311E" w:rsidRDefault="0057266D" w:rsidP="00EC311E">
      <w:pPr>
        <w:pStyle w:val="enumlev1"/>
        <w:rPr>
          <w:lang w:val="fr-FR"/>
        </w:rPr>
      </w:pPr>
      <w:r w:rsidRPr="00EC311E">
        <w:rPr>
          <w:lang w:val="fr-FR"/>
        </w:rPr>
        <w:t>–</w:t>
      </w:r>
      <w:r w:rsidRPr="00EC311E">
        <w:rPr>
          <w:lang w:val="fr-FR"/>
        </w:rPr>
        <w:tab/>
        <w:t>la classe d'émission notifiée doit être F1B ou J2B, et la largeur de bande notifiée ne doit pas dépasser 304</w:t>
      </w:r>
      <w:r w:rsidR="00EC311E" w:rsidRPr="00EC311E">
        <w:rPr>
          <w:lang w:val="fr-FR"/>
        </w:rPr>
        <w:t> </w:t>
      </w:r>
      <w:r w:rsidRPr="00EC311E">
        <w:rPr>
          <w:lang w:val="fr-FR"/>
        </w:rPr>
        <w:t>Hz.</w:t>
      </w:r>
    </w:p>
    <w:p w14:paraId="27E6EBDA" w14:textId="77777777" w:rsidR="0057266D" w:rsidRPr="00EC311E" w:rsidRDefault="0057266D">
      <w:pPr>
        <w:pStyle w:val="Heading2"/>
        <w:rPr>
          <w:lang w:val="fr-FR"/>
        </w:rPr>
      </w:pPr>
      <w:r w:rsidRPr="00EC311E">
        <w:rPr>
          <w:lang w:val="fr-FR"/>
        </w:rPr>
        <w:t>3.3</w:t>
      </w:r>
      <w:r w:rsidRPr="00EC311E">
        <w:rPr>
          <w:lang w:val="fr-FR"/>
        </w:rPr>
        <w:tab/>
        <w:t>Traitement des fiches de notification d'assignation de fréquence aux stations d'émission ou de réception dans les services non planifiés</w:t>
      </w:r>
    </w:p>
    <w:p w14:paraId="60F2D3B3" w14:textId="77777777" w:rsidR="0057266D" w:rsidRPr="00EC311E" w:rsidRDefault="0057266D">
      <w:pPr>
        <w:rPr>
          <w:lang w:val="fr-FR"/>
        </w:rPr>
      </w:pPr>
      <w:r w:rsidRPr="00EC311E">
        <w:rPr>
          <w:lang w:val="fr-FR"/>
        </w:rPr>
        <w:t>Le traitement des fiches de notification d'assignation de fréquence aux stations d'émission et de réception dans les services non planifiés, par les administrations considérées comme étant parties à l'Accord, s'effectue selon la procédure énoncée dans l'Article 6 de l'Accord. Lors de l'analyse des résultats de l'examen technique concernant les fiches de notification des adminis</w:t>
      </w:r>
      <w:r w:rsidR="00EC311E" w:rsidRPr="00EC311E">
        <w:rPr>
          <w:lang w:val="fr-FR"/>
        </w:rPr>
        <w:softHyphen/>
      </w:r>
      <w:r w:rsidRPr="00EC311E">
        <w:rPr>
          <w:lang w:val="fr-FR"/>
        </w:rPr>
        <w:t>trations considérées comme étant parties à l'Accord, il n'est tenu compte que des résultats diurnes (l'onde ionosphérique n'est pas prise en considération).</w:t>
      </w:r>
    </w:p>
    <w:p w14:paraId="5EB05B22" w14:textId="77777777" w:rsidR="0057266D" w:rsidRPr="00EC311E" w:rsidRDefault="0057266D" w:rsidP="00EC311E">
      <w:pPr>
        <w:spacing w:before="0"/>
        <w:rPr>
          <w:lang w:val="fr-FR"/>
        </w:rPr>
      </w:pPr>
    </w:p>
    <w:p w14:paraId="2EA510C7" w14:textId="77777777" w:rsidR="0057266D" w:rsidRPr="00EC311E" w:rsidRDefault="0057266D">
      <w:pPr>
        <w:jc w:val="center"/>
        <w:rPr>
          <w:lang w:val="fr-FR"/>
        </w:rPr>
      </w:pPr>
      <w:r w:rsidRPr="00EC311E">
        <w:rPr>
          <w:lang w:val="fr-FR"/>
        </w:rPr>
        <w:t>____________________</w:t>
      </w:r>
    </w:p>
    <w:p w14:paraId="0D816B94" w14:textId="77777777" w:rsidR="0057266D" w:rsidRPr="00EC311E" w:rsidRDefault="0057266D" w:rsidP="00EC311E">
      <w:pPr>
        <w:spacing w:before="0"/>
        <w:rPr>
          <w:lang w:val="fr-FR"/>
        </w:rPr>
      </w:pPr>
    </w:p>
    <w:p w14:paraId="3908B29B" w14:textId="77777777" w:rsidR="0057266D" w:rsidRPr="00EC311E" w:rsidRDefault="0057266D">
      <w:pPr>
        <w:rPr>
          <w:lang w:val="fr-FR"/>
        </w:rPr>
        <w:sectPr w:rsidR="0057266D" w:rsidRPr="00EC311E">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DB8B3BC" w14:textId="77777777" w:rsidR="0057266D" w:rsidRPr="00EC311E" w:rsidRDefault="0057266D">
      <w:pPr>
        <w:rPr>
          <w:lang w:val="fr-FR"/>
        </w:rPr>
      </w:pPr>
    </w:p>
    <w:sectPr w:rsidR="0057266D" w:rsidRPr="00EC311E" w:rsidSect="00EC311E">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59231" w14:textId="77777777" w:rsidR="00002958" w:rsidRDefault="00002958">
      <w:r>
        <w:separator/>
      </w:r>
    </w:p>
  </w:endnote>
  <w:endnote w:type="continuationSeparator" w:id="0">
    <w:p w14:paraId="34429C36" w14:textId="77777777" w:rsidR="00002958" w:rsidRDefault="0000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3FB74" w14:textId="77777777" w:rsidR="00002958" w:rsidRDefault="00002958">
      <w:r>
        <w:rPr>
          <w:b/>
        </w:rPr>
        <w:t>_______________</w:t>
      </w:r>
    </w:p>
  </w:footnote>
  <w:footnote w:type="continuationSeparator" w:id="0">
    <w:p w14:paraId="76391628" w14:textId="77777777" w:rsidR="00002958" w:rsidRDefault="00002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266D" w14:paraId="7E65378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8069705" w14:textId="7F564EA0" w:rsidR="0057266D" w:rsidRDefault="0057266D">
          <w:pPr>
            <w:pStyle w:val="HeaderRegProc"/>
          </w:pPr>
          <w:r>
            <w:t xml:space="preserve">Partie </w:t>
          </w:r>
          <w:r w:rsidR="00BC04AD">
            <w:fldChar w:fldCharType="begin"/>
          </w:r>
          <w:r w:rsidR="00BC04AD">
            <w:instrText>styleref href</w:instrText>
          </w:r>
          <w:r w:rsidR="00BC04AD">
            <w:fldChar w:fldCharType="separate"/>
          </w:r>
          <w:r w:rsidR="00661F8C">
            <w:rPr>
              <w:noProof/>
            </w:rPr>
            <w:t>A8</w:t>
          </w:r>
          <w:r w:rsidR="00BC04A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DC7076" w14:textId="56B312A5" w:rsidR="0057266D" w:rsidRDefault="00BC04AD">
          <w:pPr>
            <w:pStyle w:val="HeaderRegProc"/>
            <w:rPr>
              <w:lang w:val="fr-FR"/>
            </w:rPr>
          </w:pPr>
          <w:r>
            <w:fldChar w:fldCharType="begin"/>
          </w:r>
          <w:r>
            <w:instrText>styleref href2</w:instrText>
          </w:r>
          <w:r>
            <w:fldChar w:fldCharType="separate"/>
          </w:r>
          <w:r w:rsidR="00661F8C">
            <w:rPr>
              <w:noProof/>
            </w:rPr>
            <w:t>GE85-</w:t>
          </w:r>
          <w:r>
            <w:rPr>
              <w:noProof/>
            </w:rPr>
            <w:fldChar w:fldCharType="end"/>
          </w:r>
          <w:r w:rsidR="0057266D">
            <w:t>R1</w:t>
          </w:r>
        </w:p>
      </w:tc>
      <w:tc>
        <w:tcPr>
          <w:tcW w:w="1701" w:type="dxa"/>
          <w:tcBorders>
            <w:top w:val="single" w:sz="6" w:space="0" w:color="auto"/>
            <w:left w:val="single" w:sz="6" w:space="0" w:color="auto"/>
            <w:bottom w:val="single" w:sz="6" w:space="0" w:color="auto"/>
            <w:right w:val="single" w:sz="6" w:space="0" w:color="auto"/>
          </w:tcBorders>
        </w:tcPr>
        <w:p w14:paraId="66D329F1" w14:textId="77777777" w:rsidR="0057266D" w:rsidRDefault="0057266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6090F">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FD02E7" w14:textId="01F88A86" w:rsidR="0057266D" w:rsidRDefault="0057266D">
          <w:pPr>
            <w:pStyle w:val="HeaderRegProc"/>
            <w:rPr>
              <w:lang w:val="fr-CH"/>
            </w:rPr>
          </w:pPr>
          <w:r>
            <w:rPr>
              <w:lang w:val="fr-CH"/>
            </w:rPr>
            <w:t>rév.</w:t>
          </w:r>
          <w:r w:rsidR="00661F8C">
            <w:fldChar w:fldCharType="begin"/>
          </w:r>
          <w:r w:rsidR="00661F8C">
            <w:instrText xml:space="preserve"> DOCPROPERTY "Header10" \* MERGEFORMAT </w:instrText>
          </w:r>
          <w:r w:rsidR="00661F8C">
            <w:fldChar w:fldCharType="separate"/>
          </w:r>
          <w:r w:rsidR="00661F8C" w:rsidRPr="00661F8C">
            <w:rPr>
              <w:lang w:val="fr-CH"/>
            </w:rPr>
            <w:t>-</w:t>
          </w:r>
          <w:r w:rsidR="00661F8C">
            <w:rPr>
              <w:lang w:val="fr-CH"/>
            </w:rPr>
            <w:fldChar w:fldCharType="end"/>
          </w:r>
        </w:p>
      </w:tc>
    </w:tr>
  </w:tbl>
  <w:p w14:paraId="0C100732" w14:textId="77777777" w:rsidR="0057266D" w:rsidRDefault="0057266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66D" w14:paraId="2FFBD03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E3C3DF" w14:textId="319CAB0B" w:rsidR="0057266D" w:rsidRDefault="0057266D">
          <w:pPr>
            <w:pStyle w:val="HeaderRegProc"/>
          </w:pPr>
          <w:r>
            <w:t xml:space="preserve">Partie </w:t>
          </w:r>
          <w:r w:rsidR="00BC04AD">
            <w:fldChar w:fldCharType="begin"/>
          </w:r>
          <w:r w:rsidR="00BC04AD">
            <w:instrText>styleref href</w:instrText>
          </w:r>
          <w:r w:rsidR="00BC04AD">
            <w:fldChar w:fldCharType="separate"/>
          </w:r>
          <w:r w:rsidR="00661F8C">
            <w:rPr>
              <w:noProof/>
            </w:rPr>
            <w:t>A8</w:t>
          </w:r>
          <w:r w:rsidR="00BC04A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DE2D62" w14:textId="467E6C97" w:rsidR="0057266D" w:rsidRDefault="00BC04AD">
          <w:pPr>
            <w:pStyle w:val="HeaderRegProc"/>
            <w:rPr>
              <w:lang w:val="fr-FR"/>
            </w:rPr>
          </w:pPr>
          <w:r>
            <w:fldChar w:fldCharType="begin"/>
          </w:r>
          <w:r>
            <w:instrText>styleref href2</w:instrText>
          </w:r>
          <w:r>
            <w:fldChar w:fldCharType="separate"/>
          </w:r>
          <w:r w:rsidR="00661F8C">
            <w:rPr>
              <w:noProof/>
            </w:rPr>
            <w:t>GE85-</w:t>
          </w:r>
          <w:r>
            <w:rPr>
              <w:noProof/>
            </w:rPr>
            <w:fldChar w:fldCharType="end"/>
          </w:r>
          <w:r w:rsidR="0057266D">
            <w:t>R1</w:t>
          </w:r>
        </w:p>
      </w:tc>
      <w:tc>
        <w:tcPr>
          <w:tcW w:w="1701" w:type="dxa"/>
          <w:tcBorders>
            <w:top w:val="single" w:sz="6" w:space="0" w:color="auto"/>
            <w:left w:val="single" w:sz="6" w:space="0" w:color="auto"/>
            <w:bottom w:val="single" w:sz="6" w:space="0" w:color="auto"/>
            <w:right w:val="single" w:sz="6" w:space="0" w:color="auto"/>
          </w:tcBorders>
        </w:tcPr>
        <w:p w14:paraId="0F7FEDAF" w14:textId="77777777" w:rsidR="0057266D" w:rsidRDefault="0057266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6090F">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CE0753" w14:textId="4FBAC805" w:rsidR="0057266D" w:rsidRDefault="0057266D">
          <w:pPr>
            <w:pStyle w:val="HeaderRegProc"/>
            <w:rPr>
              <w:lang w:val="fr-CH"/>
            </w:rPr>
          </w:pPr>
          <w:r>
            <w:rPr>
              <w:lang w:val="fr-CH"/>
            </w:rPr>
            <w:t>rév.</w:t>
          </w:r>
          <w:r w:rsidR="00661F8C">
            <w:fldChar w:fldCharType="begin"/>
          </w:r>
          <w:r w:rsidR="00661F8C">
            <w:instrText xml:space="preserve"> DOCPROPERTY "Header10" \* MERGEFORMAT </w:instrText>
          </w:r>
          <w:r w:rsidR="00661F8C">
            <w:fldChar w:fldCharType="separate"/>
          </w:r>
          <w:r w:rsidR="00661F8C" w:rsidRPr="00661F8C">
            <w:rPr>
              <w:lang w:val="fr-CH"/>
            </w:rPr>
            <w:t>-</w:t>
          </w:r>
          <w:r w:rsidR="00661F8C">
            <w:rPr>
              <w:lang w:val="fr-CH"/>
            </w:rPr>
            <w:fldChar w:fldCharType="end"/>
          </w:r>
        </w:p>
      </w:tc>
    </w:tr>
  </w:tbl>
  <w:p w14:paraId="6A6EEE38" w14:textId="77777777" w:rsidR="0057266D" w:rsidRDefault="005726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4C796" w14:textId="77777777" w:rsidR="0057266D" w:rsidRDefault="005726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266D"/>
    <w:rsid w:val="00002958"/>
    <w:rsid w:val="0021367A"/>
    <w:rsid w:val="002412D3"/>
    <w:rsid w:val="0057266D"/>
    <w:rsid w:val="00661F8C"/>
    <w:rsid w:val="0067678B"/>
    <w:rsid w:val="00BC04AD"/>
    <w:rsid w:val="00D34F20"/>
    <w:rsid w:val="00E71561"/>
    <w:rsid w:val="00EC311E"/>
    <w:rsid w:val="00F609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67CD29"/>
  <w15:docId w15:val="{84BC92F1-AC88-45D6-B51C-B3BA67CEC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11</TotalTime>
  <Pages>5</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A8 GE85-R1 du RR</dc:subject>
  <dc:creator>Composition des Publications</dc:creator>
  <cp:keywords>FOLIOS:  1  -  4</cp:keywords>
  <dc:description>Edition 2009:  10.03.2009/DD (dict. ok)</dc:description>
  <cp:lastModifiedBy>Al-Yammouni, Hala</cp:lastModifiedBy>
  <cp:revision>10</cp:revision>
  <cp:lastPrinted>2021-05-17T08:06:00Z</cp:lastPrinted>
  <dcterms:created xsi:type="dcterms:W3CDTF">2012-08-08T15:59:00Z</dcterms:created>
  <dcterms:modified xsi:type="dcterms:W3CDTF">2021-05-17T08:07:00Z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