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804AC" w14:textId="77777777" w:rsidR="00A23985" w:rsidRPr="0072304B" w:rsidRDefault="00A23985" w:rsidP="00B917BF">
      <w:pPr>
        <w:pStyle w:val="Heading1"/>
        <w:spacing w:before="300"/>
        <w:jc w:val="center"/>
        <w:rPr>
          <w:lang w:val="fr-FR"/>
        </w:rPr>
      </w:pPr>
      <w:r w:rsidRPr="0072304B">
        <w:rPr>
          <w:lang w:val="fr-FR"/>
        </w:rPr>
        <w:t xml:space="preserve">PARTIE  </w:t>
      </w:r>
      <w:r w:rsidRPr="0072304B">
        <w:rPr>
          <w:rStyle w:val="href"/>
          <w:lang w:val="fr-FR"/>
        </w:rPr>
        <w:t>A3</w:t>
      </w:r>
    </w:p>
    <w:p w14:paraId="36381B25" w14:textId="77777777" w:rsidR="00A23985" w:rsidRPr="0072304B" w:rsidRDefault="00A23985">
      <w:pPr>
        <w:pStyle w:val="Heading1"/>
        <w:ind w:left="0" w:firstLine="0"/>
        <w:jc w:val="center"/>
        <w:rPr>
          <w:lang w:val="fr-FR"/>
        </w:rPr>
      </w:pPr>
      <w:r w:rsidRPr="0072304B">
        <w:rPr>
          <w:lang w:val="fr-FR"/>
        </w:rPr>
        <w:t>Règles relatives à l'Accord régional relatif à l'utilisation par le service de</w:t>
      </w:r>
      <w:r w:rsidRPr="0072304B">
        <w:rPr>
          <w:lang w:val="fr-FR"/>
        </w:rPr>
        <w:br/>
        <w:t>radiodiffusion de fréquences dans les bandes des ondes hectométriques dans les Régions 1 et 3 et dans les bandes des ondes kilométriques</w:t>
      </w:r>
      <w:r w:rsidRPr="0072304B">
        <w:rPr>
          <w:lang w:val="fr-FR"/>
        </w:rPr>
        <w:br/>
        <w:t>dans la Région 1 (Genève, 1975) (</w:t>
      </w:r>
      <w:r w:rsidRPr="0072304B">
        <w:rPr>
          <w:rStyle w:val="href2"/>
          <w:lang w:val="fr-FR"/>
        </w:rPr>
        <w:t>GE75</w:t>
      </w:r>
      <w:r w:rsidRPr="0072304B">
        <w:rPr>
          <w:lang w:val="fr-FR"/>
        </w:rPr>
        <w:t>)</w:t>
      </w:r>
    </w:p>
    <w:p w14:paraId="21761A35" w14:textId="77777777" w:rsidR="00A23985" w:rsidRPr="0072304B" w:rsidRDefault="00A23985" w:rsidP="0072304B">
      <w:pPr>
        <w:spacing w:before="0"/>
        <w:rPr>
          <w:lang w:val="fr-FR"/>
        </w:rPr>
      </w:pPr>
    </w:p>
    <w:p w14:paraId="4AD82CD5" w14:textId="77777777" w:rsidR="00A23985" w:rsidRPr="0072304B" w:rsidRDefault="00A23985">
      <w:pPr>
        <w:pStyle w:val="Heading8"/>
        <w:rPr>
          <w:lang w:val="fr-FR"/>
        </w:rPr>
      </w:pPr>
      <w:r w:rsidRPr="0072304B">
        <w:rPr>
          <w:lang w:val="fr-FR"/>
        </w:rPr>
        <w:t>Art. 4</w:t>
      </w:r>
    </w:p>
    <w:p w14:paraId="623CCF74" w14:textId="77777777" w:rsidR="00A23985" w:rsidRPr="0072304B" w:rsidRDefault="00A23985" w:rsidP="00B917BF">
      <w:pPr>
        <w:pStyle w:val="Heading2"/>
        <w:jc w:val="center"/>
        <w:rPr>
          <w:u w:val="single"/>
          <w:lang w:val="fr-FR"/>
        </w:rPr>
      </w:pPr>
      <w:r w:rsidRPr="0072304B">
        <w:rPr>
          <w:lang w:val="fr-FR"/>
        </w:rPr>
        <w:t>Procédure de modification du Plan</w:t>
      </w:r>
    </w:p>
    <w:p w14:paraId="51EF7A71" w14:textId="77777777" w:rsidR="00A23985" w:rsidRPr="0072304B" w:rsidRDefault="00A23985">
      <w:pPr>
        <w:pStyle w:val="Heading9"/>
        <w:rPr>
          <w:lang w:val="fr-FR"/>
        </w:rPr>
      </w:pPr>
      <w:r w:rsidRPr="0072304B">
        <w:rPr>
          <w:lang w:val="fr-FR"/>
        </w:rPr>
        <w:t>3.2.12</w:t>
      </w:r>
    </w:p>
    <w:p w14:paraId="6B393111" w14:textId="77777777" w:rsidR="00A23985" w:rsidRPr="0072304B" w:rsidRDefault="00A23985">
      <w:pPr>
        <w:rPr>
          <w:lang w:val="fr-FR"/>
        </w:rPr>
      </w:pPr>
      <w:r w:rsidRPr="0072304B">
        <w:rPr>
          <w:lang w:val="fr-FR"/>
        </w:rPr>
        <w:t>Si l'intervalle entre la publication dans la Partie A et la publication dans la Partie B est trop long, il se peut que d'autres modifications soient apportées au Plan entre temps, mais elles ne pourront pas être prises en considération au moment de l'examen.</w:t>
      </w:r>
    </w:p>
    <w:p w14:paraId="0C1C4839" w14:textId="77777777" w:rsidR="00A23985" w:rsidRPr="0072304B" w:rsidRDefault="00A23985">
      <w:pPr>
        <w:rPr>
          <w:lang w:val="fr-FR"/>
        </w:rPr>
      </w:pPr>
      <w:r w:rsidRPr="0072304B">
        <w:rPr>
          <w:lang w:val="fr-FR"/>
        </w:rPr>
        <w:t>Lorsqu'une administration, conformément aux dispositions du § 3.2.12 de l'Accord, com</w:t>
      </w:r>
      <w:r w:rsidRPr="0072304B">
        <w:rPr>
          <w:lang w:val="fr-FR"/>
        </w:rPr>
        <w:softHyphen/>
        <w:t>munique au Bureau des radiocommunications les caractéristiques définitives de l'assignation, un an après sa publication dans la Partie A d'une Section spéciale GE75, la modification doit suivre toute la procédure de l'Article 4. La date à laquelle le Bureau reçoit les caractéristiques sera considérée comme la nouvelle date de réception du projet de modification. Un rappel est envoyé à l'administration notificatrice deux mois avant la fin du délai d'un an.</w:t>
      </w:r>
    </w:p>
    <w:p w14:paraId="340B6DAD" w14:textId="77777777" w:rsidR="00A23985" w:rsidRPr="0072304B" w:rsidRDefault="00A23985">
      <w:pPr>
        <w:pStyle w:val="Heading9"/>
        <w:rPr>
          <w:lang w:val="fr-FR"/>
        </w:rPr>
      </w:pPr>
      <w:r w:rsidRPr="0072304B">
        <w:rPr>
          <w:lang w:val="fr-FR"/>
        </w:rPr>
        <w:t>3.3.1</w:t>
      </w:r>
    </w:p>
    <w:p w14:paraId="357B5DD0" w14:textId="77777777" w:rsidR="00A23985" w:rsidRPr="0072304B" w:rsidRDefault="00A23985">
      <w:pPr>
        <w:rPr>
          <w:lang w:val="fr-FR"/>
        </w:rPr>
      </w:pPr>
      <w:r w:rsidRPr="0072304B">
        <w:rPr>
          <w:lang w:val="fr-FR"/>
        </w:rPr>
        <w:t>En application des dispositions du § 3.3 de l'Article 4, il n'est pas nécessaire d'obtenir l'accord d'un autre pays lorsque la modification des caractéristiques d'une assignation n'augmente pas les risques de brouillage en un point quelconque à la frontière du pays en question, dans les limites de la distance de coordination.</w:t>
      </w:r>
    </w:p>
    <w:p w14:paraId="58CAD7D7" w14:textId="77777777" w:rsidR="001A19B3" w:rsidRDefault="001A19B3">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8C746CB" w14:textId="77777777" w:rsidR="00A23985" w:rsidRPr="0072304B" w:rsidRDefault="00A23985">
      <w:pPr>
        <w:pStyle w:val="Heading8"/>
        <w:spacing w:before="600"/>
        <w:rPr>
          <w:lang w:val="fr-FR"/>
        </w:rPr>
      </w:pPr>
      <w:r w:rsidRPr="0072304B">
        <w:rPr>
          <w:lang w:val="fr-FR"/>
        </w:rPr>
        <w:lastRenderedPageBreak/>
        <w:t>An. 1</w:t>
      </w:r>
    </w:p>
    <w:p w14:paraId="0FF3C4F9" w14:textId="77777777" w:rsidR="00A23985" w:rsidRPr="0072304B" w:rsidRDefault="00A23985">
      <w:pPr>
        <w:pStyle w:val="Heading2"/>
        <w:spacing w:before="240"/>
        <w:ind w:left="0" w:firstLine="0"/>
        <w:jc w:val="center"/>
        <w:rPr>
          <w:lang w:val="fr-FR"/>
        </w:rPr>
      </w:pPr>
      <w:r w:rsidRPr="0072304B">
        <w:rPr>
          <w:lang w:val="fr-FR"/>
        </w:rPr>
        <w:t>Plan d'assignation de fréquences aux stations de radiodiffusion dans les bandes</w:t>
      </w:r>
      <w:r w:rsidRPr="0072304B">
        <w:rPr>
          <w:lang w:val="fr-FR"/>
        </w:rPr>
        <w:br/>
        <w:t>des ondes hectométriques (à l'exception des stations utilisant des canaux</w:t>
      </w:r>
      <w:r w:rsidRPr="0072304B">
        <w:rPr>
          <w:lang w:val="fr-FR"/>
        </w:rPr>
        <w:br/>
        <w:t>pour émetteurs de faible puissance) dans les Régions 1 et 3 et</w:t>
      </w:r>
      <w:r w:rsidRPr="0072304B">
        <w:rPr>
          <w:lang w:val="fr-FR"/>
        </w:rPr>
        <w:br/>
        <w:t>dans les bandes des ondes kilométriques dans la Région 1</w:t>
      </w:r>
    </w:p>
    <w:p w14:paraId="15D8353D" w14:textId="77777777" w:rsidR="00A23985" w:rsidRPr="0072304B" w:rsidRDefault="00A23985">
      <w:pPr>
        <w:pStyle w:val="Headingb"/>
        <w:rPr>
          <w:lang w:val="fr-FR"/>
        </w:rPr>
      </w:pPr>
      <w:r w:rsidRPr="0072304B">
        <w:rPr>
          <w:lang w:val="fr-FR"/>
        </w:rPr>
        <w:t>Explication des symboles 24 et 33 utilisés dans la colonne «Observations»</w:t>
      </w:r>
    </w:p>
    <w:p w14:paraId="227F2227" w14:textId="77777777" w:rsidR="00D57601" w:rsidRPr="0072304B" w:rsidRDefault="00A23985" w:rsidP="001A19B3">
      <w:pPr>
        <w:spacing w:before="136"/>
        <w:rPr>
          <w:lang w:val="fr-FR"/>
        </w:rPr>
      </w:pPr>
      <w:r w:rsidRPr="0072304B">
        <w:rPr>
          <w:lang w:val="fr-FR"/>
        </w:rPr>
        <w:t>Le Comité a constaté que les symboles 24 et 33 ne s'appliquent qu'aux assignations figurant dans le Plan mais il a conclu que ces symboles définissent les relations entre Israël, d'une part,</w:t>
      </w:r>
      <w:r w:rsidR="001A19B3">
        <w:rPr>
          <w:lang w:val="fr-FR"/>
        </w:rPr>
        <w:t xml:space="preserve"> </w:t>
      </w:r>
      <w:r w:rsidR="00D57601" w:rsidRPr="0072304B">
        <w:rPr>
          <w:lang w:val="fr-FR"/>
        </w:rPr>
        <w:t>et les pays mentionnés dans le symbole 33, d'autre part; ils ne devraient donc pas s'appliquer uniquement aux modifications des assignations de ces pays figurant dans le Plan mais aussi à toutes nouvelles assignations susceptibles de faire l'objet de la procédure de modification.</w:t>
      </w:r>
    </w:p>
    <w:p w14:paraId="024E0677" w14:textId="77777777" w:rsidR="00D57601" w:rsidRPr="0072304B" w:rsidRDefault="00D57601" w:rsidP="00D57601">
      <w:pPr>
        <w:rPr>
          <w:lang w:val="fr-FR"/>
        </w:rPr>
      </w:pPr>
      <w:r w:rsidRPr="0072304B">
        <w:rPr>
          <w:lang w:val="fr-FR"/>
        </w:rPr>
        <w:t>En conséquence, le Comité a décidé que toute nouvelle assignation ou que toute modification d'une assignation existant dans le Plan, communiquée par l'Administration d'Israël ou par l'Administration de l'un des pays suivants:</w:t>
      </w:r>
    </w:p>
    <w:p w14:paraId="065AC3F9" w14:textId="77777777" w:rsidR="00D57601" w:rsidRPr="0072304B" w:rsidRDefault="00D57601" w:rsidP="00D57601">
      <w:pPr>
        <w:pStyle w:val="enumlev1"/>
        <w:ind w:left="0" w:firstLine="0"/>
        <w:rPr>
          <w:lang w:val="fr-FR"/>
        </w:rPr>
      </w:pPr>
      <w:r w:rsidRPr="0072304B">
        <w:rPr>
          <w:lang w:val="fr-FR"/>
        </w:rPr>
        <w:t>Algérie, Arabie saoudite, Egypte, Emirats arabes unis, Jordanie, Koweït, Liban, Libye, Maroc, Qatar, Soudan, Tunisie, Yémen, sera traitée comme suit:</w:t>
      </w:r>
    </w:p>
    <w:p w14:paraId="631CD889" w14:textId="77777777" w:rsidR="00D57601" w:rsidRPr="0072304B" w:rsidRDefault="00D57601" w:rsidP="00D57601">
      <w:pPr>
        <w:pStyle w:val="enumlev1"/>
        <w:rPr>
          <w:lang w:val="fr-FR"/>
        </w:rPr>
      </w:pPr>
      <w:r w:rsidRPr="0072304B">
        <w:rPr>
          <w:lang w:val="fr-FR"/>
        </w:rPr>
        <w:t>–</w:t>
      </w:r>
      <w:r w:rsidRPr="0072304B">
        <w:rPr>
          <w:lang w:val="fr-FR"/>
        </w:rPr>
        <w:tab/>
        <w:t>Pour une assignation d'Israël, si le(s) pays qui s'oppose(nt) à la modification fait (font) partie des pays cités ci-dessus et s'il s'agit du seul (des seuls) pays dont les objections empêchent l'achèvement de la procédure de modification, les commentaires sont transmis à l'Administration d'Israël et ne sont pas pris en compte pour la mise à jour du Plan. La même procédure s'applique à une assignation d'un des pays mentionnés si l'Adminis</w:t>
      </w:r>
      <w:r w:rsidRPr="0072304B">
        <w:rPr>
          <w:lang w:val="fr-FR"/>
        </w:rPr>
        <w:softHyphen/>
        <w:t>tration qui présente l'objection est celle d'Israël uniquement.</w:t>
      </w:r>
    </w:p>
    <w:p w14:paraId="64ABEFA0" w14:textId="77777777" w:rsidR="00D57601" w:rsidRPr="0072304B" w:rsidRDefault="00D57601" w:rsidP="00D57601">
      <w:pPr>
        <w:pStyle w:val="enumlev1"/>
        <w:rPr>
          <w:lang w:val="fr-FR"/>
        </w:rPr>
      </w:pPr>
      <w:r w:rsidRPr="0072304B">
        <w:rPr>
          <w:lang w:val="fr-FR"/>
        </w:rPr>
        <w:t>–</w:t>
      </w:r>
      <w:r w:rsidRPr="0072304B">
        <w:rPr>
          <w:lang w:val="fr-FR"/>
        </w:rPr>
        <w:tab/>
        <w:t>Dans ce cas, après réception de la notification, les dispositions de l'Article </w:t>
      </w:r>
      <w:r w:rsidRPr="0072304B">
        <w:rPr>
          <w:rStyle w:val="Artref"/>
          <w:b/>
          <w:bCs/>
          <w:color w:val="000000"/>
          <w:lang w:val="fr-FR"/>
        </w:rPr>
        <w:t>11</w:t>
      </w:r>
      <w:r w:rsidRPr="0072304B">
        <w:rPr>
          <w:lang w:val="fr-FR"/>
        </w:rPr>
        <w:t xml:space="preserve"> sont appliquées.</w:t>
      </w:r>
    </w:p>
    <w:p w14:paraId="3314C550" w14:textId="77777777" w:rsidR="001A19B3" w:rsidRDefault="001A19B3">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3EE24F07" w14:textId="77777777" w:rsidR="00D57601" w:rsidRPr="0072304B" w:rsidRDefault="00D57601" w:rsidP="00D57601">
      <w:pPr>
        <w:pStyle w:val="Heading8"/>
        <w:spacing w:before="600"/>
        <w:rPr>
          <w:lang w:val="fr-FR"/>
        </w:rPr>
      </w:pPr>
      <w:r w:rsidRPr="0072304B">
        <w:rPr>
          <w:lang w:val="fr-FR"/>
        </w:rPr>
        <w:lastRenderedPageBreak/>
        <w:t>An. 2</w:t>
      </w:r>
    </w:p>
    <w:p w14:paraId="0AFE8588" w14:textId="77777777" w:rsidR="00D57601" w:rsidRDefault="00D57601" w:rsidP="00D57601">
      <w:pPr>
        <w:pStyle w:val="Heading2"/>
        <w:ind w:left="0" w:firstLine="0"/>
        <w:jc w:val="center"/>
        <w:rPr>
          <w:lang w:val="fr-FR"/>
        </w:rPr>
      </w:pPr>
      <w:r w:rsidRPr="0072304B">
        <w:rPr>
          <w:lang w:val="fr-FR"/>
        </w:rPr>
        <w:t>Données techniques utilisées pour l'élaboration du Plan</w:t>
      </w:r>
      <w:r w:rsidRPr="0072304B">
        <w:rPr>
          <w:lang w:val="fr-FR"/>
        </w:rPr>
        <w:br/>
        <w:t>et à utiliser dans l'application de l'Accord</w:t>
      </w:r>
    </w:p>
    <w:p w14:paraId="6155588B" w14:textId="77777777" w:rsidR="00D57601" w:rsidRDefault="00D57601" w:rsidP="00D57601">
      <w:pPr>
        <w:pStyle w:val="ArtNo"/>
        <w:spacing w:before="320"/>
      </w:pPr>
      <w:r>
        <w:t>CHAPITRE 1</w:t>
      </w:r>
    </w:p>
    <w:p w14:paraId="2232B7CC" w14:textId="77777777" w:rsidR="00D57601" w:rsidRPr="007E4690" w:rsidRDefault="00D57601" w:rsidP="00D57601">
      <w:pPr>
        <w:pStyle w:val="Arttitle"/>
        <w:rPr>
          <w:lang w:val="fr-CH"/>
        </w:rPr>
      </w:pPr>
      <w:r w:rsidRPr="007E4690">
        <w:rPr>
          <w:lang w:val="fr-CH"/>
        </w:rPr>
        <w:t>Définitions</w:t>
      </w:r>
    </w:p>
    <w:p w14:paraId="0EC1C4C9" w14:textId="77777777" w:rsidR="00D57601" w:rsidRPr="007E4690" w:rsidRDefault="00D57601" w:rsidP="00D57601">
      <w:pPr>
        <w:spacing w:before="320"/>
        <w:rPr>
          <w:i/>
          <w:iCs/>
          <w:lang w:val="fr-CH"/>
        </w:rPr>
      </w:pPr>
      <w:r w:rsidRPr="007E4690">
        <w:rPr>
          <w:i/>
          <w:iCs/>
          <w:lang w:val="fr-CH"/>
        </w:rPr>
        <w:t>Canal pour émetteurs de faible puissance (CFP)</w:t>
      </w:r>
    </w:p>
    <w:p w14:paraId="3AA704EC" w14:textId="77777777" w:rsidR="00D57601" w:rsidRPr="007E4690" w:rsidRDefault="00D57601" w:rsidP="00D57601">
      <w:pPr>
        <w:rPr>
          <w:lang w:val="fr-CH"/>
        </w:rPr>
      </w:pPr>
      <w:r w:rsidRPr="007E4690">
        <w:rPr>
          <w:lang w:val="fr-CH"/>
        </w:rPr>
        <w:t>Canal utilisé par des stations de radiodiffusion fonctionnant dans les bandes des ondes hectométriques avec une p.a.r.v. maximale de 1 kW (soit une f.c.m. de 300 V) pour une modulation analogique et de 0,22 kW (soit une f.c.m. de 140 V) pour une modulation numérique.</w:t>
      </w:r>
    </w:p>
    <w:p w14:paraId="3474AA87" w14:textId="77777777" w:rsidR="00D57601" w:rsidRPr="0072304B" w:rsidRDefault="00D57601" w:rsidP="00D57601">
      <w:pPr>
        <w:pStyle w:val="Heading9"/>
        <w:rPr>
          <w:lang w:val="fr-FR"/>
        </w:rPr>
      </w:pPr>
      <w:r w:rsidRPr="0072304B">
        <w:rPr>
          <w:lang w:val="fr-FR"/>
        </w:rPr>
        <w:t>4.1</w:t>
      </w:r>
    </w:p>
    <w:p w14:paraId="7ABEB9E2" w14:textId="77777777" w:rsidR="00D57601" w:rsidRPr="0072304B" w:rsidRDefault="00D57601" w:rsidP="00D57601">
      <w:pPr>
        <w:rPr>
          <w:lang w:val="fr-FR"/>
        </w:rPr>
      </w:pPr>
      <w:r w:rsidRPr="0072304B">
        <w:rPr>
          <w:lang w:val="fr-FR"/>
        </w:rPr>
        <w:t xml:space="preserve">Le Chapitre 4 de l'Annexe 2 contient les normes de radiodiffusion applicables à l'Accord. Ces normes sont, notamment, les suivantes: </w:t>
      </w:r>
    </w:p>
    <w:p w14:paraId="01EDFFD4" w14:textId="77777777" w:rsidR="00D57601" w:rsidRPr="0072304B" w:rsidRDefault="00D57601" w:rsidP="00D57601">
      <w:pPr>
        <w:rPr>
          <w:lang w:val="fr-FR"/>
        </w:rPr>
      </w:pPr>
      <w:r w:rsidRPr="0072304B">
        <w:rPr>
          <w:lang w:val="fr-FR"/>
        </w:rPr>
        <w:t>4.1</w:t>
      </w:r>
      <w:r w:rsidRPr="0072304B">
        <w:rPr>
          <w:lang w:val="fr-FR"/>
        </w:rPr>
        <w:tab/>
      </w:r>
      <w:r w:rsidRPr="0072304B">
        <w:rPr>
          <w:i/>
          <w:iCs/>
          <w:lang w:val="fr-FR"/>
        </w:rPr>
        <w:t>Classe d'émission</w:t>
      </w:r>
      <w:r w:rsidRPr="0072304B">
        <w:rPr>
          <w:lang w:val="fr-FR"/>
        </w:rPr>
        <w:t>: le Plan est établi pour un système à modulation d'amplitude à double bande latérale et à porteuse complète (A3E).</w:t>
      </w:r>
    </w:p>
    <w:p w14:paraId="227C0AB6" w14:textId="77777777" w:rsidR="00D57601" w:rsidRDefault="00D57601" w:rsidP="00D57601">
      <w:pPr>
        <w:rPr>
          <w:lang w:val="fr-FR"/>
        </w:rPr>
      </w:pPr>
      <w:r w:rsidRPr="0072304B">
        <w:rPr>
          <w:lang w:val="fr-FR"/>
        </w:rPr>
        <w:t>4.2</w:t>
      </w:r>
      <w:r w:rsidRPr="0072304B">
        <w:rPr>
          <w:lang w:val="fr-FR"/>
        </w:rPr>
        <w:tab/>
      </w:r>
      <w:r w:rsidRPr="0072304B">
        <w:rPr>
          <w:i/>
          <w:iCs/>
          <w:lang w:val="fr-FR"/>
        </w:rPr>
        <w:t>Puissance</w:t>
      </w:r>
      <w:r w:rsidRPr="0072304B">
        <w:rPr>
          <w:lang w:val="fr-FR"/>
        </w:rPr>
        <w:t>: la puissance de l'émetteur est la puissance de l'onde porteuse en l'absence de modulation.</w:t>
      </w:r>
    </w:p>
    <w:p w14:paraId="0BB39F6C" w14:textId="77777777" w:rsidR="00D57601" w:rsidRPr="0072304B" w:rsidRDefault="00D57601" w:rsidP="00D57601">
      <w:pPr>
        <w:rPr>
          <w:lang w:val="fr-FR"/>
        </w:rPr>
      </w:pPr>
      <w:r w:rsidRPr="0072304B">
        <w:rPr>
          <w:lang w:val="fr-FR"/>
        </w:rPr>
        <w:t>4.3</w:t>
      </w:r>
      <w:r w:rsidRPr="0072304B">
        <w:rPr>
          <w:lang w:val="fr-FR"/>
        </w:rPr>
        <w:tab/>
      </w:r>
      <w:r w:rsidRPr="0072304B">
        <w:rPr>
          <w:i/>
          <w:iCs/>
          <w:lang w:val="fr-FR"/>
        </w:rPr>
        <w:t>Rayonnement</w:t>
      </w:r>
      <w:r w:rsidRPr="0072304B">
        <w:rPr>
          <w:lang w:val="fr-FR"/>
        </w:rPr>
        <w:t>: le rayonnement est considéré comme le produit de la puissance nominale de l'émetteur par le gain de l'antenne (par rapport à une antenne verticale courte) supposée sans pertes diverses</w:t>
      </w:r>
      <w:r>
        <w:rPr>
          <w:rStyle w:val="FootnoteReference"/>
          <w:lang w:val="fr-FR"/>
        </w:rPr>
        <w:footnoteReference w:id="1"/>
      </w:r>
      <w:r w:rsidRPr="0072304B">
        <w:rPr>
          <w:lang w:val="fr-FR"/>
        </w:rPr>
        <w:t>. Il est exprimé soit par la forme cymomotrice (f.c.m. en V ou en dB par rapport à 300 V), soit par la puissance apparente rayonnée sur antenne verticale courte (p.a.r.v. en kW, ou en dB par rapport à 1 kW).</w:t>
      </w:r>
    </w:p>
    <w:p w14:paraId="04F7984D" w14:textId="77777777" w:rsidR="00D57601" w:rsidRPr="007E4690" w:rsidRDefault="00D57601" w:rsidP="00D57601">
      <w:pPr>
        <w:keepNext/>
        <w:keepLines/>
        <w:rPr>
          <w:lang w:val="fr-CH"/>
        </w:rPr>
      </w:pPr>
      <w:r w:rsidRPr="007E4690">
        <w:rPr>
          <w:lang w:val="fr-CH"/>
        </w:rPr>
        <w:t>4.4</w:t>
      </w:r>
      <w:r w:rsidRPr="007E4690">
        <w:rPr>
          <w:lang w:val="fr-CH"/>
        </w:rPr>
        <w:tab/>
      </w:r>
      <w:r w:rsidRPr="007E4690">
        <w:rPr>
          <w:i/>
          <w:lang w:val="fr-CH"/>
        </w:rPr>
        <w:t>Rapports de protection</w:t>
      </w:r>
      <w:r w:rsidRPr="007E4690">
        <w:rPr>
          <w:lang w:val="fr-CH"/>
        </w:rPr>
        <w:t>: Dans l'application de l'Accord, on utilisera les valeurs ci</w:t>
      </w:r>
      <w:r w:rsidRPr="007E4690">
        <w:rPr>
          <w:lang w:val="fr-CH"/>
        </w:rPr>
        <w:noBreakHyphen/>
        <w:t>dessous pour le rapport de protection dans le même canal et dans le canal adjacent, à moins qu'il n'en soit convenu autrement entre les administrations intéressées. Dans le cas où le signal utile ou le signal brouilleur sont fluctuants, les valeurs du rapport de protection sont applicables à minuit pour au moins 50% des nuits d'une année.</w:t>
      </w:r>
    </w:p>
    <w:p w14:paraId="299A7FF1" w14:textId="77777777" w:rsidR="00D2490D" w:rsidRDefault="00D2490D">
      <w:pPr>
        <w:tabs>
          <w:tab w:val="clear" w:pos="1134"/>
          <w:tab w:val="clear" w:pos="1871"/>
          <w:tab w:val="clear" w:pos="2268"/>
        </w:tabs>
        <w:overflowPunct/>
        <w:autoSpaceDE/>
        <w:autoSpaceDN/>
        <w:adjustRightInd/>
        <w:spacing w:before="0"/>
        <w:jc w:val="left"/>
        <w:textAlignment w:val="auto"/>
        <w:rPr>
          <w:lang w:val="fr-CH"/>
        </w:rPr>
        <w:sectPr w:rsidR="00D2490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272AFC58" w14:textId="77777777" w:rsidR="00D57601" w:rsidRPr="007E4690" w:rsidRDefault="00D57601" w:rsidP="00D57601">
      <w:pPr>
        <w:rPr>
          <w:lang w:val="fr-CH"/>
        </w:rPr>
      </w:pPr>
      <w:r w:rsidRPr="007E4690">
        <w:rPr>
          <w:lang w:val="fr-CH"/>
        </w:rPr>
        <w:lastRenderedPageBreak/>
        <w:t>Toutefois, par sa Résolution 8, la Conférence administrative régionale de radiodiffusion sur ondes kilométriques et hectométriques (Régions 1 à 3) (Genève, 1975) a décidé:</w:t>
      </w:r>
    </w:p>
    <w:p w14:paraId="371F93DC" w14:textId="77777777" w:rsidR="00D57601" w:rsidRDefault="00D57601" w:rsidP="00D57601">
      <w:pPr>
        <w:pStyle w:val="Headingi"/>
        <w:keepNext w:val="0"/>
        <w:keepLines w:val="0"/>
        <w:tabs>
          <w:tab w:val="left" w:pos="2268"/>
        </w:tabs>
        <w:spacing w:before="120"/>
        <w:rPr>
          <w:iCs/>
          <w:lang w:val="fr-FR"/>
        </w:rPr>
      </w:pPr>
      <w:r>
        <w:rPr>
          <w:iCs/>
          <w:lang w:val="fr-FR"/>
        </w:rPr>
        <w:t>«1</w:t>
      </w:r>
      <w:r>
        <w:rPr>
          <w:iCs/>
          <w:lang w:val="fr-FR"/>
        </w:rPr>
        <w:tab/>
        <w:t>que les stations de radiodiffusion peuvent provisoirement utiliser des procédés de modulation permettant une économie de largeur de bande, à condition que le brouillage causé, dans les mêmes canaux ou des canaux adjacents, ne dépasse pas le brouillage causé par l'application de la modulation à double bande latérale avec porteuse complète (A3E);</w:t>
      </w:r>
    </w:p>
    <w:p w14:paraId="51783B3C" w14:textId="77777777" w:rsidR="00D57601" w:rsidRDefault="00D57601" w:rsidP="00D57601">
      <w:pPr>
        <w:pStyle w:val="Headingi"/>
        <w:keepNext w:val="0"/>
        <w:keepLines w:val="0"/>
        <w:tabs>
          <w:tab w:val="left" w:pos="2268"/>
        </w:tabs>
        <w:spacing w:before="120"/>
        <w:rPr>
          <w:iCs/>
          <w:lang w:val="fr-FR"/>
        </w:rPr>
      </w:pPr>
      <w:r>
        <w:rPr>
          <w:iCs/>
          <w:lang w:val="fr-FR"/>
        </w:rPr>
        <w:t>2</w:t>
      </w:r>
      <w:r>
        <w:rPr>
          <w:iCs/>
          <w:lang w:val="fr-FR"/>
        </w:rPr>
        <w:tab/>
        <w:t>que toute administration qui envisage d'utiliser ces classes d'émission recherche l'accord de toute administration intéressée en appliquant la procédure de l'Article 4 de l'Accord.».</w:t>
      </w:r>
    </w:p>
    <w:p w14:paraId="0C853E3F" w14:textId="77777777" w:rsidR="00D57601" w:rsidRPr="007E4690" w:rsidRDefault="00D57601" w:rsidP="00086560">
      <w:pPr>
        <w:spacing w:before="100"/>
        <w:textAlignment w:val="auto"/>
        <w:rPr>
          <w:lang w:val="fr-CH"/>
        </w:rPr>
      </w:pPr>
      <w:r w:rsidRPr="007E4690">
        <w:rPr>
          <w:lang w:val="fr-CH"/>
        </w:rPr>
        <w:t>Après avoir examiné les études pertinentes de l'UIT</w:t>
      </w:r>
      <w:r w:rsidRPr="007E4690">
        <w:rPr>
          <w:lang w:val="fr-CH"/>
        </w:rPr>
        <w:noBreakHyphen/>
        <w:t>R, le Comité a décidé qu'une assignation de fréquence à modulation analogique figurant dans le Plan pouvait être notifiée en vue de son inscription dans le Fichier de référence international des fréquences (MIFR) avec la modulation numérique (système de transmission Digital Radio Mondiale</w:t>
      </w:r>
      <w:r>
        <w:rPr>
          <w:rStyle w:val="FootnoteReference"/>
        </w:rPr>
        <w:footnoteReference w:id="2"/>
      </w:r>
      <w:r w:rsidRPr="007E4690">
        <w:rPr>
          <w:lang w:val="fr-CH"/>
        </w:rPr>
        <w:t>, mode de fiabilité</w:t>
      </w:r>
      <w:r>
        <w:rPr>
          <w:rStyle w:val="FootnoteReference"/>
          <w:lang w:val="fr-CH"/>
        </w:rPr>
        <w:footnoteReference w:id="3"/>
      </w:r>
      <w:r>
        <w:rPr>
          <w:lang w:val="fr-CH"/>
        </w:rPr>
        <w:t xml:space="preserve"> A ou</w:t>
      </w:r>
      <w:r w:rsidRPr="007E4690">
        <w:rPr>
          <w:lang w:val="fr-CH"/>
        </w:rPr>
        <w:t xml:space="preserve"> B et type d'occupation spectrale 2), à condition que le rayonnement soit réduit d'au moins 6,6 dB dans toutes les directions par rapport au rayonnement de l'assignation de fréquence analogique figurant dans le Plan.</w:t>
      </w:r>
      <w:r>
        <w:rPr>
          <w:lang w:val="fr-CH"/>
        </w:rPr>
        <w:t xml:space="preserve">    </w:t>
      </w:r>
    </w:p>
    <w:p w14:paraId="6EB1BB5E" w14:textId="77777777" w:rsidR="00D57601" w:rsidRPr="007E4690" w:rsidRDefault="00D57601" w:rsidP="00D57601">
      <w:pPr>
        <w:spacing w:before="100"/>
        <w:rPr>
          <w:lang w:val="fr-CH"/>
        </w:rPr>
      </w:pPr>
      <w:r w:rsidRPr="007E4690">
        <w:rPr>
          <w:lang w:val="fr-CH"/>
        </w:rPr>
        <w:t>La puissance de l'émetteur à notifier dans le cas de la modulation numérique est la puissance totale à l'intérieur de la largeur de bande nécessaire.</w:t>
      </w:r>
    </w:p>
    <w:p w14:paraId="336E061A" w14:textId="77777777" w:rsidR="00D57601" w:rsidRDefault="00D57601" w:rsidP="00086560">
      <w:pPr>
        <w:rPr>
          <w:lang w:val="fr-CH"/>
        </w:rPr>
      </w:pPr>
      <w:r w:rsidRPr="007E4690">
        <w:rPr>
          <w:lang w:val="fr-CH"/>
        </w:rPr>
        <w:t>Le Comité a par ailleurs décidé que, pour appliquer l'Article 4 de l'Accord, on utilise les rapports de protection entre assignations analogiques et assignations numériques (système de transmission Digital Radio Mondiale, mode de fiabilité A et B et type d'occupation spectrale 2) ainsi qu'entre assignations numériques qui sont indiqués dans la Partie B, Section B7.</w:t>
      </w:r>
      <w:r>
        <w:rPr>
          <w:lang w:val="fr-CH"/>
        </w:rPr>
        <w:t xml:space="preserve">    </w:t>
      </w:r>
    </w:p>
    <w:p w14:paraId="1EECDE27" w14:textId="77777777" w:rsidR="00D2490D" w:rsidRPr="001A19B3" w:rsidRDefault="00D2490D" w:rsidP="00D2490D">
      <w:pPr>
        <w:rPr>
          <w:lang w:val="fr-CH"/>
        </w:rPr>
      </w:pPr>
      <w:r w:rsidRPr="00D2490D">
        <w:rPr>
          <w:lang w:val="fr-FR"/>
        </w:rPr>
        <w:t>Afin de pouvoir déterminer, à partir de la Section B7, les rapports de protection pertinents et la valeur minimale du champ qui sont nécessaires pour identifier les administrations susceptibles d'être affectées conformément au § 3.2.5 de l'Accord GE75, le Comité a également décidé d'ajouter les éléments de données obligatoires «Mécanisme de modulation» et «Rendement de codage moyen» pour la soumission des propositions relatives à des modifications du Plan concernant les assignations numériques au moyen du modèle de fiche de notification T03.</w:t>
      </w:r>
    </w:p>
    <w:p w14:paraId="00133552" w14:textId="77777777" w:rsidR="00D57601" w:rsidRPr="00962CB4" w:rsidRDefault="00D57601" w:rsidP="00D57601">
      <w:pPr>
        <w:rPr>
          <w:bCs/>
          <w:sz w:val="16"/>
          <w:szCs w:val="16"/>
          <w:lang w:val="fr-CH"/>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14:paraId="7BF13246" w14:textId="77777777" w:rsidR="00D2490D" w:rsidRDefault="00D2490D" w:rsidP="00086560">
      <w:pPr>
        <w:rPr>
          <w:lang w:val="fr-CH"/>
        </w:rPr>
        <w:sectPr w:rsidR="00D2490D">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6F229D11" w14:textId="77777777" w:rsidR="00D57601" w:rsidRPr="0072304B" w:rsidRDefault="00D57601" w:rsidP="00D57601">
      <w:pPr>
        <w:pStyle w:val="Heading9"/>
        <w:rPr>
          <w:lang w:val="fr-FR"/>
        </w:rPr>
      </w:pPr>
      <w:r w:rsidRPr="0072304B">
        <w:rPr>
          <w:lang w:val="fr-FR"/>
        </w:rPr>
        <w:lastRenderedPageBreak/>
        <w:t>4.</w:t>
      </w:r>
      <w:r>
        <w:rPr>
          <w:lang w:val="fr-FR"/>
        </w:rPr>
        <w:t>5</w:t>
      </w:r>
    </w:p>
    <w:p w14:paraId="1DF0838C" w14:textId="77777777" w:rsidR="00D57601" w:rsidRPr="007E4690" w:rsidRDefault="00D57601" w:rsidP="00D57601">
      <w:pPr>
        <w:rPr>
          <w:lang w:val="fr-CH"/>
        </w:rPr>
      </w:pPr>
      <w:r w:rsidRPr="007E4690">
        <w:rPr>
          <w:lang w:val="fr-CH"/>
        </w:rPr>
        <w:t>4.5</w:t>
      </w:r>
      <w:r w:rsidRPr="007E4690">
        <w:rPr>
          <w:lang w:val="fr-CH"/>
        </w:rPr>
        <w:tab/>
      </w:r>
      <w:r w:rsidRPr="007E4690">
        <w:rPr>
          <w:i/>
          <w:lang w:val="fr-CH"/>
        </w:rPr>
        <w:t>Valeur minimale du champ</w:t>
      </w:r>
    </w:p>
    <w:p w14:paraId="2EF35AC4" w14:textId="77777777" w:rsidR="00D57601" w:rsidRPr="007E4690" w:rsidRDefault="00D57601" w:rsidP="00D57601">
      <w:pPr>
        <w:rPr>
          <w:lang w:val="fr-CH"/>
        </w:rPr>
      </w:pPr>
      <w:r w:rsidRPr="007E4690">
        <w:rPr>
          <w:lang w:val="fr-CH"/>
        </w:rPr>
        <w:t>4.5.1</w:t>
      </w:r>
      <w:r w:rsidRPr="007E4690">
        <w:rPr>
          <w:lang w:val="fr-CH"/>
        </w:rPr>
        <w:tab/>
        <w:t>La valeur minimale du champ requise afin de dépasser le bruit naturel dans les trois zones A, B et C (pour 1 MHz) pour les assignations de fréquence utilisant la modulation analogique a été fixée comme suit:</w:t>
      </w:r>
    </w:p>
    <w:p w14:paraId="48EDE0ED" w14:textId="77777777" w:rsidR="00D57601" w:rsidRPr="007E4690" w:rsidRDefault="00D57601" w:rsidP="00D57601">
      <w:pPr>
        <w:pStyle w:val="enumlev1"/>
        <w:ind w:left="1588"/>
        <w:rPr>
          <w:lang w:val="fr-CH"/>
        </w:rPr>
      </w:pPr>
      <w:r>
        <w:rPr>
          <w:rFonts w:ascii="Symbol" w:hAnsi="Symbol"/>
        </w:rPr>
        <w:t></w:t>
      </w:r>
      <w:r w:rsidRPr="007E4690">
        <w:rPr>
          <w:lang w:val="fr-CH"/>
        </w:rPr>
        <w:t>60 dB (</w:t>
      </w:r>
      <w:r>
        <w:rPr>
          <w:rFonts w:ascii="Symbol" w:hAnsi="Symbol"/>
        </w:rPr>
        <w:t></w:t>
      </w:r>
      <w:r w:rsidRPr="007E4690">
        <w:rPr>
          <w:lang w:val="fr-CH"/>
        </w:rPr>
        <w:t>V/m) dans la zone A</w:t>
      </w:r>
    </w:p>
    <w:p w14:paraId="68DAC820" w14:textId="77777777" w:rsidR="00D57601" w:rsidRPr="007E4690" w:rsidRDefault="00D57601" w:rsidP="00D57601">
      <w:pPr>
        <w:pStyle w:val="enumlev1"/>
        <w:ind w:left="1588"/>
        <w:rPr>
          <w:lang w:val="fr-CH"/>
        </w:rPr>
      </w:pPr>
      <w:r>
        <w:rPr>
          <w:rFonts w:ascii="Symbol" w:hAnsi="Symbol"/>
        </w:rPr>
        <w:t></w:t>
      </w:r>
      <w:r w:rsidRPr="007E4690">
        <w:rPr>
          <w:lang w:val="fr-CH"/>
        </w:rPr>
        <w:t>70 dB (</w:t>
      </w:r>
      <w:r>
        <w:rPr>
          <w:rFonts w:ascii="Symbol" w:hAnsi="Symbol"/>
        </w:rPr>
        <w:t></w:t>
      </w:r>
      <w:r w:rsidRPr="007E4690">
        <w:rPr>
          <w:lang w:val="fr-CH"/>
        </w:rPr>
        <w:t>V/m) dans la zone B</w:t>
      </w:r>
    </w:p>
    <w:p w14:paraId="2C3C6046" w14:textId="77777777" w:rsidR="00D57601" w:rsidRPr="007E4690" w:rsidRDefault="00D57601" w:rsidP="00D57601">
      <w:pPr>
        <w:pStyle w:val="enumlev1"/>
        <w:ind w:left="1588"/>
        <w:rPr>
          <w:lang w:val="fr-CH"/>
        </w:rPr>
      </w:pPr>
      <w:r>
        <w:rPr>
          <w:rFonts w:ascii="Symbol" w:hAnsi="Symbol"/>
        </w:rPr>
        <w:t></w:t>
      </w:r>
      <w:r w:rsidRPr="007E4690">
        <w:rPr>
          <w:lang w:val="fr-CH"/>
        </w:rPr>
        <w:t>63 dB (</w:t>
      </w:r>
      <w:r>
        <w:rPr>
          <w:rFonts w:ascii="Symbol" w:hAnsi="Symbol"/>
        </w:rPr>
        <w:t></w:t>
      </w:r>
      <w:r w:rsidRPr="007E4690">
        <w:rPr>
          <w:lang w:val="fr-CH"/>
        </w:rPr>
        <w:t>V/m) dans la zone C.</w:t>
      </w:r>
    </w:p>
    <w:p w14:paraId="23461F72" w14:textId="77777777" w:rsidR="00D57601" w:rsidRPr="007E4690" w:rsidRDefault="00D57601" w:rsidP="00D57601">
      <w:pPr>
        <w:rPr>
          <w:lang w:val="fr-FR"/>
        </w:rPr>
      </w:pPr>
      <w:r w:rsidRPr="001A19B3">
        <w:rPr>
          <w:lang w:val="fr-CH"/>
        </w:rPr>
        <w:t>Pour les assignations de fréquence utilisant la modulation numérique, il faut utiliser les valeurs minimales du champ indiquées dans la Partie B, Section B7.</w:t>
      </w:r>
    </w:p>
    <w:p w14:paraId="54310CDD" w14:textId="77777777" w:rsidR="00D57601" w:rsidRPr="0072304B" w:rsidRDefault="00D57601" w:rsidP="00D57601">
      <w:pPr>
        <w:pStyle w:val="Heading9"/>
        <w:rPr>
          <w:lang w:val="fr-FR"/>
        </w:rPr>
      </w:pPr>
      <w:r w:rsidRPr="0072304B">
        <w:rPr>
          <w:lang w:val="fr-FR"/>
        </w:rPr>
        <w:t>4.8.3</w:t>
      </w:r>
    </w:p>
    <w:p w14:paraId="78C759D1" w14:textId="77777777" w:rsidR="00D57601" w:rsidRPr="007E4690" w:rsidRDefault="00D57601" w:rsidP="00D57601">
      <w:pPr>
        <w:tabs>
          <w:tab w:val="left" w:pos="0"/>
          <w:tab w:val="right" w:pos="9302"/>
        </w:tabs>
        <w:spacing w:after="240"/>
        <w:rPr>
          <w:lang w:val="fr-CH"/>
        </w:rPr>
      </w:pPr>
      <w:r w:rsidRPr="007E4690">
        <w:rPr>
          <w:lang w:val="fr-CH"/>
        </w:rPr>
        <w:t>4.8.3</w:t>
      </w:r>
      <w:r w:rsidRPr="007E4690">
        <w:rPr>
          <w:lang w:val="fr-CH"/>
        </w:rPr>
        <w:tab/>
        <w:t>Dans l'application des dispositions de l'article 4 (paragraphe 3.3.1) de 1'Accord, on utilise le tableau ci</w:t>
      </w:r>
      <w:r w:rsidRPr="007E4690">
        <w:rPr>
          <w:lang w:val="fr-CH"/>
        </w:rPr>
        <w:noBreakHyphen/>
        <w:t>dessous:</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26"/>
        <w:gridCol w:w="1701"/>
        <w:gridCol w:w="1559"/>
        <w:gridCol w:w="1701"/>
        <w:gridCol w:w="2409"/>
      </w:tblGrid>
      <w:tr w:rsidR="00D57601" w:rsidRPr="00122D16" w14:paraId="5635A0CC" w14:textId="77777777" w:rsidTr="00295EC7">
        <w:trPr>
          <w:tblHeader/>
        </w:trPr>
        <w:tc>
          <w:tcPr>
            <w:tcW w:w="3227" w:type="dxa"/>
            <w:gridSpan w:val="2"/>
            <w:tcBorders>
              <w:top w:val="single" w:sz="6" w:space="0" w:color="auto"/>
              <w:bottom w:val="single" w:sz="6" w:space="0" w:color="auto"/>
            </w:tcBorders>
          </w:tcPr>
          <w:p w14:paraId="12CD9779" w14:textId="77777777" w:rsidR="00D57601" w:rsidRPr="001C1C5C" w:rsidRDefault="00D57601" w:rsidP="00295EC7">
            <w:pPr>
              <w:pStyle w:val="Tablehead0"/>
              <w:rPr>
                <w:sz w:val="20"/>
              </w:rPr>
            </w:pPr>
            <w:r w:rsidRPr="001C1C5C">
              <w:rPr>
                <w:sz w:val="20"/>
              </w:rPr>
              <w:t>f.c.m.</w:t>
            </w:r>
            <w:r w:rsidRPr="001C1C5C">
              <w:rPr>
                <w:sz w:val="20"/>
              </w:rPr>
              <w:br/>
              <w:t>(V)</w:t>
            </w:r>
          </w:p>
        </w:tc>
        <w:tc>
          <w:tcPr>
            <w:tcW w:w="3260" w:type="dxa"/>
            <w:gridSpan w:val="2"/>
            <w:tcBorders>
              <w:top w:val="single" w:sz="6" w:space="0" w:color="auto"/>
              <w:bottom w:val="single" w:sz="6" w:space="0" w:color="auto"/>
            </w:tcBorders>
          </w:tcPr>
          <w:p w14:paraId="7438A9D6" w14:textId="77777777" w:rsidR="00D57601" w:rsidRPr="001C1C5C" w:rsidRDefault="00D57601" w:rsidP="00295EC7">
            <w:pPr>
              <w:pStyle w:val="Tablehead0"/>
              <w:rPr>
                <w:sz w:val="20"/>
              </w:rPr>
            </w:pPr>
            <w:r w:rsidRPr="001C1C5C">
              <w:rPr>
                <w:sz w:val="20"/>
              </w:rPr>
              <w:t>p.a.r.v.</w:t>
            </w:r>
            <w:r w:rsidRPr="001C1C5C">
              <w:rPr>
                <w:sz w:val="20"/>
              </w:rPr>
              <w:br/>
              <w:t>(kW)</w:t>
            </w:r>
          </w:p>
        </w:tc>
        <w:tc>
          <w:tcPr>
            <w:tcW w:w="2409" w:type="dxa"/>
            <w:vMerge w:val="restart"/>
            <w:tcBorders>
              <w:top w:val="single" w:sz="6" w:space="0" w:color="auto"/>
            </w:tcBorders>
            <w:vAlign w:val="center"/>
          </w:tcPr>
          <w:p w14:paraId="3CD86F61" w14:textId="77777777" w:rsidR="00D57601" w:rsidRPr="001C1C5C" w:rsidRDefault="00D57601" w:rsidP="00295EC7">
            <w:pPr>
              <w:pStyle w:val="Tablehead0"/>
              <w:rPr>
                <w:sz w:val="20"/>
              </w:rPr>
            </w:pPr>
            <w:r w:rsidRPr="001C1C5C">
              <w:rPr>
                <w:sz w:val="20"/>
              </w:rPr>
              <w:t xml:space="preserve">Valeur limite de la </w:t>
            </w:r>
            <w:r w:rsidRPr="001C1C5C">
              <w:rPr>
                <w:sz w:val="20"/>
              </w:rPr>
              <w:br/>
              <w:t>distance (km)</w:t>
            </w:r>
          </w:p>
        </w:tc>
      </w:tr>
      <w:tr w:rsidR="00D57601" w14:paraId="3860E47C" w14:textId="77777777" w:rsidTr="00295EC7">
        <w:trPr>
          <w:tblHeader/>
        </w:trPr>
        <w:tc>
          <w:tcPr>
            <w:tcW w:w="1526" w:type="dxa"/>
            <w:tcBorders>
              <w:top w:val="single" w:sz="6" w:space="0" w:color="auto"/>
              <w:bottom w:val="single" w:sz="6" w:space="0" w:color="auto"/>
            </w:tcBorders>
          </w:tcPr>
          <w:p w14:paraId="626693AA" w14:textId="77777777" w:rsidR="00D57601" w:rsidRPr="001C1C5C" w:rsidRDefault="00D57601" w:rsidP="00295EC7">
            <w:pPr>
              <w:pStyle w:val="Tablehead0"/>
              <w:rPr>
                <w:sz w:val="20"/>
              </w:rPr>
            </w:pPr>
            <w:r w:rsidRPr="001C1C5C">
              <w:rPr>
                <w:sz w:val="20"/>
              </w:rPr>
              <w:t>Modulation analogique</w:t>
            </w:r>
          </w:p>
        </w:tc>
        <w:tc>
          <w:tcPr>
            <w:tcW w:w="1701" w:type="dxa"/>
            <w:tcBorders>
              <w:top w:val="single" w:sz="6" w:space="0" w:color="auto"/>
              <w:bottom w:val="single" w:sz="6" w:space="0" w:color="auto"/>
            </w:tcBorders>
          </w:tcPr>
          <w:p w14:paraId="143BCDA2" w14:textId="77777777" w:rsidR="00D57601" w:rsidRPr="001C1C5C" w:rsidRDefault="00D57601" w:rsidP="00295EC7">
            <w:pPr>
              <w:pStyle w:val="Tablehead0"/>
              <w:rPr>
                <w:caps/>
                <w:sz w:val="20"/>
              </w:rPr>
            </w:pPr>
            <w:r w:rsidRPr="001C1C5C">
              <w:rPr>
                <w:sz w:val="20"/>
              </w:rPr>
              <w:t>Modulation numérique</w:t>
            </w:r>
          </w:p>
        </w:tc>
        <w:tc>
          <w:tcPr>
            <w:tcW w:w="1559" w:type="dxa"/>
            <w:tcBorders>
              <w:top w:val="single" w:sz="6" w:space="0" w:color="auto"/>
              <w:bottom w:val="single" w:sz="6" w:space="0" w:color="auto"/>
            </w:tcBorders>
          </w:tcPr>
          <w:p w14:paraId="554C7067" w14:textId="77777777" w:rsidR="00D57601" w:rsidRPr="001C1C5C" w:rsidRDefault="00D57601" w:rsidP="00295EC7">
            <w:pPr>
              <w:pStyle w:val="Tablehead0"/>
              <w:rPr>
                <w:caps/>
                <w:sz w:val="20"/>
              </w:rPr>
            </w:pPr>
            <w:r w:rsidRPr="001C1C5C">
              <w:rPr>
                <w:sz w:val="20"/>
              </w:rPr>
              <w:t>Modulation analogique</w:t>
            </w:r>
          </w:p>
        </w:tc>
        <w:tc>
          <w:tcPr>
            <w:tcW w:w="1701" w:type="dxa"/>
            <w:tcBorders>
              <w:top w:val="single" w:sz="6" w:space="0" w:color="auto"/>
              <w:bottom w:val="single" w:sz="6" w:space="0" w:color="auto"/>
            </w:tcBorders>
          </w:tcPr>
          <w:p w14:paraId="7081143B" w14:textId="77777777" w:rsidR="00D57601" w:rsidRPr="001C1C5C" w:rsidRDefault="00D57601" w:rsidP="00295EC7">
            <w:pPr>
              <w:pStyle w:val="Tablehead0"/>
              <w:rPr>
                <w:caps/>
                <w:sz w:val="20"/>
              </w:rPr>
            </w:pPr>
            <w:r w:rsidRPr="001C1C5C">
              <w:rPr>
                <w:sz w:val="20"/>
              </w:rPr>
              <w:t>Modulation numérique</w:t>
            </w:r>
          </w:p>
        </w:tc>
        <w:tc>
          <w:tcPr>
            <w:tcW w:w="2409" w:type="dxa"/>
            <w:vMerge/>
            <w:tcBorders>
              <w:bottom w:val="single" w:sz="6" w:space="0" w:color="auto"/>
            </w:tcBorders>
          </w:tcPr>
          <w:p w14:paraId="22F1FC18" w14:textId="77777777" w:rsidR="00D57601" w:rsidRPr="001C1C5C" w:rsidRDefault="00D57601" w:rsidP="00295EC7">
            <w:pPr>
              <w:pStyle w:val="Tablehead0"/>
              <w:rPr>
                <w:sz w:val="20"/>
              </w:rPr>
            </w:pPr>
          </w:p>
        </w:tc>
      </w:tr>
      <w:tr w:rsidR="00D57601" w14:paraId="63822EA9" w14:textId="77777777" w:rsidTr="00295EC7">
        <w:tc>
          <w:tcPr>
            <w:tcW w:w="1526" w:type="dxa"/>
            <w:tcBorders>
              <w:top w:val="single" w:sz="6" w:space="0" w:color="auto"/>
              <w:bottom w:val="single" w:sz="4" w:space="0" w:color="auto"/>
            </w:tcBorders>
          </w:tcPr>
          <w:p w14:paraId="782A32A0" w14:textId="77777777" w:rsidR="00D57601" w:rsidRPr="001C1C5C" w:rsidRDefault="00D57601" w:rsidP="00295EC7">
            <w:pPr>
              <w:pStyle w:val="Tabletext0"/>
              <w:jc w:val="center"/>
              <w:rPr>
                <w:sz w:val="20"/>
              </w:rPr>
            </w:pPr>
            <w:r w:rsidRPr="001C1C5C">
              <w:rPr>
                <w:sz w:val="20"/>
              </w:rPr>
              <w:t>300</w:t>
            </w:r>
          </w:p>
        </w:tc>
        <w:tc>
          <w:tcPr>
            <w:tcW w:w="1701" w:type="dxa"/>
            <w:tcBorders>
              <w:top w:val="single" w:sz="6" w:space="0" w:color="auto"/>
              <w:bottom w:val="single" w:sz="4" w:space="0" w:color="auto"/>
            </w:tcBorders>
          </w:tcPr>
          <w:p w14:paraId="05E50C34" w14:textId="77777777" w:rsidR="00D57601" w:rsidRPr="001C1C5C" w:rsidRDefault="00D57601" w:rsidP="00295EC7">
            <w:pPr>
              <w:pStyle w:val="Tabletext0"/>
              <w:jc w:val="center"/>
              <w:rPr>
                <w:caps/>
                <w:sz w:val="20"/>
              </w:rPr>
            </w:pPr>
            <w:r w:rsidRPr="001C1C5C">
              <w:rPr>
                <w:sz w:val="20"/>
              </w:rPr>
              <w:t>140</w:t>
            </w:r>
          </w:p>
        </w:tc>
        <w:tc>
          <w:tcPr>
            <w:tcW w:w="1559" w:type="dxa"/>
            <w:tcBorders>
              <w:top w:val="single" w:sz="6" w:space="0" w:color="auto"/>
              <w:bottom w:val="single" w:sz="4" w:space="0" w:color="auto"/>
            </w:tcBorders>
          </w:tcPr>
          <w:p w14:paraId="3F11E5E8" w14:textId="77777777" w:rsidR="00D57601" w:rsidRPr="001C1C5C" w:rsidRDefault="00D57601" w:rsidP="00295EC7">
            <w:pPr>
              <w:pStyle w:val="Tabletext0"/>
              <w:jc w:val="center"/>
              <w:rPr>
                <w:caps/>
                <w:sz w:val="20"/>
              </w:rPr>
            </w:pPr>
            <w:r w:rsidRPr="001C1C5C">
              <w:rPr>
                <w:sz w:val="20"/>
              </w:rPr>
              <w:t>1,0</w:t>
            </w:r>
          </w:p>
        </w:tc>
        <w:tc>
          <w:tcPr>
            <w:tcW w:w="1701" w:type="dxa"/>
            <w:tcBorders>
              <w:top w:val="single" w:sz="6" w:space="0" w:color="auto"/>
              <w:bottom w:val="single" w:sz="4" w:space="0" w:color="auto"/>
            </w:tcBorders>
          </w:tcPr>
          <w:p w14:paraId="2CADC5E8" w14:textId="77777777" w:rsidR="00D57601" w:rsidRPr="001C1C5C" w:rsidRDefault="00D57601" w:rsidP="00295EC7">
            <w:pPr>
              <w:pStyle w:val="Tabletext0"/>
              <w:jc w:val="center"/>
              <w:rPr>
                <w:caps/>
                <w:sz w:val="20"/>
              </w:rPr>
            </w:pPr>
            <w:r w:rsidRPr="001C1C5C">
              <w:rPr>
                <w:sz w:val="20"/>
              </w:rPr>
              <w:t>0,22</w:t>
            </w:r>
          </w:p>
        </w:tc>
        <w:tc>
          <w:tcPr>
            <w:tcW w:w="2409" w:type="dxa"/>
            <w:tcBorders>
              <w:top w:val="single" w:sz="6" w:space="0" w:color="auto"/>
              <w:bottom w:val="single" w:sz="4" w:space="0" w:color="auto"/>
            </w:tcBorders>
          </w:tcPr>
          <w:p w14:paraId="218E19D8" w14:textId="77777777" w:rsidR="00D57601" w:rsidRPr="001C1C5C" w:rsidRDefault="00D57601" w:rsidP="00295EC7">
            <w:pPr>
              <w:pStyle w:val="Tabletext0"/>
              <w:jc w:val="center"/>
              <w:rPr>
                <w:caps/>
                <w:sz w:val="20"/>
              </w:rPr>
            </w:pPr>
            <w:r w:rsidRPr="001C1C5C">
              <w:rPr>
                <w:sz w:val="20"/>
              </w:rPr>
              <w:t>600</w:t>
            </w:r>
          </w:p>
        </w:tc>
      </w:tr>
      <w:tr w:rsidR="00D57601" w14:paraId="3C40C5DD" w14:textId="77777777" w:rsidTr="00295EC7">
        <w:tc>
          <w:tcPr>
            <w:tcW w:w="1526" w:type="dxa"/>
            <w:tcBorders>
              <w:top w:val="single" w:sz="4" w:space="0" w:color="auto"/>
              <w:bottom w:val="single" w:sz="4" w:space="0" w:color="auto"/>
            </w:tcBorders>
          </w:tcPr>
          <w:p w14:paraId="1444F645" w14:textId="77777777" w:rsidR="00D57601" w:rsidRPr="001C1C5C" w:rsidRDefault="00D57601" w:rsidP="00295EC7">
            <w:pPr>
              <w:pStyle w:val="Tabletext0"/>
              <w:jc w:val="center"/>
              <w:rPr>
                <w:caps/>
                <w:sz w:val="20"/>
              </w:rPr>
            </w:pPr>
            <w:r w:rsidRPr="001C1C5C">
              <w:rPr>
                <w:sz w:val="20"/>
              </w:rPr>
              <w:t>260</w:t>
            </w:r>
          </w:p>
        </w:tc>
        <w:tc>
          <w:tcPr>
            <w:tcW w:w="1701" w:type="dxa"/>
            <w:tcBorders>
              <w:top w:val="single" w:sz="4" w:space="0" w:color="auto"/>
              <w:bottom w:val="single" w:sz="4" w:space="0" w:color="auto"/>
            </w:tcBorders>
          </w:tcPr>
          <w:p w14:paraId="34A8659F" w14:textId="77777777" w:rsidR="00D57601" w:rsidRPr="001C1C5C" w:rsidRDefault="00D57601" w:rsidP="00295EC7">
            <w:pPr>
              <w:pStyle w:val="Tabletext0"/>
              <w:jc w:val="center"/>
              <w:rPr>
                <w:caps/>
                <w:sz w:val="20"/>
              </w:rPr>
            </w:pPr>
            <w:r w:rsidRPr="001C1C5C">
              <w:rPr>
                <w:sz w:val="20"/>
              </w:rPr>
              <w:t>122</w:t>
            </w:r>
          </w:p>
        </w:tc>
        <w:tc>
          <w:tcPr>
            <w:tcW w:w="1559" w:type="dxa"/>
            <w:tcBorders>
              <w:top w:val="single" w:sz="4" w:space="0" w:color="auto"/>
              <w:bottom w:val="single" w:sz="4" w:space="0" w:color="auto"/>
            </w:tcBorders>
          </w:tcPr>
          <w:p w14:paraId="3B4F5336" w14:textId="77777777" w:rsidR="00D57601" w:rsidRPr="001C1C5C" w:rsidRDefault="00D57601" w:rsidP="00295EC7">
            <w:pPr>
              <w:pStyle w:val="Tabletext0"/>
              <w:jc w:val="center"/>
              <w:rPr>
                <w:caps/>
                <w:sz w:val="20"/>
              </w:rPr>
            </w:pPr>
            <w:r w:rsidRPr="001C1C5C">
              <w:rPr>
                <w:sz w:val="20"/>
              </w:rPr>
              <w:t>0,75</w:t>
            </w:r>
          </w:p>
        </w:tc>
        <w:tc>
          <w:tcPr>
            <w:tcW w:w="1701" w:type="dxa"/>
            <w:tcBorders>
              <w:top w:val="single" w:sz="4" w:space="0" w:color="auto"/>
              <w:bottom w:val="single" w:sz="4" w:space="0" w:color="auto"/>
            </w:tcBorders>
          </w:tcPr>
          <w:p w14:paraId="6D381F46" w14:textId="77777777" w:rsidR="00D57601" w:rsidRPr="001C1C5C" w:rsidRDefault="00D57601" w:rsidP="00295EC7">
            <w:pPr>
              <w:pStyle w:val="Tabletext0"/>
              <w:jc w:val="center"/>
              <w:rPr>
                <w:caps/>
                <w:sz w:val="20"/>
              </w:rPr>
            </w:pPr>
            <w:r w:rsidRPr="001C1C5C">
              <w:rPr>
                <w:sz w:val="20"/>
              </w:rPr>
              <w:t>0,16</w:t>
            </w:r>
          </w:p>
        </w:tc>
        <w:tc>
          <w:tcPr>
            <w:tcW w:w="2409" w:type="dxa"/>
            <w:tcBorders>
              <w:top w:val="single" w:sz="4" w:space="0" w:color="auto"/>
              <w:bottom w:val="single" w:sz="4" w:space="0" w:color="auto"/>
            </w:tcBorders>
          </w:tcPr>
          <w:p w14:paraId="1D14A669" w14:textId="77777777" w:rsidR="00D57601" w:rsidRPr="001C1C5C" w:rsidRDefault="00D57601" w:rsidP="00295EC7">
            <w:pPr>
              <w:pStyle w:val="Tabletext0"/>
              <w:jc w:val="center"/>
              <w:rPr>
                <w:caps/>
                <w:sz w:val="20"/>
              </w:rPr>
            </w:pPr>
            <w:r w:rsidRPr="001C1C5C">
              <w:rPr>
                <w:sz w:val="20"/>
              </w:rPr>
              <w:t>500</w:t>
            </w:r>
          </w:p>
        </w:tc>
      </w:tr>
      <w:tr w:rsidR="00D57601" w14:paraId="42BC4DC3" w14:textId="77777777" w:rsidTr="00295EC7">
        <w:tc>
          <w:tcPr>
            <w:tcW w:w="1526" w:type="dxa"/>
            <w:tcBorders>
              <w:top w:val="single" w:sz="4" w:space="0" w:color="auto"/>
              <w:bottom w:val="single" w:sz="4" w:space="0" w:color="auto"/>
            </w:tcBorders>
          </w:tcPr>
          <w:p w14:paraId="1BF38036" w14:textId="77777777" w:rsidR="00D57601" w:rsidRPr="001C1C5C" w:rsidRDefault="00D57601" w:rsidP="00295EC7">
            <w:pPr>
              <w:pStyle w:val="Tabletext0"/>
              <w:jc w:val="center"/>
              <w:rPr>
                <w:caps/>
                <w:sz w:val="20"/>
              </w:rPr>
            </w:pPr>
            <w:r w:rsidRPr="001C1C5C">
              <w:rPr>
                <w:sz w:val="20"/>
              </w:rPr>
              <w:t>212</w:t>
            </w:r>
          </w:p>
        </w:tc>
        <w:tc>
          <w:tcPr>
            <w:tcW w:w="1701" w:type="dxa"/>
            <w:tcBorders>
              <w:top w:val="single" w:sz="4" w:space="0" w:color="auto"/>
              <w:bottom w:val="single" w:sz="4" w:space="0" w:color="auto"/>
            </w:tcBorders>
          </w:tcPr>
          <w:p w14:paraId="678A51AF" w14:textId="77777777" w:rsidR="00D57601" w:rsidRPr="001C1C5C" w:rsidRDefault="00D57601" w:rsidP="00295EC7">
            <w:pPr>
              <w:pStyle w:val="Tabletext0"/>
              <w:jc w:val="center"/>
              <w:rPr>
                <w:caps/>
                <w:sz w:val="20"/>
              </w:rPr>
            </w:pPr>
            <w:r w:rsidRPr="001C1C5C">
              <w:rPr>
                <w:sz w:val="20"/>
              </w:rPr>
              <w:t>99</w:t>
            </w:r>
          </w:p>
        </w:tc>
        <w:tc>
          <w:tcPr>
            <w:tcW w:w="1559" w:type="dxa"/>
            <w:tcBorders>
              <w:top w:val="single" w:sz="4" w:space="0" w:color="auto"/>
              <w:bottom w:val="single" w:sz="4" w:space="0" w:color="auto"/>
            </w:tcBorders>
          </w:tcPr>
          <w:p w14:paraId="406C9E03" w14:textId="77777777" w:rsidR="00D57601" w:rsidRPr="001C1C5C" w:rsidRDefault="00D57601" w:rsidP="00295EC7">
            <w:pPr>
              <w:pStyle w:val="Tabletext0"/>
              <w:jc w:val="center"/>
              <w:rPr>
                <w:caps/>
                <w:sz w:val="20"/>
              </w:rPr>
            </w:pPr>
            <w:r w:rsidRPr="001C1C5C">
              <w:rPr>
                <w:sz w:val="20"/>
              </w:rPr>
              <w:t>0,5</w:t>
            </w:r>
          </w:p>
        </w:tc>
        <w:tc>
          <w:tcPr>
            <w:tcW w:w="1701" w:type="dxa"/>
            <w:tcBorders>
              <w:top w:val="single" w:sz="4" w:space="0" w:color="auto"/>
              <w:bottom w:val="single" w:sz="4" w:space="0" w:color="auto"/>
            </w:tcBorders>
          </w:tcPr>
          <w:p w14:paraId="21F6A119" w14:textId="77777777" w:rsidR="00D57601" w:rsidRPr="001C1C5C" w:rsidRDefault="00D57601" w:rsidP="00295EC7">
            <w:pPr>
              <w:pStyle w:val="Tabletext0"/>
              <w:jc w:val="center"/>
              <w:rPr>
                <w:caps/>
                <w:sz w:val="20"/>
              </w:rPr>
            </w:pPr>
            <w:r w:rsidRPr="001C1C5C">
              <w:rPr>
                <w:sz w:val="20"/>
              </w:rPr>
              <w:t>0,11</w:t>
            </w:r>
          </w:p>
        </w:tc>
        <w:tc>
          <w:tcPr>
            <w:tcW w:w="2409" w:type="dxa"/>
            <w:tcBorders>
              <w:top w:val="single" w:sz="4" w:space="0" w:color="auto"/>
              <w:bottom w:val="single" w:sz="4" w:space="0" w:color="auto"/>
            </w:tcBorders>
          </w:tcPr>
          <w:p w14:paraId="0D8F04EA" w14:textId="77777777" w:rsidR="00D57601" w:rsidRPr="001C1C5C" w:rsidRDefault="00D57601" w:rsidP="00295EC7">
            <w:pPr>
              <w:pStyle w:val="Tabletext0"/>
              <w:jc w:val="center"/>
              <w:rPr>
                <w:caps/>
                <w:sz w:val="20"/>
              </w:rPr>
            </w:pPr>
            <w:r w:rsidRPr="001C1C5C">
              <w:rPr>
                <w:sz w:val="20"/>
              </w:rPr>
              <w:t>400</w:t>
            </w:r>
          </w:p>
        </w:tc>
      </w:tr>
      <w:tr w:rsidR="00D57601" w14:paraId="518A7838" w14:textId="77777777" w:rsidTr="00295EC7">
        <w:tc>
          <w:tcPr>
            <w:tcW w:w="1526" w:type="dxa"/>
            <w:tcBorders>
              <w:top w:val="single" w:sz="4" w:space="0" w:color="auto"/>
              <w:bottom w:val="single" w:sz="4" w:space="0" w:color="auto"/>
            </w:tcBorders>
          </w:tcPr>
          <w:p w14:paraId="4D0019FD" w14:textId="77777777" w:rsidR="00D57601" w:rsidRPr="001C1C5C" w:rsidRDefault="00D57601" w:rsidP="00295EC7">
            <w:pPr>
              <w:pStyle w:val="Tabletext0"/>
              <w:jc w:val="center"/>
              <w:rPr>
                <w:caps/>
                <w:sz w:val="20"/>
              </w:rPr>
            </w:pPr>
            <w:r w:rsidRPr="001C1C5C">
              <w:rPr>
                <w:sz w:val="20"/>
              </w:rPr>
              <w:t>150</w:t>
            </w:r>
          </w:p>
        </w:tc>
        <w:tc>
          <w:tcPr>
            <w:tcW w:w="1701" w:type="dxa"/>
            <w:tcBorders>
              <w:top w:val="single" w:sz="4" w:space="0" w:color="auto"/>
              <w:bottom w:val="single" w:sz="4" w:space="0" w:color="auto"/>
            </w:tcBorders>
          </w:tcPr>
          <w:p w14:paraId="17F1EB2F" w14:textId="77777777" w:rsidR="00D57601" w:rsidRPr="001C1C5C" w:rsidRDefault="00D57601" w:rsidP="00295EC7">
            <w:pPr>
              <w:pStyle w:val="Tabletext0"/>
              <w:jc w:val="center"/>
              <w:rPr>
                <w:caps/>
                <w:sz w:val="20"/>
              </w:rPr>
            </w:pPr>
            <w:r w:rsidRPr="001C1C5C">
              <w:rPr>
                <w:sz w:val="20"/>
              </w:rPr>
              <w:t>70</w:t>
            </w:r>
          </w:p>
        </w:tc>
        <w:tc>
          <w:tcPr>
            <w:tcW w:w="1559" w:type="dxa"/>
            <w:tcBorders>
              <w:top w:val="single" w:sz="4" w:space="0" w:color="auto"/>
              <w:bottom w:val="single" w:sz="4" w:space="0" w:color="auto"/>
            </w:tcBorders>
          </w:tcPr>
          <w:p w14:paraId="36D82F9C" w14:textId="77777777" w:rsidR="00D57601" w:rsidRPr="001C1C5C" w:rsidRDefault="00D57601" w:rsidP="00295EC7">
            <w:pPr>
              <w:pStyle w:val="Tabletext0"/>
              <w:jc w:val="center"/>
              <w:rPr>
                <w:caps/>
                <w:sz w:val="20"/>
              </w:rPr>
            </w:pPr>
            <w:r w:rsidRPr="001C1C5C">
              <w:rPr>
                <w:sz w:val="20"/>
              </w:rPr>
              <w:t>0,25</w:t>
            </w:r>
          </w:p>
        </w:tc>
        <w:tc>
          <w:tcPr>
            <w:tcW w:w="1701" w:type="dxa"/>
            <w:tcBorders>
              <w:top w:val="single" w:sz="4" w:space="0" w:color="auto"/>
              <w:bottom w:val="single" w:sz="4" w:space="0" w:color="auto"/>
            </w:tcBorders>
          </w:tcPr>
          <w:p w14:paraId="1EA73CBB" w14:textId="77777777" w:rsidR="00D57601" w:rsidRPr="001C1C5C" w:rsidRDefault="00D57601" w:rsidP="00295EC7">
            <w:pPr>
              <w:pStyle w:val="Tabletext0"/>
              <w:jc w:val="center"/>
              <w:rPr>
                <w:caps/>
                <w:sz w:val="20"/>
              </w:rPr>
            </w:pPr>
            <w:r w:rsidRPr="001C1C5C">
              <w:rPr>
                <w:sz w:val="20"/>
              </w:rPr>
              <w:t>0,055</w:t>
            </w:r>
          </w:p>
        </w:tc>
        <w:tc>
          <w:tcPr>
            <w:tcW w:w="2409" w:type="dxa"/>
            <w:tcBorders>
              <w:top w:val="single" w:sz="4" w:space="0" w:color="auto"/>
              <w:bottom w:val="single" w:sz="4" w:space="0" w:color="auto"/>
            </w:tcBorders>
          </w:tcPr>
          <w:p w14:paraId="10D1893C" w14:textId="77777777" w:rsidR="00D57601" w:rsidRPr="001C1C5C" w:rsidRDefault="00D57601" w:rsidP="00295EC7">
            <w:pPr>
              <w:pStyle w:val="Tabletext0"/>
              <w:jc w:val="center"/>
              <w:rPr>
                <w:caps/>
                <w:sz w:val="20"/>
              </w:rPr>
            </w:pPr>
            <w:r w:rsidRPr="001C1C5C">
              <w:rPr>
                <w:sz w:val="20"/>
              </w:rPr>
              <w:t>200, 300</w:t>
            </w:r>
            <w:r w:rsidRPr="001C1C5C">
              <w:rPr>
                <w:position w:val="6"/>
                <w:sz w:val="20"/>
              </w:rPr>
              <w:t>*</w:t>
            </w:r>
          </w:p>
        </w:tc>
      </w:tr>
      <w:tr w:rsidR="00D57601" w14:paraId="5CEAF919" w14:textId="77777777" w:rsidTr="00295EC7">
        <w:tc>
          <w:tcPr>
            <w:tcW w:w="1526" w:type="dxa"/>
            <w:tcBorders>
              <w:top w:val="single" w:sz="4" w:space="0" w:color="auto"/>
              <w:bottom w:val="single" w:sz="4" w:space="0" w:color="auto"/>
            </w:tcBorders>
          </w:tcPr>
          <w:p w14:paraId="4832E9BD" w14:textId="77777777" w:rsidR="00D57601" w:rsidRPr="001C1C5C" w:rsidRDefault="00D57601" w:rsidP="00295EC7">
            <w:pPr>
              <w:pStyle w:val="Tabletext0"/>
              <w:jc w:val="center"/>
              <w:rPr>
                <w:caps/>
                <w:sz w:val="20"/>
              </w:rPr>
            </w:pPr>
            <w:r w:rsidRPr="001C1C5C">
              <w:rPr>
                <w:sz w:val="20"/>
              </w:rPr>
              <w:t>95</w:t>
            </w:r>
          </w:p>
        </w:tc>
        <w:tc>
          <w:tcPr>
            <w:tcW w:w="1701" w:type="dxa"/>
            <w:tcBorders>
              <w:top w:val="single" w:sz="4" w:space="0" w:color="auto"/>
              <w:bottom w:val="single" w:sz="4" w:space="0" w:color="auto"/>
            </w:tcBorders>
          </w:tcPr>
          <w:p w14:paraId="643DD8FD" w14:textId="77777777" w:rsidR="00D57601" w:rsidRPr="001C1C5C" w:rsidRDefault="00D57601" w:rsidP="00295EC7">
            <w:pPr>
              <w:pStyle w:val="Tabletext0"/>
              <w:jc w:val="center"/>
              <w:rPr>
                <w:caps/>
                <w:sz w:val="20"/>
              </w:rPr>
            </w:pPr>
            <w:r w:rsidRPr="001C1C5C">
              <w:rPr>
                <w:sz w:val="20"/>
              </w:rPr>
              <w:t>44</w:t>
            </w:r>
          </w:p>
        </w:tc>
        <w:tc>
          <w:tcPr>
            <w:tcW w:w="1559" w:type="dxa"/>
            <w:tcBorders>
              <w:top w:val="single" w:sz="4" w:space="0" w:color="auto"/>
              <w:bottom w:val="single" w:sz="4" w:space="0" w:color="auto"/>
            </w:tcBorders>
          </w:tcPr>
          <w:p w14:paraId="33BA603E" w14:textId="77777777" w:rsidR="00D57601" w:rsidRPr="001C1C5C" w:rsidRDefault="00D57601" w:rsidP="00295EC7">
            <w:pPr>
              <w:pStyle w:val="Tabletext0"/>
              <w:jc w:val="center"/>
              <w:rPr>
                <w:caps/>
                <w:sz w:val="20"/>
              </w:rPr>
            </w:pPr>
            <w:r w:rsidRPr="001C1C5C">
              <w:rPr>
                <w:sz w:val="20"/>
              </w:rPr>
              <w:t>0,1</w:t>
            </w:r>
          </w:p>
        </w:tc>
        <w:tc>
          <w:tcPr>
            <w:tcW w:w="1701" w:type="dxa"/>
            <w:tcBorders>
              <w:top w:val="single" w:sz="4" w:space="0" w:color="auto"/>
              <w:bottom w:val="single" w:sz="4" w:space="0" w:color="auto"/>
            </w:tcBorders>
          </w:tcPr>
          <w:p w14:paraId="100AE772" w14:textId="77777777" w:rsidR="00D57601" w:rsidRPr="001C1C5C" w:rsidRDefault="00D57601" w:rsidP="00295EC7">
            <w:pPr>
              <w:pStyle w:val="Tabletext0"/>
              <w:jc w:val="center"/>
              <w:rPr>
                <w:caps/>
                <w:sz w:val="20"/>
              </w:rPr>
            </w:pPr>
            <w:r w:rsidRPr="001C1C5C">
              <w:rPr>
                <w:sz w:val="20"/>
              </w:rPr>
              <w:t>0,022</w:t>
            </w:r>
          </w:p>
        </w:tc>
        <w:tc>
          <w:tcPr>
            <w:tcW w:w="2409" w:type="dxa"/>
            <w:tcBorders>
              <w:top w:val="single" w:sz="4" w:space="0" w:color="auto"/>
              <w:bottom w:val="single" w:sz="4" w:space="0" w:color="auto"/>
            </w:tcBorders>
          </w:tcPr>
          <w:p w14:paraId="0D5DA761" w14:textId="77777777" w:rsidR="00D57601" w:rsidRPr="001C1C5C" w:rsidRDefault="00D57601" w:rsidP="00295EC7">
            <w:pPr>
              <w:pStyle w:val="Tabletext0"/>
              <w:jc w:val="center"/>
              <w:rPr>
                <w:caps/>
                <w:sz w:val="20"/>
              </w:rPr>
            </w:pPr>
            <w:r w:rsidRPr="001C1C5C">
              <w:rPr>
                <w:sz w:val="20"/>
              </w:rPr>
              <w:t>70, 250</w:t>
            </w:r>
            <w:r w:rsidRPr="001C1C5C">
              <w:rPr>
                <w:position w:val="6"/>
                <w:sz w:val="20"/>
              </w:rPr>
              <w:t>*</w:t>
            </w:r>
          </w:p>
        </w:tc>
      </w:tr>
      <w:tr w:rsidR="00D57601" w14:paraId="5BE97D19" w14:textId="77777777" w:rsidTr="00295EC7">
        <w:tc>
          <w:tcPr>
            <w:tcW w:w="1526" w:type="dxa"/>
            <w:tcBorders>
              <w:top w:val="single" w:sz="4" w:space="0" w:color="auto"/>
              <w:bottom w:val="single" w:sz="4" w:space="0" w:color="auto"/>
            </w:tcBorders>
          </w:tcPr>
          <w:p w14:paraId="3D630B26" w14:textId="77777777" w:rsidR="00D57601" w:rsidRPr="001C1C5C" w:rsidRDefault="00D57601" w:rsidP="00295EC7">
            <w:pPr>
              <w:pStyle w:val="Tabletext0"/>
              <w:jc w:val="center"/>
              <w:rPr>
                <w:caps/>
                <w:sz w:val="20"/>
              </w:rPr>
            </w:pPr>
            <w:r w:rsidRPr="001C1C5C">
              <w:rPr>
                <w:sz w:val="20"/>
              </w:rPr>
              <w:t>67</w:t>
            </w:r>
          </w:p>
        </w:tc>
        <w:tc>
          <w:tcPr>
            <w:tcW w:w="1701" w:type="dxa"/>
            <w:tcBorders>
              <w:top w:val="single" w:sz="4" w:space="0" w:color="auto"/>
              <w:bottom w:val="single" w:sz="4" w:space="0" w:color="auto"/>
            </w:tcBorders>
          </w:tcPr>
          <w:p w14:paraId="1BAF8D32" w14:textId="77777777" w:rsidR="00D57601" w:rsidRPr="001C1C5C" w:rsidRDefault="00D57601" w:rsidP="00295EC7">
            <w:pPr>
              <w:pStyle w:val="Tabletext0"/>
              <w:jc w:val="center"/>
              <w:rPr>
                <w:caps/>
                <w:sz w:val="20"/>
              </w:rPr>
            </w:pPr>
            <w:r w:rsidRPr="001C1C5C">
              <w:rPr>
                <w:sz w:val="20"/>
              </w:rPr>
              <w:t>31</w:t>
            </w:r>
          </w:p>
        </w:tc>
        <w:tc>
          <w:tcPr>
            <w:tcW w:w="1559" w:type="dxa"/>
            <w:tcBorders>
              <w:top w:val="single" w:sz="4" w:space="0" w:color="auto"/>
              <w:bottom w:val="single" w:sz="4" w:space="0" w:color="auto"/>
            </w:tcBorders>
          </w:tcPr>
          <w:p w14:paraId="38C86938" w14:textId="77777777" w:rsidR="00D57601" w:rsidRPr="001C1C5C" w:rsidRDefault="00D57601" w:rsidP="00295EC7">
            <w:pPr>
              <w:pStyle w:val="Tabletext0"/>
              <w:jc w:val="center"/>
              <w:rPr>
                <w:caps/>
                <w:sz w:val="20"/>
              </w:rPr>
            </w:pPr>
            <w:r w:rsidRPr="001C1C5C">
              <w:rPr>
                <w:sz w:val="20"/>
              </w:rPr>
              <w:t>0,05</w:t>
            </w:r>
          </w:p>
        </w:tc>
        <w:tc>
          <w:tcPr>
            <w:tcW w:w="1701" w:type="dxa"/>
            <w:tcBorders>
              <w:top w:val="single" w:sz="4" w:space="0" w:color="auto"/>
              <w:bottom w:val="single" w:sz="4" w:space="0" w:color="auto"/>
            </w:tcBorders>
          </w:tcPr>
          <w:p w14:paraId="7B7949B4" w14:textId="77777777" w:rsidR="00D57601" w:rsidRPr="001C1C5C" w:rsidRDefault="00D57601" w:rsidP="00295EC7">
            <w:pPr>
              <w:pStyle w:val="Tabletext0"/>
              <w:jc w:val="center"/>
              <w:rPr>
                <w:caps/>
                <w:sz w:val="20"/>
              </w:rPr>
            </w:pPr>
            <w:r w:rsidRPr="001C1C5C">
              <w:rPr>
                <w:sz w:val="20"/>
              </w:rPr>
              <w:t>0,011</w:t>
            </w:r>
          </w:p>
        </w:tc>
        <w:tc>
          <w:tcPr>
            <w:tcW w:w="2409" w:type="dxa"/>
            <w:tcBorders>
              <w:top w:val="single" w:sz="4" w:space="0" w:color="auto"/>
              <w:bottom w:val="single" w:sz="4" w:space="0" w:color="auto"/>
            </w:tcBorders>
          </w:tcPr>
          <w:p w14:paraId="770D7FB7" w14:textId="77777777" w:rsidR="00D57601" w:rsidRPr="001C1C5C" w:rsidRDefault="00D57601" w:rsidP="00295EC7">
            <w:pPr>
              <w:pStyle w:val="Tabletext0"/>
              <w:jc w:val="center"/>
              <w:rPr>
                <w:caps/>
                <w:sz w:val="20"/>
              </w:rPr>
            </w:pPr>
            <w:r w:rsidRPr="001C1C5C">
              <w:rPr>
                <w:sz w:val="20"/>
              </w:rPr>
              <w:t>50, 200</w:t>
            </w:r>
            <w:r w:rsidRPr="001C1C5C">
              <w:rPr>
                <w:position w:val="6"/>
                <w:sz w:val="20"/>
              </w:rPr>
              <w:t>*</w:t>
            </w:r>
          </w:p>
        </w:tc>
      </w:tr>
      <w:tr w:rsidR="00D57601" w:rsidRPr="00122D16" w14:paraId="39A7DB43" w14:textId="77777777" w:rsidTr="00295EC7">
        <w:tc>
          <w:tcPr>
            <w:tcW w:w="8896" w:type="dxa"/>
            <w:gridSpan w:val="5"/>
            <w:tcBorders>
              <w:top w:val="single" w:sz="4" w:space="0" w:color="auto"/>
              <w:left w:val="nil"/>
              <w:bottom w:val="nil"/>
              <w:right w:val="nil"/>
            </w:tcBorders>
          </w:tcPr>
          <w:p w14:paraId="27711E65" w14:textId="77777777" w:rsidR="00D57601" w:rsidRPr="007E4690" w:rsidRDefault="00D57601" w:rsidP="00295EC7">
            <w:pPr>
              <w:tabs>
                <w:tab w:val="left" w:pos="284"/>
              </w:tabs>
              <w:rPr>
                <w:sz w:val="20"/>
                <w:lang w:val="fr-CH"/>
              </w:rPr>
            </w:pPr>
            <w:r w:rsidRPr="007E4690">
              <w:rPr>
                <w:position w:val="6"/>
                <w:sz w:val="20"/>
                <w:lang w:val="fr-CH"/>
              </w:rPr>
              <w:t>*</w:t>
            </w:r>
            <w:r w:rsidRPr="007E4690">
              <w:rPr>
                <w:position w:val="6"/>
                <w:sz w:val="20"/>
                <w:lang w:val="fr-CH"/>
              </w:rPr>
              <w:tab/>
              <w:t>Valeurs pour un trajet de propagation au-dessus de la mer.</w:t>
            </w:r>
          </w:p>
        </w:tc>
      </w:tr>
    </w:tbl>
    <w:p w14:paraId="7793799F" w14:textId="77777777" w:rsidR="00D57601" w:rsidRPr="007E4690" w:rsidRDefault="00D57601" w:rsidP="00D57601">
      <w:pPr>
        <w:tabs>
          <w:tab w:val="left" w:pos="284"/>
        </w:tabs>
        <w:rPr>
          <w:position w:val="6"/>
          <w:sz w:val="22"/>
          <w:szCs w:val="22"/>
          <w:lang w:val="fr-CH"/>
        </w:rPr>
      </w:pPr>
      <w:r w:rsidRPr="007E4690">
        <w:rPr>
          <w:sz w:val="22"/>
          <w:szCs w:val="22"/>
          <w:lang w:val="fr-CH"/>
        </w:rPr>
        <w:t>NOTE – On a obtenu les distances de coordination correspondantes pour les assignations de fréquence utilisant la modulation numérique en réduisant la p.a.r.v. de 6,6 dB, ce qui représente l'augmentation, pour le cas le plus défavorable, des rapports de protection dans le cas d'assignations utilisant la modulation numérique brouillant des assignations utilisant la modulation analogique, par comparaison avec les cas de brouillages mutuels entre assignations utilisant la modulation analogique.</w:t>
      </w:r>
    </w:p>
    <w:p w14:paraId="6FADB242" w14:textId="77777777" w:rsidR="00D57601" w:rsidRPr="0072304B" w:rsidRDefault="00D57601" w:rsidP="008202FF">
      <w:pPr>
        <w:rPr>
          <w:lang w:val="fr-FR"/>
        </w:rPr>
      </w:pPr>
      <w:r>
        <w:rPr>
          <w:lang w:val="fr-FR"/>
        </w:rPr>
        <w:br w:type="page"/>
      </w:r>
      <w:r w:rsidRPr="0072304B">
        <w:rPr>
          <w:lang w:val="fr-FR"/>
        </w:rPr>
        <w:lastRenderedPageBreak/>
        <w:t>Dans le cas de trajet mixte (en partie terrestre et en partie maritime), la distance limite est calculée de la façon suivante:</w:t>
      </w:r>
    </w:p>
    <w:p w14:paraId="759C8496" w14:textId="77777777" w:rsidR="00D57601" w:rsidRPr="0072304B" w:rsidRDefault="00D57601" w:rsidP="00D57601">
      <w:pPr>
        <w:pStyle w:val="Equation"/>
        <w:tabs>
          <w:tab w:val="clear" w:pos="4678"/>
          <w:tab w:val="center" w:pos="4536"/>
        </w:tabs>
        <w:rPr>
          <w:lang w:val="fr-FR"/>
        </w:rPr>
      </w:pPr>
      <w:r w:rsidRPr="0072304B">
        <w:rPr>
          <w:lang w:val="fr-FR"/>
        </w:rPr>
        <w:tab/>
      </w:r>
      <w:r w:rsidRPr="0072304B">
        <w:rPr>
          <w:lang w:val="fr-FR"/>
        </w:rPr>
        <w:tab/>
        <w:t xml:space="preserve">Distance limite  </w:t>
      </w:r>
      <w:r w:rsidRPr="0072304B">
        <w:rPr>
          <w:rFonts w:ascii="Symbol" w:hAnsi="Symbol"/>
          <w:lang w:val="fr-FR"/>
        </w:rPr>
        <w:t></w:t>
      </w:r>
      <w:r w:rsidRPr="0072304B">
        <w:rPr>
          <w:lang w:val="fr-FR"/>
        </w:rPr>
        <w:t xml:space="preserve">  </w:t>
      </w:r>
      <w:r w:rsidRPr="0072304B">
        <w:rPr>
          <w:position w:val="-28"/>
          <w:lang w:val="fr-FR"/>
        </w:rPr>
        <w:object w:dxaOrig="2780" w:dyaOrig="680" w14:anchorId="41EF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15pt;height:33.3pt" o:ole="">
            <v:imagedata r:id="rId11" o:title=""/>
          </v:shape>
          <o:OLEObject Type="Embed" ProgID="Equation.2" ShapeID="_x0000_i1025" DrawAspect="Content" ObjectID="_1682750911" r:id="rId12"/>
        </w:object>
      </w:r>
    </w:p>
    <w:p w14:paraId="10975D04" w14:textId="77777777" w:rsidR="00D57601" w:rsidRPr="0072304B" w:rsidRDefault="00D57601" w:rsidP="00D57601">
      <w:pPr>
        <w:spacing w:before="0"/>
        <w:rPr>
          <w:lang w:val="fr-FR"/>
        </w:rPr>
      </w:pPr>
      <w:r w:rsidRPr="0072304B">
        <w:rPr>
          <w:lang w:val="fr-FR"/>
        </w:rPr>
        <w:t>où:</w:t>
      </w:r>
    </w:p>
    <w:p w14:paraId="19D812EF" w14:textId="77777777" w:rsidR="00D57601" w:rsidRPr="0072304B" w:rsidRDefault="00D57601" w:rsidP="00D57601">
      <w:pPr>
        <w:pStyle w:val="EquationLegend"/>
        <w:rPr>
          <w:lang w:val="fr-FR"/>
        </w:rPr>
      </w:pPr>
      <w:r w:rsidRPr="0072304B">
        <w:rPr>
          <w:i/>
          <w:lang w:val="fr-FR"/>
        </w:rPr>
        <w:t>D</w:t>
      </w:r>
      <w:r w:rsidRPr="0072304B">
        <w:rPr>
          <w:i/>
          <w:iCs/>
          <w:vertAlign w:val="subscript"/>
          <w:lang w:val="fr-FR"/>
        </w:rPr>
        <w:t>l</w:t>
      </w:r>
      <w:r w:rsidRPr="0072304B">
        <w:rPr>
          <w:rFonts w:ascii="Tms Rmn" w:hAnsi="Tms Rmn"/>
          <w:i/>
          <w:position w:val="-4"/>
          <w:sz w:val="12"/>
          <w:lang w:val="fr-FR"/>
        </w:rPr>
        <w:t> </w:t>
      </w:r>
      <w:r w:rsidRPr="0072304B">
        <w:rPr>
          <w:lang w:val="fr-FR"/>
        </w:rPr>
        <w:t>:</w:t>
      </w:r>
      <w:r w:rsidRPr="0072304B">
        <w:rPr>
          <w:lang w:val="fr-FR"/>
        </w:rPr>
        <w:tab/>
        <w:t>distance totale du trajet terrestre (km)</w:t>
      </w:r>
    </w:p>
    <w:p w14:paraId="115B224F" w14:textId="77777777" w:rsidR="00D57601" w:rsidRPr="0072304B" w:rsidRDefault="00D57601" w:rsidP="00D57601">
      <w:pPr>
        <w:pStyle w:val="EquationLegend"/>
        <w:rPr>
          <w:lang w:val="fr-FR"/>
        </w:rPr>
      </w:pPr>
      <w:r w:rsidRPr="0072304B">
        <w:rPr>
          <w:i/>
          <w:lang w:val="fr-FR"/>
        </w:rPr>
        <w:t>D</w:t>
      </w:r>
      <w:r w:rsidRPr="0072304B">
        <w:rPr>
          <w:i/>
          <w:iCs/>
          <w:vertAlign w:val="subscript"/>
          <w:lang w:val="fr-FR"/>
        </w:rPr>
        <w:t>s</w:t>
      </w:r>
      <w:r w:rsidRPr="0072304B">
        <w:rPr>
          <w:rFonts w:ascii="Tms Rmn" w:hAnsi="Tms Rmn"/>
          <w:i/>
          <w:position w:val="-4"/>
          <w:sz w:val="12"/>
          <w:lang w:val="fr-FR"/>
        </w:rPr>
        <w:t> </w:t>
      </w:r>
      <w:r w:rsidRPr="0072304B">
        <w:rPr>
          <w:lang w:val="fr-FR"/>
        </w:rPr>
        <w:t>:</w:t>
      </w:r>
      <w:r w:rsidRPr="0072304B">
        <w:rPr>
          <w:lang w:val="fr-FR"/>
        </w:rPr>
        <w:tab/>
        <w:t>distance totale du trajet maritime (km)</w:t>
      </w:r>
    </w:p>
    <w:p w14:paraId="703FEF1D" w14:textId="77777777" w:rsidR="00D57601" w:rsidRPr="0072304B" w:rsidRDefault="00D57601" w:rsidP="00D57601">
      <w:pPr>
        <w:pStyle w:val="EquationLegend"/>
        <w:ind w:left="1871" w:hanging="737"/>
        <w:rPr>
          <w:lang w:val="fr-FR"/>
        </w:rPr>
      </w:pPr>
      <w:r w:rsidRPr="0072304B">
        <w:rPr>
          <w:i/>
          <w:lang w:val="fr-FR"/>
        </w:rPr>
        <w:t>V</w:t>
      </w:r>
      <w:r w:rsidRPr="0072304B">
        <w:rPr>
          <w:i/>
          <w:iCs/>
          <w:vertAlign w:val="subscript"/>
          <w:lang w:val="fr-FR"/>
        </w:rPr>
        <w:t>l</w:t>
      </w:r>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terrestre</w:t>
      </w:r>
    </w:p>
    <w:p w14:paraId="5FC51123" w14:textId="77777777" w:rsidR="00D57601" w:rsidRPr="0072304B" w:rsidRDefault="00D57601" w:rsidP="00D57601">
      <w:pPr>
        <w:pStyle w:val="EquationLegend"/>
        <w:ind w:left="1871" w:hanging="737"/>
        <w:rPr>
          <w:lang w:val="fr-FR"/>
        </w:rPr>
      </w:pPr>
      <w:r w:rsidRPr="0072304B">
        <w:rPr>
          <w:i/>
          <w:lang w:val="fr-FR"/>
        </w:rPr>
        <w:t>V</w:t>
      </w:r>
      <w:r w:rsidRPr="0072304B">
        <w:rPr>
          <w:i/>
          <w:iCs/>
          <w:vertAlign w:val="subscript"/>
          <w:lang w:val="fr-FR"/>
        </w:rPr>
        <w:t>s</w:t>
      </w:r>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maritime.</w:t>
      </w:r>
    </w:p>
    <w:p w14:paraId="262F513F" w14:textId="77777777" w:rsidR="00D57601" w:rsidRPr="0072304B" w:rsidRDefault="00D57601" w:rsidP="00D57601">
      <w:pPr>
        <w:pStyle w:val="Heading8"/>
        <w:rPr>
          <w:lang w:val="fr-FR"/>
        </w:rPr>
      </w:pPr>
      <w:r w:rsidRPr="0072304B">
        <w:rPr>
          <w:lang w:val="fr-FR"/>
        </w:rPr>
        <w:t>R</w:t>
      </w:r>
      <w:r>
        <w:rPr>
          <w:lang w:val="fr-FR"/>
        </w:rPr>
        <w:t>é</w:t>
      </w:r>
      <w:r w:rsidRPr="0072304B">
        <w:rPr>
          <w:lang w:val="fr-FR"/>
        </w:rPr>
        <w:t>s. 8</w:t>
      </w:r>
    </w:p>
    <w:p w14:paraId="004C9616" w14:textId="77777777" w:rsidR="00D57601" w:rsidRPr="0072304B" w:rsidRDefault="00D57601" w:rsidP="00D57601">
      <w:pPr>
        <w:rPr>
          <w:lang w:val="fr-FR"/>
        </w:rPr>
      </w:pPr>
      <w:r w:rsidRPr="0072304B">
        <w:rPr>
          <w:lang w:val="fr-FR"/>
        </w:rPr>
        <w:t>Par sa Résolution 8, la Conférence administrative régionale de radiodiffusion sur ondes kilo</w:t>
      </w:r>
      <w:r w:rsidRPr="0072304B">
        <w:rPr>
          <w:lang w:val="fr-FR"/>
        </w:rPr>
        <w:softHyphen/>
        <w:t>metriques et hectométriques (Régions 1 à 3) (Genève, 1975) a décidé:</w:t>
      </w:r>
    </w:p>
    <w:p w14:paraId="15268650" w14:textId="77777777" w:rsidR="00D57601" w:rsidRPr="0072304B" w:rsidRDefault="00D57601" w:rsidP="00D57601">
      <w:pPr>
        <w:pStyle w:val="enumlev1"/>
        <w:ind w:left="0" w:firstLine="0"/>
        <w:rPr>
          <w:i/>
          <w:iCs/>
          <w:lang w:val="fr-FR"/>
        </w:rPr>
      </w:pPr>
      <w:r w:rsidRPr="0072304B">
        <w:rPr>
          <w:i/>
          <w:iCs/>
          <w:lang w:val="fr-FR"/>
        </w:rPr>
        <w:t>«1.</w:t>
      </w:r>
      <w:r w:rsidRPr="0072304B">
        <w:rPr>
          <w:i/>
          <w:iCs/>
          <w:lang w:val="fr-FR"/>
        </w:rPr>
        <w:tab/>
        <w:t>que les stations de radiodiffusion peuvent provisoirement utiliser des procédés de modulation permettant une économie de largeur de bande, à condition que le brouillage causé, dans les mêmes canaux ou des canaux adjacents, ne dépasse le brouillage causé par l'application de la modulation à double bande latérale avec porteuse complète (A3E);</w:t>
      </w:r>
    </w:p>
    <w:p w14:paraId="01FB6703" w14:textId="77777777" w:rsidR="00D57601" w:rsidRPr="0072304B" w:rsidRDefault="00D57601" w:rsidP="00D57601">
      <w:pPr>
        <w:pStyle w:val="enumlev1"/>
        <w:ind w:left="0" w:firstLine="0"/>
        <w:rPr>
          <w:lang w:val="fr-FR"/>
        </w:rPr>
      </w:pPr>
      <w:r w:rsidRPr="0072304B">
        <w:rPr>
          <w:i/>
          <w:iCs/>
          <w:lang w:val="fr-FR"/>
        </w:rPr>
        <w:t>2.</w:t>
      </w:r>
      <w:r w:rsidRPr="0072304B">
        <w:rPr>
          <w:i/>
          <w:iCs/>
          <w:lang w:val="fr-FR"/>
        </w:rPr>
        <w:tab/>
        <w:t>que toute administration qui envisage d'utiliser ces classes d'émission recherche l'accord de toute administration intéressée en appliquant la procédure de l'Article 4 de l'Accord.».</w:t>
      </w:r>
    </w:p>
    <w:p w14:paraId="24AB858F" w14:textId="77777777" w:rsidR="00D57601" w:rsidRPr="0072304B" w:rsidRDefault="00D57601" w:rsidP="0065378D">
      <w:pPr>
        <w:rPr>
          <w:lang w:val="fr-FR"/>
        </w:rPr>
      </w:pPr>
      <w:r w:rsidRPr="0072304B">
        <w:rPr>
          <w:lang w:val="fr-FR"/>
        </w:rPr>
        <w:t>Après avoir examiné les études pertinentes de l'UIT</w:t>
      </w:r>
      <w:r w:rsidRPr="0072304B">
        <w:rPr>
          <w:lang w:val="fr-FR"/>
        </w:rPr>
        <w:noBreakHyphen/>
        <w:t>R, le Comité a décidé qu'une assignation de fréquence pour la radiodiffusion en modulation d'amplitude (MA) figurant dans le Plan pouvait être utilisée provisoirement avec la modulation numérique (émission de type DRM</w:t>
      </w:r>
      <w:r w:rsidR="0065378D">
        <w:rPr>
          <w:lang w:val="fr-FR"/>
        </w:rPr>
        <w:t> </w:t>
      </w:r>
      <w:r w:rsidRPr="0072304B">
        <w:rPr>
          <w:lang w:val="fr-FR"/>
        </w:rPr>
        <w:t>A2 ou B2), à condition que le rayonnement soit réduit d'au moins 7 dB dans toutes les directions par rapport au rayonnement de l'assignation de fréquence modulée en amplitude figurant dans le Plan.</w:t>
      </w:r>
    </w:p>
    <w:p w14:paraId="632F9613" w14:textId="77777777" w:rsidR="00D57601" w:rsidRPr="0072304B" w:rsidRDefault="00D57601" w:rsidP="00D57601">
      <w:pPr>
        <w:rPr>
          <w:lang w:val="fr-FR"/>
        </w:rPr>
      </w:pPr>
      <w:r w:rsidRPr="0072304B">
        <w:rPr>
          <w:lang w:val="fr-FR"/>
        </w:rPr>
        <w:t xml:space="preserve">En conséquence, lorsqu'il examinera la conformité au Plan GE75 d'une fiche de notification reçue au titre de l'Article </w:t>
      </w:r>
      <w:r w:rsidRPr="0072304B">
        <w:rPr>
          <w:rStyle w:val="Artref"/>
          <w:b/>
          <w:bCs/>
          <w:color w:val="000000"/>
          <w:lang w:val="fr-FR"/>
        </w:rPr>
        <w:t>11</w:t>
      </w:r>
      <w:r w:rsidRPr="0072304B">
        <w:rPr>
          <w:lang w:val="fr-FR"/>
        </w:rPr>
        <w:t xml:space="preserve"> du Règlement des radiocommunications, le Bureau acceptera cette fiche de notification et considérera qu'elle est conforme au Plan.</w:t>
      </w:r>
    </w:p>
    <w:p w14:paraId="339D32BA" w14:textId="77777777" w:rsidR="00D57601" w:rsidRPr="0072304B" w:rsidRDefault="00D57601" w:rsidP="00D57601">
      <w:pPr>
        <w:spacing w:before="160"/>
        <w:rPr>
          <w:color w:val="000000"/>
          <w:lang w:val="fr-FR"/>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14:paraId="30AFE73B" w14:textId="77777777" w:rsidR="00D57601" w:rsidRPr="0072304B" w:rsidRDefault="00D57601" w:rsidP="00D57601">
      <w:pPr>
        <w:rPr>
          <w:lang w:val="fr-FR"/>
        </w:rPr>
      </w:pPr>
    </w:p>
    <w:p w14:paraId="67469E38" w14:textId="77777777" w:rsidR="00D57601" w:rsidRPr="0072304B" w:rsidRDefault="00D57601" w:rsidP="00D57601">
      <w:pPr>
        <w:jc w:val="center"/>
        <w:rPr>
          <w:color w:val="000000"/>
          <w:lang w:val="fr-FR"/>
        </w:rPr>
      </w:pPr>
      <w:r w:rsidRPr="0072304B">
        <w:rPr>
          <w:color w:val="000000"/>
          <w:lang w:val="fr-FR"/>
        </w:rPr>
        <w:t>____________________</w:t>
      </w:r>
    </w:p>
    <w:p w14:paraId="1B30B7BE" w14:textId="77777777" w:rsidR="00D57601" w:rsidRDefault="00D57601" w:rsidP="00D57601">
      <w:pPr>
        <w:rPr>
          <w:lang w:val="fr-FR"/>
        </w:rPr>
      </w:pPr>
    </w:p>
    <w:p w14:paraId="3705AEFE" w14:textId="77777777" w:rsidR="007E4690" w:rsidRDefault="00A23985">
      <w:pPr>
        <w:spacing w:before="136"/>
        <w:rPr>
          <w:lang w:val="fr-FR"/>
        </w:rPr>
        <w:sectPr w:rsidR="007E4690">
          <w:headerReference w:type="even" r:id="rId13"/>
          <w:footnotePr>
            <w:pos w:val="beneathText"/>
          </w:footnotePr>
          <w:pgSz w:w="11907" w:h="16840" w:code="9"/>
          <w:pgMar w:top="1701" w:right="851" w:bottom="1134" w:left="1985" w:header="720" w:footer="482" w:gutter="0"/>
          <w:cols w:space="720"/>
          <w:vAlign w:val="both"/>
        </w:sectPr>
      </w:pPr>
      <w:r w:rsidRPr="0072304B">
        <w:rPr>
          <w:lang w:val="fr-FR"/>
        </w:rPr>
        <w:t xml:space="preserve"> </w:t>
      </w:r>
    </w:p>
    <w:p w14:paraId="70171E3D" w14:textId="77777777" w:rsidR="00A23985" w:rsidRPr="0072304B" w:rsidRDefault="00A23985">
      <w:pPr>
        <w:rPr>
          <w:lang w:val="fr-FR"/>
        </w:rPr>
      </w:pPr>
    </w:p>
    <w:sectPr w:rsidR="00A23985" w:rsidRPr="0072304B" w:rsidSect="00D34616">
      <w:headerReference w:type="first" r:id="rId1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7CE96" w14:textId="77777777" w:rsidR="00F730F6" w:rsidRDefault="00F730F6">
      <w:r>
        <w:separator/>
      </w:r>
    </w:p>
  </w:endnote>
  <w:endnote w:type="continuationSeparator" w:id="0">
    <w:p w14:paraId="36C5BDDF" w14:textId="77777777" w:rsidR="00F730F6" w:rsidRDefault="00F7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4D574" w14:textId="77777777" w:rsidR="00F730F6" w:rsidRDefault="00F730F6">
      <w:r>
        <w:rPr>
          <w:b/>
        </w:rPr>
        <w:t>_______________</w:t>
      </w:r>
    </w:p>
  </w:footnote>
  <w:footnote w:type="continuationSeparator" w:id="0">
    <w:p w14:paraId="03D2930B" w14:textId="77777777" w:rsidR="00F730F6" w:rsidRDefault="00F730F6">
      <w:r>
        <w:continuationSeparator/>
      </w:r>
    </w:p>
  </w:footnote>
  <w:footnote w:id="1">
    <w:p w14:paraId="76E71C02" w14:textId="77777777"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665E3E">
        <w:rPr>
          <w:lang w:val="fr-CH"/>
        </w:rPr>
        <w:t>Texte non reproduit ici.</w:t>
      </w:r>
    </w:p>
  </w:footnote>
  <w:footnote w:id="2">
    <w:p w14:paraId="1B2A7470" w14:textId="77777777"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BD01F4">
        <w:rPr>
          <w:lang w:val="fr-CH"/>
        </w:rPr>
        <w:t xml:space="preserve">Le </w:t>
      </w:r>
      <w:r>
        <w:rPr>
          <w:lang w:val="fr-CH"/>
        </w:rPr>
        <w:t>systèm</w:t>
      </w:r>
      <w:r w:rsidRPr="00BD01F4">
        <w:rPr>
          <w:lang w:val="fr-CH"/>
        </w:rPr>
        <w:t>e DRM est d</w:t>
      </w:r>
      <w:r>
        <w:rPr>
          <w:lang w:val="fr-CH"/>
        </w:rPr>
        <w:t>é</w:t>
      </w:r>
      <w:r w:rsidRPr="00BD01F4">
        <w:rPr>
          <w:lang w:val="fr-CH"/>
        </w:rPr>
        <w:t>crit dan</w:t>
      </w:r>
      <w:r>
        <w:rPr>
          <w:lang w:val="fr-CH"/>
        </w:rPr>
        <w:t>s la Recommandation UIT-R BS.1514-2.</w:t>
      </w:r>
    </w:p>
  </w:footnote>
  <w:footnote w:id="3">
    <w:p w14:paraId="46C19BF8" w14:textId="319796F7" w:rsidR="00D57601" w:rsidRPr="001C6E31" w:rsidRDefault="00D57601" w:rsidP="00D57601">
      <w:pPr>
        <w:pStyle w:val="FootnoteText"/>
        <w:rPr>
          <w:lang w:val="fr-CH"/>
        </w:rPr>
      </w:pPr>
      <w:r>
        <w:rPr>
          <w:rStyle w:val="FootnoteReference"/>
        </w:rPr>
        <w:footnoteRef/>
      </w:r>
      <w:r w:rsidRPr="001C6E31">
        <w:rPr>
          <w:lang w:val="fr-CH"/>
        </w:rPr>
        <w:t xml:space="preserve"> </w:t>
      </w:r>
      <w:r>
        <w:rPr>
          <w:lang w:val="fr-CH"/>
        </w:rPr>
        <w:tab/>
        <w:t xml:space="preserve">Les modes de fiabilité DRM et les types d’occupation spectrale sont définis dans la norme ES 201 980 </w:t>
      </w:r>
      <w:r w:rsidRPr="001C6E31">
        <w:rPr>
          <w:lang w:val="fr-CH"/>
        </w:rPr>
        <w:t>"Digital Radio Mondiale (DRM); System Specification"</w:t>
      </w:r>
      <w:r>
        <w:rPr>
          <w:lang w:val="fr-CH"/>
        </w:rPr>
        <w:t xml:space="preserve"> version 3.1.1 de l’ETSI. D’autres précisions sont donnés dans la Recommandation UIT-R BS 1615-</w:t>
      </w:r>
      <w:r w:rsidR="00A82289">
        <w:rPr>
          <w:lang w:val="fr-CH"/>
        </w:rPr>
        <w:t>2</w:t>
      </w:r>
      <w:r>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14:paraId="7E992E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A2C3260" w14:textId="0FC6EE1B" w:rsidR="0072304B" w:rsidRDefault="0072304B">
          <w:pPr>
            <w:pStyle w:val="HeaderRegProc"/>
          </w:pPr>
          <w:r>
            <w:t xml:space="preserve">Partie </w:t>
          </w:r>
          <w:r w:rsidR="00086560">
            <w:fldChar w:fldCharType="begin"/>
          </w:r>
          <w:r w:rsidR="00086560">
            <w:instrText>styleref href</w:instrText>
          </w:r>
          <w:r w:rsidR="00086560">
            <w:fldChar w:fldCharType="separate"/>
          </w:r>
          <w:r w:rsidR="00035F96">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956A15" w14:textId="3F0687D9" w:rsidR="0072304B" w:rsidRDefault="00086560">
          <w:pPr>
            <w:pStyle w:val="HeaderRegProc"/>
            <w:rPr>
              <w:lang w:val="fr-FR"/>
            </w:rPr>
          </w:pPr>
          <w:r>
            <w:fldChar w:fldCharType="begin"/>
          </w:r>
          <w:r>
            <w:instrText>styleref href2</w:instrText>
          </w:r>
          <w:r>
            <w:fldChar w:fldCharType="separate"/>
          </w:r>
          <w:r w:rsidR="00035F96">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13A655" w14:textId="77777777"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AF0FBC">
            <w:rPr>
              <w:rStyle w:val="PageNumber"/>
              <w:noProof/>
            </w:rPr>
            <w:t>2</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E0EAB5" w14:textId="328EF13E" w:rsidR="0072304B" w:rsidRDefault="0072304B">
          <w:pPr>
            <w:pStyle w:val="HeaderRegProc"/>
            <w:rPr>
              <w:lang w:val="fr-CH"/>
            </w:rPr>
          </w:pPr>
          <w:r>
            <w:rPr>
              <w:lang w:val="fr-CH"/>
            </w:rPr>
            <w:t>rév.</w:t>
          </w:r>
          <w:r w:rsidR="00805B5D">
            <w:rPr>
              <w:lang w:val="fr-CH"/>
            </w:rPr>
            <w:fldChar w:fldCharType="begin"/>
          </w:r>
          <w:r w:rsidR="00805B5D">
            <w:rPr>
              <w:lang w:val="fr-CH"/>
            </w:rPr>
            <w:instrText xml:space="preserve"> DOCPROPERTY "Header10" \* MERGEFORMAT </w:instrText>
          </w:r>
          <w:r w:rsidR="00805B5D">
            <w:rPr>
              <w:lang w:val="fr-CH"/>
            </w:rPr>
            <w:fldChar w:fldCharType="separate"/>
          </w:r>
          <w:r w:rsidR="00035F96">
            <w:rPr>
              <w:lang w:val="fr-CH"/>
            </w:rPr>
            <w:t>-</w:t>
          </w:r>
          <w:r w:rsidR="00805B5D">
            <w:rPr>
              <w:lang w:val="fr-CH"/>
            </w:rPr>
            <w:fldChar w:fldCharType="end"/>
          </w:r>
        </w:p>
      </w:tc>
    </w:tr>
  </w:tbl>
  <w:p w14:paraId="558D10BF" w14:textId="77777777" w:rsidR="0072304B" w:rsidRDefault="0072304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14:paraId="3F056F4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C81216" w14:textId="3C8C06BA" w:rsidR="0072304B" w:rsidRDefault="0072304B">
          <w:pPr>
            <w:pStyle w:val="HeaderRegProc"/>
          </w:pPr>
          <w:r>
            <w:t xml:space="preserve">Partie </w:t>
          </w:r>
          <w:r w:rsidR="00086560">
            <w:fldChar w:fldCharType="begin"/>
          </w:r>
          <w:r w:rsidR="00086560">
            <w:instrText>styleref href</w:instrText>
          </w:r>
          <w:r w:rsidR="00086560">
            <w:fldChar w:fldCharType="separate"/>
          </w:r>
          <w:r w:rsidR="00035F96">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6AC628" w14:textId="68607CF4" w:rsidR="0072304B" w:rsidRDefault="00086560">
          <w:pPr>
            <w:pStyle w:val="HeaderRegProc"/>
            <w:rPr>
              <w:lang w:val="fr-FR"/>
            </w:rPr>
          </w:pPr>
          <w:r>
            <w:fldChar w:fldCharType="begin"/>
          </w:r>
          <w:r>
            <w:instrText>styleref href2</w:instrText>
          </w:r>
          <w:r>
            <w:fldChar w:fldCharType="separate"/>
          </w:r>
          <w:r w:rsidR="00035F96">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40E982" w14:textId="77777777"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AF0FBC">
            <w:rPr>
              <w:rStyle w:val="PageNumber"/>
              <w:noProof/>
            </w:rPr>
            <w:t>3</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4B1F88" w14:textId="77777777" w:rsidR="0072304B" w:rsidRDefault="0072304B" w:rsidP="007E4690">
          <w:pPr>
            <w:pStyle w:val="HeaderRegProc"/>
            <w:rPr>
              <w:lang w:val="fr-CH"/>
            </w:rPr>
          </w:pPr>
          <w:r>
            <w:rPr>
              <w:lang w:val="fr-CH"/>
            </w:rPr>
            <w:t>rév.</w:t>
          </w:r>
          <w:r w:rsidR="00AE06D4">
            <w:t>-</w:t>
          </w:r>
        </w:p>
      </w:tc>
    </w:tr>
  </w:tbl>
  <w:p w14:paraId="4E8A226C" w14:textId="77777777" w:rsidR="0072304B" w:rsidRDefault="00723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490D" w14:paraId="499FA0C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A384247" w14:textId="1DD46163" w:rsidR="00D2490D" w:rsidRDefault="00D2490D">
          <w:pPr>
            <w:pStyle w:val="HeaderRegProc"/>
          </w:pPr>
          <w:r>
            <w:t xml:space="preserve">Partie </w:t>
          </w:r>
          <w:r>
            <w:fldChar w:fldCharType="begin"/>
          </w:r>
          <w:r>
            <w:instrText>styleref href</w:instrText>
          </w:r>
          <w:r>
            <w:fldChar w:fldCharType="separate"/>
          </w:r>
          <w:r w:rsidR="00035F96">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537754" w14:textId="219525EE" w:rsidR="00D2490D" w:rsidRDefault="00D2490D">
          <w:pPr>
            <w:pStyle w:val="HeaderRegProc"/>
            <w:rPr>
              <w:lang w:val="fr-FR"/>
            </w:rPr>
          </w:pPr>
          <w:r>
            <w:fldChar w:fldCharType="begin"/>
          </w:r>
          <w:r>
            <w:instrText>styleref href2</w:instrText>
          </w:r>
          <w:r>
            <w:fldChar w:fldCharType="separate"/>
          </w:r>
          <w:r w:rsidR="00035F96">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15D40A" w14:textId="77777777" w:rsidR="00D2490D" w:rsidRDefault="00D249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F0FB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746DA7" w14:textId="4F059D15" w:rsidR="00D2490D" w:rsidRDefault="00D2490D" w:rsidP="00D2490D">
          <w:pPr>
            <w:pStyle w:val="HeaderRegProc"/>
            <w:rPr>
              <w:lang w:val="fr-CH"/>
            </w:rPr>
          </w:pPr>
          <w:r>
            <w:rPr>
              <w:lang w:val="fr-CH"/>
            </w:rPr>
            <w:t>rév.</w:t>
          </w:r>
          <w:r w:rsidR="00122D16">
            <w:rPr>
              <w:lang w:val="fr-CH"/>
            </w:rPr>
            <w:t>-</w:t>
          </w:r>
        </w:p>
      </w:tc>
    </w:tr>
  </w:tbl>
  <w:p w14:paraId="0BE77E36" w14:textId="77777777" w:rsidR="00D2490D" w:rsidRDefault="00D2490D">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2490D" w14:paraId="4CAEF71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D8BF47" w14:textId="42EF7156" w:rsidR="00D2490D" w:rsidRDefault="00D2490D">
          <w:pPr>
            <w:pStyle w:val="HeaderRegProc"/>
          </w:pPr>
          <w:r>
            <w:t xml:space="preserve">Partie </w:t>
          </w:r>
          <w:r>
            <w:fldChar w:fldCharType="begin"/>
          </w:r>
          <w:r>
            <w:instrText>styleref href</w:instrText>
          </w:r>
          <w:r>
            <w:fldChar w:fldCharType="separate"/>
          </w:r>
          <w:r w:rsidR="00035F96">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2EF564" w14:textId="69ECCD67" w:rsidR="00D2490D" w:rsidRDefault="00D2490D">
          <w:pPr>
            <w:pStyle w:val="HeaderRegProc"/>
            <w:rPr>
              <w:lang w:val="fr-FR"/>
            </w:rPr>
          </w:pPr>
          <w:r>
            <w:fldChar w:fldCharType="begin"/>
          </w:r>
          <w:r>
            <w:instrText>styleref href2</w:instrText>
          </w:r>
          <w:r>
            <w:fldChar w:fldCharType="separate"/>
          </w:r>
          <w:r w:rsidR="00035F96">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88B4B3" w14:textId="77777777" w:rsidR="00D2490D" w:rsidRDefault="00D249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F0FB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919C8" w14:textId="77777777" w:rsidR="00D2490D" w:rsidRDefault="00D2490D" w:rsidP="007E4690">
          <w:pPr>
            <w:pStyle w:val="HeaderRegProc"/>
            <w:rPr>
              <w:lang w:val="fr-CH"/>
            </w:rPr>
          </w:pPr>
          <w:r>
            <w:rPr>
              <w:lang w:val="fr-CH"/>
            </w:rPr>
            <w:t>rév.</w:t>
          </w:r>
          <w:r>
            <w:t>-</w:t>
          </w:r>
        </w:p>
      </w:tc>
    </w:tr>
  </w:tbl>
  <w:p w14:paraId="6F49A9E8" w14:textId="77777777" w:rsidR="00D2490D" w:rsidRDefault="00D249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F0FBC" w14:paraId="3AE3036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212354" w14:textId="2D7A161E" w:rsidR="00AF0FBC" w:rsidRDefault="00AF0FBC">
          <w:pPr>
            <w:pStyle w:val="HeaderRegProc"/>
          </w:pPr>
          <w:r>
            <w:t xml:space="preserve">Partie </w:t>
          </w:r>
          <w:r>
            <w:fldChar w:fldCharType="begin"/>
          </w:r>
          <w:r>
            <w:instrText>styleref href</w:instrText>
          </w:r>
          <w:r>
            <w:fldChar w:fldCharType="separate"/>
          </w:r>
          <w:r w:rsidR="00035F96">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554315" w14:textId="41BF8371" w:rsidR="00AF0FBC" w:rsidRDefault="00AF0FBC">
          <w:pPr>
            <w:pStyle w:val="HeaderRegProc"/>
            <w:rPr>
              <w:lang w:val="fr-FR"/>
            </w:rPr>
          </w:pPr>
          <w:r>
            <w:fldChar w:fldCharType="begin"/>
          </w:r>
          <w:r>
            <w:instrText>styleref href2</w:instrText>
          </w:r>
          <w:r>
            <w:fldChar w:fldCharType="separate"/>
          </w:r>
          <w:r w:rsidR="00035F96">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FB2FE2" w14:textId="77777777" w:rsidR="00AF0FBC" w:rsidRDefault="00AF0FB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68ADDF" w14:textId="77777777" w:rsidR="00AF0FBC" w:rsidRDefault="00AF0FBC" w:rsidP="00AF0FBC">
          <w:pPr>
            <w:pStyle w:val="HeaderRegProc"/>
            <w:rPr>
              <w:lang w:val="fr-CH"/>
            </w:rPr>
          </w:pPr>
          <w:r>
            <w:rPr>
              <w:lang w:val="fr-CH"/>
            </w:rPr>
            <w:t>rév.-</w:t>
          </w:r>
        </w:p>
      </w:tc>
    </w:tr>
  </w:tbl>
  <w:p w14:paraId="32065385" w14:textId="77777777" w:rsidR="00AF0FBC" w:rsidRDefault="00AF0FBC">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28948" w14:textId="77777777" w:rsidR="0072304B" w:rsidRDefault="00723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985"/>
    <w:rsid w:val="0003131D"/>
    <w:rsid w:val="00035F96"/>
    <w:rsid w:val="00086560"/>
    <w:rsid w:val="00122D16"/>
    <w:rsid w:val="001A19B3"/>
    <w:rsid w:val="001C1C5C"/>
    <w:rsid w:val="001C6E31"/>
    <w:rsid w:val="00225587"/>
    <w:rsid w:val="003734D9"/>
    <w:rsid w:val="00437669"/>
    <w:rsid w:val="0052193B"/>
    <w:rsid w:val="00585F8E"/>
    <w:rsid w:val="006239FC"/>
    <w:rsid w:val="0065378D"/>
    <w:rsid w:val="00665E3E"/>
    <w:rsid w:val="0067498B"/>
    <w:rsid w:val="0072304B"/>
    <w:rsid w:val="00730C53"/>
    <w:rsid w:val="007E4690"/>
    <w:rsid w:val="00805B5D"/>
    <w:rsid w:val="008202FF"/>
    <w:rsid w:val="00962CB4"/>
    <w:rsid w:val="00A01E74"/>
    <w:rsid w:val="00A23985"/>
    <w:rsid w:val="00A82289"/>
    <w:rsid w:val="00AC7D3D"/>
    <w:rsid w:val="00AD4D51"/>
    <w:rsid w:val="00AE06D4"/>
    <w:rsid w:val="00AF0FBC"/>
    <w:rsid w:val="00B917BF"/>
    <w:rsid w:val="00C35723"/>
    <w:rsid w:val="00C3703A"/>
    <w:rsid w:val="00C50175"/>
    <w:rsid w:val="00D2490D"/>
    <w:rsid w:val="00D34616"/>
    <w:rsid w:val="00D57601"/>
    <w:rsid w:val="00E15031"/>
    <w:rsid w:val="00F730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F02A111"/>
  <w15:docId w15:val="{849BC8C6-6EE7-4E2A-B1B9-55A9F905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69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D3461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D34616"/>
    <w:pPr>
      <w:spacing w:before="480"/>
      <w:outlineLvl w:val="1"/>
    </w:pPr>
    <w:rPr>
      <w:sz w:val="26"/>
    </w:rPr>
  </w:style>
  <w:style w:type="paragraph" w:styleId="Heading3">
    <w:name w:val="heading 3"/>
    <w:basedOn w:val="Heading1"/>
    <w:next w:val="Normal"/>
    <w:qFormat/>
    <w:rsid w:val="00D34616"/>
    <w:pPr>
      <w:spacing w:before="360"/>
      <w:outlineLvl w:val="2"/>
    </w:pPr>
    <w:rPr>
      <w:sz w:val="24"/>
    </w:rPr>
  </w:style>
  <w:style w:type="paragraph" w:styleId="Heading4">
    <w:name w:val="heading 4"/>
    <w:basedOn w:val="Heading3"/>
    <w:next w:val="Normal"/>
    <w:qFormat/>
    <w:rsid w:val="00D34616"/>
    <w:pPr>
      <w:outlineLvl w:val="3"/>
    </w:pPr>
  </w:style>
  <w:style w:type="paragraph" w:styleId="Heading5">
    <w:name w:val="heading 5"/>
    <w:basedOn w:val="Heading3"/>
    <w:next w:val="Normal"/>
    <w:qFormat/>
    <w:rsid w:val="00D34616"/>
    <w:pPr>
      <w:outlineLvl w:val="4"/>
    </w:pPr>
  </w:style>
  <w:style w:type="paragraph" w:styleId="Heading6">
    <w:name w:val="heading 6"/>
    <w:basedOn w:val="Heading3"/>
    <w:next w:val="Normal"/>
    <w:qFormat/>
    <w:rsid w:val="00D34616"/>
    <w:pPr>
      <w:outlineLvl w:val="5"/>
    </w:pPr>
  </w:style>
  <w:style w:type="paragraph" w:styleId="Heading7">
    <w:name w:val="heading 7"/>
    <w:basedOn w:val="Heading3"/>
    <w:next w:val="Normal"/>
    <w:qFormat/>
    <w:rsid w:val="00D34616"/>
    <w:pPr>
      <w:outlineLvl w:val="6"/>
    </w:pPr>
  </w:style>
  <w:style w:type="paragraph" w:styleId="Heading8">
    <w:name w:val="heading 8"/>
    <w:basedOn w:val="Heading3"/>
    <w:next w:val="Normal"/>
    <w:qFormat/>
    <w:rsid w:val="00D3461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D3461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D34616"/>
    <w:rPr>
      <w:vertAlign w:val="superscript"/>
    </w:rPr>
  </w:style>
  <w:style w:type="paragraph" w:styleId="TOC8">
    <w:name w:val="toc 8"/>
    <w:basedOn w:val="Normal"/>
    <w:next w:val="Normal"/>
    <w:semiHidden/>
    <w:rsid w:val="00D34616"/>
    <w:pPr>
      <w:tabs>
        <w:tab w:val="left" w:pos="7711"/>
        <w:tab w:val="right" w:leader="dot" w:pos="9725"/>
      </w:tabs>
      <w:ind w:left="6350"/>
    </w:pPr>
  </w:style>
  <w:style w:type="paragraph" w:styleId="TOC7">
    <w:name w:val="toc 7"/>
    <w:basedOn w:val="Normal"/>
    <w:next w:val="Normal"/>
    <w:semiHidden/>
    <w:rsid w:val="00D34616"/>
    <w:pPr>
      <w:tabs>
        <w:tab w:val="left" w:pos="6350"/>
        <w:tab w:val="right" w:leader="dot" w:pos="9725"/>
      </w:tabs>
      <w:ind w:left="5103"/>
    </w:pPr>
  </w:style>
  <w:style w:type="paragraph" w:styleId="TOC6">
    <w:name w:val="toc 6"/>
    <w:basedOn w:val="TOC4"/>
    <w:next w:val="Normal"/>
    <w:semiHidden/>
    <w:rsid w:val="00D34616"/>
    <w:pPr>
      <w:ind w:left="3913"/>
    </w:pPr>
  </w:style>
  <w:style w:type="paragraph" w:styleId="TOC4">
    <w:name w:val="toc 4"/>
    <w:basedOn w:val="TOC3"/>
    <w:next w:val="Normal"/>
    <w:semiHidden/>
    <w:rsid w:val="00D34616"/>
    <w:pPr>
      <w:tabs>
        <w:tab w:val="clear" w:pos="2268"/>
      </w:tabs>
      <w:spacing w:before="80"/>
      <w:ind w:left="3119" w:hanging="851"/>
    </w:pPr>
  </w:style>
  <w:style w:type="paragraph" w:styleId="TOC3">
    <w:name w:val="toc 3"/>
    <w:basedOn w:val="TOC2"/>
    <w:next w:val="Normal"/>
    <w:semiHidden/>
    <w:rsid w:val="00D34616"/>
    <w:pPr>
      <w:tabs>
        <w:tab w:val="clear" w:pos="1985"/>
        <w:tab w:val="left" w:pos="2268"/>
      </w:tabs>
      <w:ind w:left="2268" w:hanging="2268"/>
    </w:pPr>
  </w:style>
  <w:style w:type="paragraph" w:styleId="TOC2">
    <w:name w:val="toc 2"/>
    <w:basedOn w:val="TOC1"/>
    <w:next w:val="Normal"/>
    <w:semiHidden/>
    <w:rsid w:val="00D3461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D3461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D34616"/>
    <w:pPr>
      <w:tabs>
        <w:tab w:val="clear" w:pos="2268"/>
        <w:tab w:val="left" w:pos="3062"/>
      </w:tabs>
      <w:ind w:left="3062" w:hanging="3062"/>
    </w:pPr>
  </w:style>
  <w:style w:type="paragraph" w:styleId="Index1">
    <w:name w:val="index 1"/>
    <w:basedOn w:val="Normal"/>
    <w:next w:val="Normal"/>
    <w:semiHidden/>
    <w:rsid w:val="00D34616"/>
  </w:style>
  <w:style w:type="paragraph" w:styleId="Footer">
    <w:name w:val="footer"/>
    <w:basedOn w:val="Normal"/>
    <w:rsid w:val="00D34616"/>
    <w:pPr>
      <w:tabs>
        <w:tab w:val="left" w:pos="567"/>
        <w:tab w:val="center" w:pos="3742"/>
        <w:tab w:val="right" w:pos="6974"/>
      </w:tabs>
    </w:pPr>
  </w:style>
  <w:style w:type="paragraph" w:styleId="Header">
    <w:name w:val="header"/>
    <w:basedOn w:val="Normal"/>
    <w:rsid w:val="00D34616"/>
    <w:pPr>
      <w:tabs>
        <w:tab w:val="clear" w:pos="1134"/>
        <w:tab w:val="clear" w:pos="1871"/>
        <w:tab w:val="clear" w:pos="2268"/>
        <w:tab w:val="center" w:pos="4320"/>
        <w:tab w:val="right" w:pos="8640"/>
      </w:tabs>
    </w:pPr>
  </w:style>
  <w:style w:type="character" w:styleId="FootnoteReference">
    <w:name w:val="footnote reference"/>
    <w:rsid w:val="00D34616"/>
    <w:rPr>
      <w:position w:val="6"/>
      <w:sz w:val="16"/>
    </w:rPr>
  </w:style>
  <w:style w:type="paragraph" w:styleId="FootnoteText">
    <w:name w:val="footnote text"/>
    <w:basedOn w:val="Normal"/>
    <w:link w:val="FootnoteTextChar"/>
    <w:rsid w:val="00D3461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D34616"/>
    <w:pPr>
      <w:spacing w:before="120"/>
      <w:ind w:left="1134"/>
    </w:pPr>
  </w:style>
  <w:style w:type="paragraph" w:customStyle="1" w:styleId="TableLegend">
    <w:name w:val="Table_Legend"/>
    <w:basedOn w:val="TableText"/>
    <w:next w:val="Normal"/>
    <w:rsid w:val="00D34616"/>
    <w:pPr>
      <w:keepNext/>
      <w:tabs>
        <w:tab w:val="left" w:pos="284"/>
        <w:tab w:val="left" w:pos="567"/>
        <w:tab w:val="left" w:pos="851"/>
        <w:tab w:val="left" w:pos="1134"/>
      </w:tabs>
      <w:spacing w:before="120" w:after="0"/>
    </w:pPr>
  </w:style>
  <w:style w:type="paragraph" w:customStyle="1" w:styleId="TableText">
    <w:name w:val="Table_Text"/>
    <w:basedOn w:val="Normal"/>
    <w:rsid w:val="00D3461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D34616"/>
    <w:pPr>
      <w:spacing w:before="0"/>
    </w:pPr>
    <w:rPr>
      <w:b/>
    </w:rPr>
  </w:style>
  <w:style w:type="paragraph" w:customStyle="1" w:styleId="Table">
    <w:name w:val="Table_#"/>
    <w:basedOn w:val="Normal"/>
    <w:next w:val="TableTitle"/>
    <w:rsid w:val="00D3461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D34616"/>
    <w:pPr>
      <w:tabs>
        <w:tab w:val="clear" w:pos="2268"/>
        <w:tab w:val="left" w:pos="2608"/>
        <w:tab w:val="left" w:pos="3345"/>
      </w:tabs>
      <w:spacing w:before="120"/>
      <w:ind w:left="454" w:hanging="454"/>
    </w:pPr>
  </w:style>
  <w:style w:type="paragraph" w:customStyle="1" w:styleId="enumlev2">
    <w:name w:val="enumlev2"/>
    <w:basedOn w:val="enumlev1"/>
    <w:rsid w:val="00D34616"/>
    <w:pPr>
      <w:tabs>
        <w:tab w:val="left" w:pos="907"/>
      </w:tabs>
      <w:ind w:left="908"/>
    </w:pPr>
  </w:style>
  <w:style w:type="paragraph" w:customStyle="1" w:styleId="enumlev3">
    <w:name w:val="enumlev3"/>
    <w:basedOn w:val="enumlev2"/>
    <w:rsid w:val="00D34616"/>
    <w:pPr>
      <w:tabs>
        <w:tab w:val="clear" w:pos="1134"/>
        <w:tab w:val="clear" w:pos="1871"/>
        <w:tab w:val="clear" w:pos="2608"/>
        <w:tab w:val="left" w:pos="1361"/>
      </w:tabs>
      <w:ind w:left="1361"/>
    </w:pPr>
  </w:style>
  <w:style w:type="paragraph" w:customStyle="1" w:styleId="Figure">
    <w:name w:val="Figure"/>
    <w:basedOn w:val="Normal"/>
    <w:rsid w:val="00D34616"/>
    <w:pPr>
      <w:keepNext/>
      <w:keepLines/>
      <w:spacing w:before="240"/>
      <w:jc w:val="center"/>
    </w:pPr>
  </w:style>
  <w:style w:type="paragraph" w:customStyle="1" w:styleId="FigureLegend">
    <w:name w:val="Figure_Legend"/>
    <w:basedOn w:val="TableLegend"/>
    <w:next w:val="Figure0"/>
    <w:rsid w:val="00D34616"/>
  </w:style>
  <w:style w:type="paragraph" w:customStyle="1" w:styleId="Figure0">
    <w:name w:val="Figure_#"/>
    <w:basedOn w:val="Table"/>
    <w:next w:val="FigureTitle"/>
    <w:rsid w:val="00D34616"/>
  </w:style>
  <w:style w:type="paragraph" w:customStyle="1" w:styleId="FigureTitle">
    <w:name w:val="Figure_Title"/>
    <w:basedOn w:val="TableTitle"/>
    <w:next w:val="Normal"/>
    <w:rsid w:val="00D34616"/>
    <w:pPr>
      <w:spacing w:after="720"/>
    </w:pPr>
  </w:style>
  <w:style w:type="paragraph" w:customStyle="1" w:styleId="Annex">
    <w:name w:val="Annex_#"/>
    <w:basedOn w:val="Art"/>
    <w:next w:val="AnnexRef"/>
    <w:rsid w:val="00D34616"/>
  </w:style>
  <w:style w:type="paragraph" w:customStyle="1" w:styleId="Art">
    <w:name w:val="Art_#"/>
    <w:basedOn w:val="Normal"/>
    <w:next w:val="Arttitle"/>
    <w:rsid w:val="00D34616"/>
    <w:pPr>
      <w:keepNext/>
      <w:keepLines/>
      <w:spacing w:before="720"/>
      <w:jc w:val="center"/>
    </w:pPr>
    <w:rPr>
      <w:sz w:val="28"/>
    </w:rPr>
  </w:style>
  <w:style w:type="paragraph" w:customStyle="1" w:styleId="Arttitle">
    <w:name w:val="Art_title"/>
    <w:next w:val="Normalaftertitle"/>
    <w:rsid w:val="00D3461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D34616"/>
    <w:pPr>
      <w:spacing w:before="360"/>
    </w:pPr>
  </w:style>
  <w:style w:type="paragraph" w:customStyle="1" w:styleId="AnnexRef">
    <w:name w:val="Annex_Ref"/>
    <w:basedOn w:val="Normal"/>
    <w:rsid w:val="00D34616"/>
    <w:pPr>
      <w:jc w:val="center"/>
    </w:pPr>
  </w:style>
  <w:style w:type="paragraph" w:customStyle="1" w:styleId="AnnexTitle">
    <w:name w:val="Annex_Title"/>
    <w:basedOn w:val="Arttitle"/>
    <w:next w:val="Normal"/>
    <w:rsid w:val="00D34616"/>
    <w:pPr>
      <w:spacing w:after="0"/>
    </w:pPr>
  </w:style>
  <w:style w:type="paragraph" w:customStyle="1" w:styleId="Appendix">
    <w:name w:val="Appendix_#"/>
    <w:basedOn w:val="Art"/>
    <w:next w:val="AppendixTitle"/>
    <w:rsid w:val="00D34616"/>
  </w:style>
  <w:style w:type="paragraph" w:customStyle="1" w:styleId="AppendixTitle">
    <w:name w:val="Appendix_Title"/>
    <w:basedOn w:val="Arttitle"/>
    <w:next w:val="Normal"/>
    <w:rsid w:val="00D34616"/>
  </w:style>
  <w:style w:type="paragraph" w:customStyle="1" w:styleId="headfoot">
    <w:name w:val="head_foot"/>
    <w:basedOn w:val="Normal"/>
    <w:next w:val="Normalaftertitle"/>
    <w:rsid w:val="00D34616"/>
    <w:pPr>
      <w:spacing w:before="0"/>
    </w:pPr>
    <w:rPr>
      <w:color w:val="0000FF"/>
      <w:sz w:val="20"/>
    </w:rPr>
  </w:style>
  <w:style w:type="paragraph" w:customStyle="1" w:styleId="AppendixRef">
    <w:name w:val="Appendix_Ref"/>
    <w:basedOn w:val="AnnexRef"/>
    <w:next w:val="AppendixTitle"/>
    <w:rsid w:val="00D34616"/>
  </w:style>
  <w:style w:type="paragraph" w:customStyle="1" w:styleId="RefTitle">
    <w:name w:val="Ref_Title"/>
    <w:basedOn w:val="Normal"/>
    <w:next w:val="RefText"/>
    <w:rsid w:val="00D34616"/>
    <w:pPr>
      <w:spacing w:before="480"/>
      <w:jc w:val="left"/>
    </w:pPr>
    <w:rPr>
      <w:b/>
    </w:rPr>
  </w:style>
  <w:style w:type="paragraph" w:customStyle="1" w:styleId="RefText">
    <w:name w:val="Ref_Text"/>
    <w:basedOn w:val="Normal"/>
    <w:rsid w:val="00D34616"/>
  </w:style>
  <w:style w:type="paragraph" w:customStyle="1" w:styleId="listitem">
    <w:name w:val="listitem"/>
    <w:basedOn w:val="Normal"/>
    <w:rsid w:val="00D34616"/>
    <w:pPr>
      <w:keepLines/>
      <w:spacing w:before="0"/>
      <w:jc w:val="left"/>
    </w:pPr>
  </w:style>
  <w:style w:type="paragraph" w:customStyle="1" w:styleId="TableRef">
    <w:name w:val="Table_Ref"/>
    <w:basedOn w:val="Normal"/>
    <w:next w:val="TableTitle"/>
    <w:rsid w:val="00D34616"/>
    <w:pPr>
      <w:keepNext/>
      <w:spacing w:before="567"/>
      <w:jc w:val="center"/>
    </w:pPr>
    <w:rPr>
      <w:sz w:val="18"/>
    </w:rPr>
  </w:style>
  <w:style w:type="paragraph" w:customStyle="1" w:styleId="Signcountry">
    <w:name w:val="Sign_country"/>
    <w:basedOn w:val="Normal"/>
    <w:next w:val="SignPart"/>
    <w:rsid w:val="00D34616"/>
    <w:pPr>
      <w:keepNext/>
      <w:keepLines/>
      <w:spacing w:before="240" w:after="57"/>
      <w:jc w:val="left"/>
    </w:pPr>
    <w:rPr>
      <w:b/>
    </w:rPr>
  </w:style>
  <w:style w:type="paragraph" w:customStyle="1" w:styleId="SignPart">
    <w:name w:val="Sign_Part"/>
    <w:basedOn w:val="Signcountry"/>
    <w:rsid w:val="00D34616"/>
    <w:pPr>
      <w:keepNext w:val="0"/>
      <w:keepLines w:val="0"/>
      <w:spacing w:before="0"/>
      <w:ind w:left="284"/>
    </w:pPr>
    <w:rPr>
      <w:b w:val="0"/>
      <w:smallCaps/>
    </w:rPr>
  </w:style>
  <w:style w:type="paragraph" w:customStyle="1" w:styleId="Chap">
    <w:name w:val="Chap_#"/>
    <w:basedOn w:val="Art"/>
    <w:next w:val="Chaptitle"/>
    <w:rsid w:val="00D34616"/>
    <w:pPr>
      <w:spacing w:before="1200"/>
    </w:pPr>
    <w:rPr>
      <w:sz w:val="32"/>
    </w:rPr>
  </w:style>
  <w:style w:type="paragraph" w:customStyle="1" w:styleId="Chaptitle">
    <w:name w:val="Chap_title"/>
    <w:basedOn w:val="Arttitle"/>
    <w:next w:val="Art"/>
    <w:rsid w:val="00D34616"/>
    <w:rPr>
      <w:sz w:val="32"/>
    </w:rPr>
  </w:style>
  <w:style w:type="paragraph" w:customStyle="1" w:styleId="Protfin">
    <w:name w:val="Prot_fin"/>
    <w:basedOn w:val="Normal"/>
    <w:next w:val="Normalaftertitle"/>
    <w:rsid w:val="00D34616"/>
    <w:pPr>
      <w:pageBreakBefore/>
      <w:spacing w:before="720" w:after="240"/>
      <w:jc w:val="center"/>
    </w:pPr>
    <w:rPr>
      <w:b/>
    </w:rPr>
  </w:style>
  <w:style w:type="paragraph" w:customStyle="1" w:styleId="Prot">
    <w:name w:val="Prot_#"/>
    <w:basedOn w:val="Normal"/>
    <w:next w:val="Protlang"/>
    <w:rsid w:val="00D34616"/>
    <w:pPr>
      <w:keepNext/>
      <w:spacing w:before="240"/>
      <w:jc w:val="center"/>
    </w:pPr>
  </w:style>
  <w:style w:type="paragraph" w:customStyle="1" w:styleId="Protlang">
    <w:name w:val="Prot_lang"/>
    <w:basedOn w:val="Prot"/>
    <w:next w:val="Protpays"/>
    <w:rsid w:val="00D34616"/>
    <w:pPr>
      <w:keepLines/>
      <w:framePr w:hSpace="181" w:vSpace="181" w:wrap="auto" w:hAnchor="text" w:xAlign="right"/>
      <w:spacing w:before="0"/>
      <w:jc w:val="right"/>
    </w:pPr>
    <w:rPr>
      <w:i/>
      <w:sz w:val="18"/>
    </w:rPr>
  </w:style>
  <w:style w:type="paragraph" w:customStyle="1" w:styleId="Protpays">
    <w:name w:val="Prot_pays"/>
    <w:basedOn w:val="Protlang"/>
    <w:next w:val="headfoot"/>
    <w:rsid w:val="00D34616"/>
    <w:pPr>
      <w:framePr w:wrap="auto"/>
      <w:spacing w:before="113" w:line="199" w:lineRule="exact"/>
      <w:jc w:val="left"/>
    </w:pPr>
  </w:style>
  <w:style w:type="paragraph" w:customStyle="1" w:styleId="Prottexte">
    <w:name w:val="Prot_texte"/>
    <w:basedOn w:val="Protlang"/>
    <w:rsid w:val="00D34616"/>
    <w:pPr>
      <w:keepNext w:val="0"/>
      <w:keepLines w:val="0"/>
      <w:framePr w:wrap="auto"/>
      <w:spacing w:before="113" w:line="199" w:lineRule="exact"/>
      <w:jc w:val="both"/>
    </w:pPr>
    <w:rPr>
      <w:i w:val="0"/>
    </w:rPr>
  </w:style>
  <w:style w:type="paragraph" w:customStyle="1" w:styleId="Protcall">
    <w:name w:val="Prot_call"/>
    <w:basedOn w:val="Prottexte"/>
    <w:next w:val="Prottexte"/>
    <w:rsid w:val="00D34616"/>
    <w:pPr>
      <w:keepNext/>
      <w:keepLines/>
      <w:framePr w:wrap="auto" w:xAlign="left"/>
      <w:spacing w:before="170"/>
      <w:ind w:left="794"/>
      <w:jc w:val="left"/>
    </w:pPr>
    <w:rPr>
      <w:i/>
    </w:rPr>
  </w:style>
  <w:style w:type="paragraph" w:customStyle="1" w:styleId="Res">
    <w:name w:val="Res_#"/>
    <w:basedOn w:val="Art"/>
    <w:next w:val="Restitle"/>
    <w:rsid w:val="00D34616"/>
  </w:style>
  <w:style w:type="paragraph" w:customStyle="1" w:styleId="Restitle">
    <w:name w:val="Res_title"/>
    <w:basedOn w:val="Arttitle"/>
    <w:next w:val="headfoot"/>
    <w:rsid w:val="00D34616"/>
    <w:pPr>
      <w:spacing w:after="120"/>
    </w:pPr>
  </w:style>
  <w:style w:type="paragraph" w:customStyle="1" w:styleId="Rec">
    <w:name w:val="Rec_#"/>
    <w:basedOn w:val="Res"/>
    <w:next w:val="Rectitle"/>
    <w:rsid w:val="00D34616"/>
  </w:style>
  <w:style w:type="paragraph" w:customStyle="1" w:styleId="Rectitle">
    <w:name w:val="Rec_title"/>
    <w:basedOn w:val="Restitle"/>
    <w:next w:val="headfoot"/>
    <w:rsid w:val="00D34616"/>
  </w:style>
  <w:style w:type="paragraph" w:customStyle="1" w:styleId="Equation">
    <w:name w:val="Equation"/>
    <w:basedOn w:val="Normal"/>
    <w:rsid w:val="00D34616"/>
    <w:pPr>
      <w:tabs>
        <w:tab w:val="clear" w:pos="1871"/>
        <w:tab w:val="clear" w:pos="2268"/>
        <w:tab w:val="center" w:pos="4678"/>
        <w:tab w:val="right" w:pos="9356"/>
      </w:tabs>
      <w:jc w:val="left"/>
    </w:pPr>
  </w:style>
  <w:style w:type="paragraph" w:customStyle="1" w:styleId="Note">
    <w:name w:val="Note"/>
    <w:basedOn w:val="Normal"/>
    <w:rsid w:val="00D34616"/>
    <w:pPr>
      <w:tabs>
        <w:tab w:val="left" w:pos="284"/>
      </w:tabs>
      <w:spacing w:before="160"/>
    </w:pPr>
    <w:rPr>
      <w:sz w:val="20"/>
    </w:rPr>
  </w:style>
  <w:style w:type="paragraph" w:customStyle="1" w:styleId="Signcountry0">
    <w:name w:val="Sign country"/>
    <w:basedOn w:val="Normal"/>
    <w:next w:val="Signpart0"/>
    <w:rsid w:val="00D34616"/>
    <w:pPr>
      <w:keepNext/>
      <w:keepLines/>
      <w:spacing w:before="240" w:after="57"/>
      <w:jc w:val="left"/>
    </w:pPr>
    <w:rPr>
      <w:b/>
    </w:rPr>
  </w:style>
  <w:style w:type="paragraph" w:customStyle="1" w:styleId="Signpart0">
    <w:name w:val="Sign part"/>
    <w:basedOn w:val="Signcountry0"/>
    <w:rsid w:val="00D34616"/>
    <w:pPr>
      <w:keepNext w:val="0"/>
      <w:keepLines w:val="0"/>
      <w:spacing w:before="0"/>
      <w:ind w:left="284"/>
    </w:pPr>
    <w:rPr>
      <w:b w:val="0"/>
      <w:smallCaps/>
    </w:rPr>
  </w:style>
  <w:style w:type="paragraph" w:customStyle="1" w:styleId="Section1">
    <w:name w:val="Section_1"/>
    <w:basedOn w:val="Normal"/>
    <w:rsid w:val="00D3461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D34616"/>
    <w:pPr>
      <w:pageBreakBefore/>
      <w:spacing w:before="720" w:after="240"/>
      <w:jc w:val="center"/>
    </w:pPr>
    <w:rPr>
      <w:b/>
    </w:rPr>
  </w:style>
  <w:style w:type="paragraph" w:customStyle="1" w:styleId="Prot0">
    <w:name w:val="Prot #"/>
    <w:basedOn w:val="Normal"/>
    <w:next w:val="Protlang0"/>
    <w:rsid w:val="00D34616"/>
    <w:pPr>
      <w:keepNext/>
      <w:spacing w:before="240"/>
      <w:jc w:val="center"/>
    </w:pPr>
  </w:style>
  <w:style w:type="paragraph" w:customStyle="1" w:styleId="Protlang0">
    <w:name w:val="Prot lang"/>
    <w:basedOn w:val="Prot0"/>
    <w:next w:val="Protpays0"/>
    <w:rsid w:val="00D3461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D34616"/>
    <w:pPr>
      <w:framePr w:wrap="auto"/>
      <w:spacing w:before="113" w:line="199" w:lineRule="exact"/>
      <w:jc w:val="left"/>
    </w:pPr>
  </w:style>
  <w:style w:type="paragraph" w:customStyle="1" w:styleId="Prottexte0">
    <w:name w:val="Prot texte"/>
    <w:basedOn w:val="Protlang0"/>
    <w:rsid w:val="00D34616"/>
    <w:pPr>
      <w:keepNext w:val="0"/>
      <w:keepLines w:val="0"/>
      <w:framePr w:wrap="auto"/>
      <w:spacing w:before="113" w:line="199" w:lineRule="exact"/>
      <w:jc w:val="both"/>
    </w:pPr>
    <w:rPr>
      <w:i w:val="0"/>
    </w:rPr>
  </w:style>
  <w:style w:type="paragraph" w:customStyle="1" w:styleId="Protcall0">
    <w:name w:val="Prot call"/>
    <w:basedOn w:val="Prottexte0"/>
    <w:next w:val="Prottexte0"/>
    <w:rsid w:val="00D34616"/>
    <w:pPr>
      <w:keepNext/>
      <w:keepLines/>
      <w:framePr w:wrap="auto" w:xAlign="left"/>
      <w:spacing w:before="170"/>
      <w:ind w:left="794"/>
      <w:jc w:val="left"/>
    </w:pPr>
    <w:rPr>
      <w:i/>
    </w:rPr>
  </w:style>
  <w:style w:type="character" w:styleId="PageNumber">
    <w:name w:val="page number"/>
    <w:basedOn w:val="DefaultParagraphFont"/>
    <w:rsid w:val="00D34616"/>
  </w:style>
  <w:style w:type="paragraph" w:customStyle="1" w:styleId="TableFin">
    <w:name w:val="Table_Fin"/>
    <w:basedOn w:val="Normal"/>
    <w:rsid w:val="00D34616"/>
    <w:pPr>
      <w:tabs>
        <w:tab w:val="clear" w:pos="1134"/>
      </w:tabs>
      <w:spacing w:before="0"/>
    </w:pPr>
    <w:rPr>
      <w:sz w:val="12"/>
    </w:rPr>
  </w:style>
  <w:style w:type="paragraph" w:customStyle="1" w:styleId="MEP">
    <w:name w:val="MEP"/>
    <w:basedOn w:val="Normal"/>
    <w:rsid w:val="00D34616"/>
  </w:style>
  <w:style w:type="paragraph" w:customStyle="1" w:styleId="head">
    <w:name w:val="head"/>
    <w:basedOn w:val="headfoot"/>
    <w:rsid w:val="00D34616"/>
  </w:style>
  <w:style w:type="paragraph" w:customStyle="1" w:styleId="foot">
    <w:name w:val="foot"/>
    <w:basedOn w:val="headfoot"/>
    <w:rsid w:val="00D34616"/>
  </w:style>
  <w:style w:type="character" w:customStyle="1" w:styleId="href">
    <w:name w:val="href"/>
    <w:basedOn w:val="DefaultParagraphFont"/>
    <w:rsid w:val="00D34616"/>
  </w:style>
  <w:style w:type="paragraph" w:customStyle="1" w:styleId="Section2">
    <w:name w:val="Section_2"/>
    <w:basedOn w:val="Section1"/>
    <w:rsid w:val="00D34616"/>
    <w:pPr>
      <w:jc w:val="left"/>
    </w:pPr>
    <w:rPr>
      <w:b w:val="0"/>
      <w:i/>
    </w:rPr>
  </w:style>
  <w:style w:type="paragraph" w:customStyle="1" w:styleId="Section3">
    <w:name w:val="Section_3"/>
    <w:basedOn w:val="Section1"/>
    <w:rsid w:val="00D34616"/>
    <w:rPr>
      <w:b w:val="0"/>
    </w:rPr>
  </w:style>
  <w:style w:type="paragraph" w:customStyle="1" w:styleId="EquationLegend">
    <w:name w:val="Equation_Legend"/>
    <w:basedOn w:val="NormalIndent"/>
    <w:rsid w:val="00D34616"/>
  </w:style>
  <w:style w:type="paragraph" w:customStyle="1" w:styleId="Call">
    <w:name w:val="Call"/>
    <w:basedOn w:val="Normal"/>
    <w:next w:val="Normal"/>
    <w:rsid w:val="00D34616"/>
    <w:pPr>
      <w:tabs>
        <w:tab w:val="clear" w:pos="1871"/>
        <w:tab w:val="clear" w:pos="2268"/>
      </w:tabs>
      <w:spacing w:before="360"/>
      <w:ind w:left="1134"/>
    </w:pPr>
    <w:rPr>
      <w:i/>
    </w:rPr>
  </w:style>
  <w:style w:type="paragraph" w:customStyle="1" w:styleId="Headingb">
    <w:name w:val="Heading b"/>
    <w:basedOn w:val="Heading3"/>
    <w:rsid w:val="00D34616"/>
    <w:pPr>
      <w:spacing w:before="400"/>
      <w:ind w:left="0" w:firstLine="0"/>
      <w:outlineLvl w:val="9"/>
    </w:pPr>
  </w:style>
  <w:style w:type="paragraph" w:customStyle="1" w:styleId="TableHead">
    <w:name w:val="Table_Head"/>
    <w:basedOn w:val="TableText"/>
    <w:next w:val="TableText"/>
    <w:rsid w:val="00D34616"/>
    <w:pPr>
      <w:spacing w:before="80" w:after="80"/>
      <w:jc w:val="center"/>
    </w:pPr>
    <w:rPr>
      <w:b/>
    </w:rPr>
  </w:style>
  <w:style w:type="paragraph" w:customStyle="1" w:styleId="Line">
    <w:name w:val="Line"/>
    <w:basedOn w:val="Normal"/>
    <w:next w:val="Normal"/>
    <w:rsid w:val="00D3461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34616"/>
    <w:rPr>
      <w:b w:val="0"/>
      <w:i/>
    </w:rPr>
  </w:style>
  <w:style w:type="paragraph" w:styleId="TableofFigures">
    <w:name w:val="table of figures"/>
    <w:basedOn w:val="Normal"/>
    <w:next w:val="Normal"/>
    <w:semiHidden/>
    <w:rsid w:val="00D3461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D3461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D34616"/>
    <w:rPr>
      <w:sz w:val="16"/>
    </w:rPr>
  </w:style>
  <w:style w:type="paragraph" w:styleId="CommentText">
    <w:name w:val="annotation text"/>
    <w:basedOn w:val="Normal"/>
    <w:semiHidden/>
    <w:rsid w:val="00D34616"/>
    <w:rPr>
      <w:sz w:val="20"/>
      <w:lang w:val="fr-FR"/>
    </w:rPr>
  </w:style>
  <w:style w:type="paragraph" w:customStyle="1" w:styleId="Tabletext0">
    <w:name w:val="Table_text"/>
    <w:basedOn w:val="Normal"/>
    <w:link w:val="TabletextChar"/>
    <w:rsid w:val="00D3461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D3461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D34616"/>
    <w:pPr>
      <w:keepNext/>
      <w:spacing w:before="80" w:after="80"/>
      <w:jc w:val="center"/>
    </w:pPr>
    <w:rPr>
      <w:b/>
    </w:rPr>
  </w:style>
  <w:style w:type="character" w:customStyle="1" w:styleId="Artrefdef">
    <w:name w:val="Art_ref_def"/>
    <w:basedOn w:val="DefaultParagraphFont"/>
    <w:rsid w:val="00D34616"/>
  </w:style>
  <w:style w:type="character" w:customStyle="1" w:styleId="Apprefdef">
    <w:name w:val="App_ref_def"/>
    <w:basedOn w:val="DefaultParagraphFont"/>
    <w:rsid w:val="00D34616"/>
  </w:style>
  <w:style w:type="character" w:customStyle="1" w:styleId="Resrefdef">
    <w:name w:val="Res_ref_def"/>
    <w:basedOn w:val="DefaultParagraphFont"/>
    <w:rsid w:val="00D34616"/>
  </w:style>
  <w:style w:type="paragraph" w:customStyle="1" w:styleId="HeaderRegProc">
    <w:name w:val="Header_RegProc"/>
    <w:basedOn w:val="Normal"/>
    <w:rsid w:val="00D3461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D34616"/>
    <w:pPr>
      <w:tabs>
        <w:tab w:val="clear" w:pos="907"/>
        <w:tab w:val="left" w:pos="1814"/>
      </w:tabs>
      <w:spacing w:before="80"/>
      <w:ind w:left="1815"/>
    </w:pPr>
    <w:rPr>
      <w:lang w:val="fr-CH"/>
    </w:rPr>
  </w:style>
  <w:style w:type="character" w:customStyle="1" w:styleId="href2">
    <w:name w:val="href2"/>
    <w:basedOn w:val="href"/>
    <w:rsid w:val="00D34616"/>
  </w:style>
  <w:style w:type="character" w:customStyle="1" w:styleId="Style1">
    <w:name w:val="Style1"/>
    <w:basedOn w:val="DefaultParagraphFont"/>
    <w:rsid w:val="00D34616"/>
  </w:style>
  <w:style w:type="character" w:customStyle="1" w:styleId="Appdef">
    <w:name w:val="App_def"/>
    <w:rsid w:val="00D34616"/>
    <w:rPr>
      <w:b/>
      <w:color w:val="FFCC00"/>
    </w:rPr>
  </w:style>
  <w:style w:type="character" w:customStyle="1" w:styleId="Appref">
    <w:name w:val="App_ref"/>
    <w:rsid w:val="00D34616"/>
    <w:rPr>
      <w:color w:val="3366FF"/>
    </w:rPr>
  </w:style>
  <w:style w:type="character" w:customStyle="1" w:styleId="Artdef">
    <w:name w:val="Art_def"/>
    <w:rsid w:val="00D34616"/>
    <w:rPr>
      <w:b/>
      <w:color w:val="FFCC00"/>
    </w:rPr>
  </w:style>
  <w:style w:type="character" w:customStyle="1" w:styleId="Artref">
    <w:name w:val="Art_ref"/>
    <w:rsid w:val="00D34616"/>
    <w:rPr>
      <w:color w:val="3366FF"/>
    </w:rPr>
  </w:style>
  <w:style w:type="character" w:customStyle="1" w:styleId="Recdef">
    <w:name w:val="Rec_def"/>
    <w:rsid w:val="00D34616"/>
    <w:rPr>
      <w:b/>
      <w:color w:val="FFCC00"/>
    </w:rPr>
  </w:style>
  <w:style w:type="character" w:customStyle="1" w:styleId="Recref">
    <w:name w:val="Rec_ref"/>
    <w:rsid w:val="00D34616"/>
    <w:rPr>
      <w:color w:val="3366FF"/>
    </w:rPr>
  </w:style>
  <w:style w:type="character" w:customStyle="1" w:styleId="Resdef">
    <w:name w:val="Res_def"/>
    <w:rsid w:val="00D34616"/>
    <w:rPr>
      <w:b/>
      <w:color w:val="FFCC00"/>
    </w:rPr>
  </w:style>
  <w:style w:type="character" w:customStyle="1" w:styleId="Resref">
    <w:name w:val="Res_ref"/>
    <w:rsid w:val="00D34616"/>
    <w:rPr>
      <w:color w:val="3366FF"/>
    </w:rPr>
  </w:style>
  <w:style w:type="character" w:customStyle="1" w:styleId="Tableref0">
    <w:name w:val="Table_ref"/>
    <w:rsid w:val="00D34616"/>
    <w:rPr>
      <w:color w:val="3366FF"/>
    </w:rPr>
  </w:style>
  <w:style w:type="character" w:customStyle="1" w:styleId="Appref0">
    <w:name w:val="App#_ref"/>
    <w:basedOn w:val="DefaultParagraphFont"/>
    <w:rsid w:val="00D34616"/>
  </w:style>
  <w:style w:type="character" w:customStyle="1" w:styleId="Artref0">
    <w:name w:val="Art#_ref"/>
    <w:basedOn w:val="DefaultParagraphFont"/>
    <w:rsid w:val="00D34616"/>
  </w:style>
  <w:style w:type="paragraph" w:customStyle="1" w:styleId="ArtNo">
    <w:name w:val="Art_No"/>
    <w:basedOn w:val="Normal"/>
    <w:next w:val="Arttitle"/>
    <w:rsid w:val="007E4690"/>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character" w:customStyle="1" w:styleId="FootnoteTextChar">
    <w:name w:val="Footnote Text Char"/>
    <w:link w:val="FootnoteText"/>
    <w:rsid w:val="007E4690"/>
    <w:rPr>
      <w:lang w:val="en-GB" w:eastAsia="en-US"/>
    </w:rPr>
  </w:style>
  <w:style w:type="paragraph" w:styleId="BalloonText">
    <w:name w:val="Balloon Text"/>
    <w:basedOn w:val="Normal"/>
    <w:link w:val="BalloonTextChar"/>
    <w:rsid w:val="007E4690"/>
    <w:pPr>
      <w:spacing w:before="0"/>
    </w:pPr>
    <w:rPr>
      <w:rFonts w:ascii="Tahoma" w:hAnsi="Tahoma" w:cs="Tahoma"/>
      <w:sz w:val="16"/>
      <w:szCs w:val="16"/>
    </w:rPr>
  </w:style>
  <w:style w:type="character" w:customStyle="1" w:styleId="BalloonTextChar">
    <w:name w:val="Balloon Text Char"/>
    <w:link w:val="BalloonText"/>
    <w:rsid w:val="007E4690"/>
    <w:rPr>
      <w:rFonts w:ascii="Tahoma" w:hAnsi="Tahoma" w:cs="Tahoma"/>
      <w:sz w:val="16"/>
      <w:szCs w:val="16"/>
      <w:lang w:val="en-GB" w:eastAsia="en-US"/>
    </w:rPr>
  </w:style>
  <w:style w:type="paragraph" w:customStyle="1" w:styleId="Normalaftertitle0">
    <w:name w:val="Normal_after_title"/>
    <w:basedOn w:val="Normal"/>
    <w:next w:val="Normal"/>
    <w:rsid w:val="007E4690"/>
    <w:pPr>
      <w:tabs>
        <w:tab w:val="clear" w:pos="1134"/>
        <w:tab w:val="clear" w:pos="1871"/>
        <w:tab w:val="clear" w:pos="2268"/>
        <w:tab w:val="left" w:pos="794"/>
        <w:tab w:val="left" w:pos="1191"/>
        <w:tab w:val="left" w:pos="1588"/>
        <w:tab w:val="left" w:pos="1985"/>
      </w:tabs>
      <w:spacing w:before="360"/>
      <w:jc w:val="left"/>
    </w:pPr>
    <w:rPr>
      <w:lang w:val="fr-FR"/>
    </w:rPr>
  </w:style>
  <w:style w:type="table" w:styleId="TableGrid">
    <w:name w:val="Table Grid"/>
    <w:basedOn w:val="TableNormal"/>
    <w:rsid w:val="007E4690"/>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rsid w:val="007E4690"/>
    <w:rPr>
      <w:sz w:val="24"/>
      <w:lang w:val="en-GB" w:eastAsia="en-US"/>
    </w:rPr>
  </w:style>
  <w:style w:type="character" w:customStyle="1" w:styleId="Heading9Char">
    <w:name w:val="Heading 9 Char"/>
    <w:link w:val="Heading9"/>
    <w:rsid w:val="007E4690"/>
    <w:rPr>
      <w:b/>
      <w:sz w:val="24"/>
      <w:lang w:val="en-GB" w:eastAsia="en-US"/>
    </w:rPr>
  </w:style>
  <w:style w:type="character" w:customStyle="1" w:styleId="TabletextChar">
    <w:name w:val="Table_text Char"/>
    <w:link w:val="Tabletext0"/>
    <w:rsid w:val="007E4690"/>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765F4-6ECB-4B6B-A32D-3B639D48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TotalTime>
  <Pages>7</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Corr.BAT_x000d_
ULT.</dc:description>
  <cp:lastModifiedBy>Al-Yammouni, Hala</cp:lastModifiedBy>
  <cp:revision>20</cp:revision>
  <cp:lastPrinted>2021-05-17T08:00:00Z</cp:lastPrinted>
  <dcterms:created xsi:type="dcterms:W3CDTF">2012-08-08T15:45:00Z</dcterms:created>
  <dcterms:modified xsi:type="dcterms:W3CDTF">2021-05-17T08:01:00Z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