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16C5C" w14:textId="77777777" w:rsidR="004E6A5E" w:rsidRPr="001674FC" w:rsidRDefault="004E6A5E" w:rsidP="004E6A5E">
      <w:pPr>
        <w:pStyle w:val="Heading1"/>
        <w:spacing w:before="240"/>
        <w:jc w:val="center"/>
        <w:rPr>
          <w:lang w:val="fr-CH"/>
        </w:rPr>
      </w:pPr>
      <w:r w:rsidRPr="001674FC">
        <w:rPr>
          <w:lang w:val="fr-CH"/>
        </w:rPr>
        <w:t>Règles relatives à la</w:t>
      </w:r>
    </w:p>
    <w:p w14:paraId="75270014" w14:textId="77777777" w:rsidR="004E6A5E" w:rsidRPr="001674FC" w:rsidRDefault="004E6A5E" w:rsidP="004E6A5E">
      <w:pPr>
        <w:pStyle w:val="Heading2"/>
        <w:spacing w:before="240"/>
        <w:jc w:val="center"/>
        <w:rPr>
          <w:lang w:val="fr-CH"/>
        </w:rPr>
      </w:pPr>
      <w:r w:rsidRPr="001674FC">
        <w:rPr>
          <w:lang w:val="fr-CH"/>
        </w:rPr>
        <w:t>R</w:t>
      </w:r>
      <w:r w:rsidRPr="001674FC">
        <w:rPr>
          <w:caps/>
          <w:lang w:val="fr-CH"/>
        </w:rPr>
        <w:t>é</w:t>
      </w:r>
      <w:r w:rsidRPr="001674FC">
        <w:rPr>
          <w:lang w:val="fr-CH"/>
        </w:rPr>
        <w:t>SOLUTION 170 (CMR-19)</w:t>
      </w:r>
    </w:p>
    <w:p w14:paraId="743AE670" w14:textId="77777777" w:rsidR="004E6A5E" w:rsidRPr="001674FC" w:rsidRDefault="004E6A5E" w:rsidP="004E6A5E">
      <w:pPr>
        <w:spacing w:before="240"/>
        <w:rPr>
          <w:color w:val="000000"/>
          <w:lang w:val="fr-CH"/>
        </w:rPr>
      </w:pPr>
      <w:r w:rsidRPr="001674FC">
        <w:rPr>
          <w:b/>
          <w:bCs/>
          <w:color w:val="000000"/>
          <w:lang w:val="fr-CH"/>
        </w:rPr>
        <w:t xml:space="preserve">Note </w:t>
      </w:r>
      <w:proofErr w:type="gramStart"/>
      <w:r w:rsidRPr="001674FC">
        <w:rPr>
          <w:b/>
          <w:bCs/>
          <w:color w:val="000000"/>
          <w:lang w:val="fr-CH"/>
        </w:rPr>
        <w:t>1</w:t>
      </w:r>
      <w:r w:rsidRPr="001674FC">
        <w:rPr>
          <w:color w:val="000000"/>
          <w:lang w:val="fr-CH"/>
        </w:rPr>
        <w:t>:</w:t>
      </w:r>
      <w:proofErr w:type="gramEnd"/>
      <w:r w:rsidRPr="001674FC">
        <w:rPr>
          <w:color w:val="000000"/>
          <w:lang w:val="fr-CH"/>
        </w:rPr>
        <w:t xml:space="preserve"> La CMR-19 a pris la décision suivante concernant la Résolution </w:t>
      </w:r>
      <w:r w:rsidRPr="001674FC">
        <w:rPr>
          <w:b/>
          <w:bCs/>
          <w:color w:val="000000"/>
          <w:lang w:val="fr-CH"/>
        </w:rPr>
        <w:t>170</w:t>
      </w:r>
      <w:r w:rsidRPr="001674FC">
        <w:rPr>
          <w:color w:val="000000"/>
          <w:lang w:val="fr-CH"/>
        </w:rPr>
        <w:t xml:space="preserve">, </w:t>
      </w:r>
      <w:r>
        <w:rPr>
          <w:color w:val="000000"/>
          <w:lang w:val="fr-CH"/>
        </w:rPr>
        <w:t>lors de la </w:t>
      </w:r>
      <w:r w:rsidRPr="001674FC">
        <w:rPr>
          <w:color w:val="000000"/>
          <w:lang w:val="fr-CH"/>
        </w:rPr>
        <w:t xml:space="preserve">10ème séance plénière, voir les paragraphes 12.2 à 12.4 du Document CMR19/571, </w:t>
      </w:r>
      <w:r>
        <w:rPr>
          <w:color w:val="000000"/>
          <w:lang w:val="fr-CH"/>
        </w:rPr>
        <w:t>dans le cadre </w:t>
      </w:r>
      <w:r w:rsidRPr="001674FC">
        <w:rPr>
          <w:color w:val="000000"/>
          <w:lang w:val="fr-CH"/>
        </w:rPr>
        <w:t xml:space="preserve">de l'approbation du Document CMR19/509, voir également les Règles de procédure relatives aux Annexes 3 et 4 de l'Appendice </w:t>
      </w:r>
      <w:r w:rsidRPr="001674FC">
        <w:rPr>
          <w:b/>
          <w:bCs/>
          <w:color w:val="000000"/>
          <w:lang w:val="fr-CH"/>
        </w:rPr>
        <w:t>30B</w:t>
      </w:r>
      <w:r w:rsidRPr="001674FC">
        <w:rPr>
          <w:color w:val="000000"/>
          <w:lang w:val="fr-CH"/>
        </w:rPr>
        <w:t>):</w:t>
      </w:r>
    </w:p>
    <w:p w14:paraId="12A75B8A" w14:textId="77777777" w:rsidR="004E6A5E" w:rsidRPr="00090C2D" w:rsidRDefault="004E6A5E" w:rsidP="004E6A5E">
      <w:pPr>
        <w:pStyle w:val="Heading1"/>
        <w:spacing w:before="240"/>
        <w:rPr>
          <w:b w:val="0"/>
          <w:i/>
          <w:iCs/>
          <w:szCs w:val="24"/>
          <w:lang w:val="fr-CH"/>
        </w:rPr>
      </w:pPr>
      <w:proofErr w:type="gramStart"/>
      <w:r w:rsidRPr="001674FC">
        <w:rPr>
          <w:bCs/>
          <w:sz w:val="20"/>
          <w:lang w:val="fr-CH"/>
        </w:rPr>
        <w:t>«</w:t>
      </w:r>
      <w:r w:rsidRPr="00090C2D">
        <w:rPr>
          <w:i/>
          <w:iCs/>
          <w:szCs w:val="24"/>
          <w:lang w:val="fr-CH"/>
        </w:rPr>
        <w:t>Instructions</w:t>
      </w:r>
      <w:proofErr w:type="gramEnd"/>
      <w:r w:rsidRPr="00090C2D">
        <w:rPr>
          <w:i/>
          <w:iCs/>
          <w:szCs w:val="24"/>
          <w:lang w:val="fr-CH"/>
        </w:rPr>
        <w:t xml:space="preserve"> données au Bureau des </w:t>
      </w:r>
      <w:r w:rsidRPr="00090C2D">
        <w:rPr>
          <w:i/>
          <w:iCs/>
          <w:lang w:val="fr-CH"/>
        </w:rPr>
        <w:t>radiocommunications</w:t>
      </w:r>
      <w:r w:rsidRPr="00090C2D">
        <w:rPr>
          <w:i/>
          <w:iCs/>
          <w:szCs w:val="24"/>
          <w:lang w:val="fr-CH"/>
        </w:rPr>
        <w:t xml:space="preserve"> concernant l'application de la Résolution [A7(E)-AP30B] (CMR-19)</w:t>
      </w:r>
    </w:p>
    <w:p w14:paraId="396F728F" w14:textId="77777777" w:rsidR="004E6A5E" w:rsidRPr="00090C2D" w:rsidRDefault="004E6A5E" w:rsidP="004E6A5E">
      <w:pPr>
        <w:keepNext/>
        <w:keepLines/>
        <w:spacing w:before="240"/>
        <w:ind w:left="794" w:hanging="794"/>
        <w:outlineLvl w:val="0"/>
        <w:rPr>
          <w:b/>
          <w:i/>
          <w:iCs/>
          <w:lang w:val="fr-CH"/>
        </w:rPr>
      </w:pPr>
      <w:r w:rsidRPr="00090C2D">
        <w:rPr>
          <w:b/>
          <w:i/>
          <w:iCs/>
          <w:lang w:val="fr-CH"/>
        </w:rPr>
        <w:t>1</w:t>
      </w:r>
      <w:r w:rsidRPr="00090C2D">
        <w:rPr>
          <w:b/>
          <w:i/>
          <w:iCs/>
          <w:lang w:val="fr-CH"/>
        </w:rPr>
        <w:tab/>
        <w:t>Application du § 2 de la pièce jointe à la Résolution [A7(E)</w:t>
      </w:r>
      <w:r w:rsidRPr="00090C2D">
        <w:rPr>
          <w:b/>
          <w:i/>
          <w:iCs/>
          <w:lang w:val="fr-CH"/>
        </w:rPr>
        <w:noBreakHyphen/>
        <w:t>AP30B] (CMR-19) concernant la modification au titre du § 6.1 de l'Appendice 30B du RR d'une soumission envoyée précédemment au Bureau au titre du § 6.1 de l'Appendice 30B du RR</w:t>
      </w:r>
    </w:p>
    <w:p w14:paraId="038A9EFC" w14:textId="77777777" w:rsidR="004E6A5E" w:rsidRPr="00090C2D" w:rsidRDefault="004E6A5E" w:rsidP="004E6A5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120" w:after="40"/>
        <w:rPr>
          <w:i/>
          <w:iCs/>
          <w:szCs w:val="24"/>
          <w:lang w:val="fr-CH"/>
        </w:rPr>
      </w:pPr>
      <w:r w:rsidRPr="00090C2D">
        <w:rPr>
          <w:i/>
          <w:iCs/>
          <w:szCs w:val="24"/>
          <w:lang w:val="fr-CH"/>
        </w:rPr>
        <w:t xml:space="preserve">Lorsqu'en application du § 2 de la pièce jointe à la Résolution </w:t>
      </w:r>
      <w:r w:rsidRPr="00090C2D">
        <w:rPr>
          <w:b/>
          <w:i/>
          <w:iCs/>
          <w:szCs w:val="24"/>
          <w:lang w:val="fr-CH"/>
        </w:rPr>
        <w:t>[A7(E)-AP30B] (CMR</w:t>
      </w:r>
      <w:r w:rsidRPr="00090C2D">
        <w:rPr>
          <w:b/>
          <w:i/>
          <w:iCs/>
          <w:szCs w:val="24"/>
          <w:lang w:val="fr-CH"/>
        </w:rPr>
        <w:noBreakHyphen/>
        <w:t>19)</w:t>
      </w:r>
      <w:r w:rsidRPr="00090C2D">
        <w:rPr>
          <w:i/>
          <w:iCs/>
          <w:szCs w:val="24"/>
          <w:lang w:val="fr-CH"/>
        </w:rPr>
        <w:t xml:space="preserve"> une administration a l'intention de modifier une soumission envoyée précédemment au Bureau au titre du § 6.1 de l'Appendice </w:t>
      </w:r>
      <w:r w:rsidRPr="00090C2D">
        <w:rPr>
          <w:b/>
          <w:i/>
          <w:iCs/>
          <w:szCs w:val="24"/>
          <w:lang w:val="fr-CH"/>
        </w:rPr>
        <w:t>30B</w:t>
      </w:r>
      <w:r w:rsidRPr="00090C2D">
        <w:rPr>
          <w:i/>
          <w:iCs/>
          <w:szCs w:val="24"/>
          <w:lang w:val="fr-CH"/>
        </w:rPr>
        <w:t xml:space="preserve"> du RR pour la soumettre à nouveau au titre du § 6.1 de l'Appendice </w:t>
      </w:r>
      <w:r w:rsidRPr="00090C2D">
        <w:rPr>
          <w:b/>
          <w:i/>
          <w:iCs/>
          <w:szCs w:val="24"/>
          <w:lang w:val="fr-CH"/>
        </w:rPr>
        <w:t>30B</w:t>
      </w:r>
      <w:r w:rsidRPr="00090C2D">
        <w:rPr>
          <w:i/>
          <w:iCs/>
          <w:szCs w:val="24"/>
          <w:lang w:val="fr-CH"/>
        </w:rPr>
        <w:t xml:space="preserve"> du RR en appliquant la procédure spéciale décrite dans la pièce jointe à la Résolution </w:t>
      </w:r>
      <w:r w:rsidRPr="00090C2D">
        <w:rPr>
          <w:b/>
          <w:i/>
          <w:iCs/>
          <w:szCs w:val="24"/>
          <w:lang w:val="fr-CH"/>
        </w:rPr>
        <w:t>[A7(E)</w:t>
      </w:r>
      <w:r w:rsidRPr="00090C2D">
        <w:rPr>
          <w:b/>
          <w:i/>
          <w:iCs/>
          <w:szCs w:val="24"/>
          <w:lang w:val="fr-CH"/>
        </w:rPr>
        <w:noBreakHyphen/>
        <w:t>AP30B]</w:t>
      </w:r>
      <w:r w:rsidRPr="00090C2D">
        <w:rPr>
          <w:i/>
          <w:iCs/>
          <w:szCs w:val="24"/>
          <w:lang w:val="fr-CH"/>
        </w:rPr>
        <w:t xml:space="preserve"> </w:t>
      </w:r>
      <w:r w:rsidRPr="00090C2D">
        <w:rPr>
          <w:b/>
          <w:i/>
          <w:iCs/>
          <w:szCs w:val="24"/>
          <w:lang w:val="fr-CH"/>
        </w:rPr>
        <w:t>(CMR-19)</w:t>
      </w:r>
      <w:r w:rsidRPr="00090C2D">
        <w:rPr>
          <w:i/>
          <w:iCs/>
          <w:szCs w:val="24"/>
          <w:lang w:val="fr-CH"/>
        </w:rPr>
        <w:t xml:space="preserve">, le Bureau doit vérifier si l'ellipse minimale soumise dans le cadre de cette procédure reste dans les limites définies dans la soumission initiale au titre du § 6.1 de l'Appendice </w:t>
      </w:r>
      <w:r w:rsidRPr="00090C2D">
        <w:rPr>
          <w:b/>
          <w:i/>
          <w:iCs/>
          <w:szCs w:val="24"/>
          <w:lang w:val="fr-CH"/>
        </w:rPr>
        <w:t xml:space="preserve">30B </w:t>
      </w:r>
      <w:r w:rsidRPr="00090C2D">
        <w:rPr>
          <w:i/>
          <w:iCs/>
          <w:szCs w:val="24"/>
          <w:lang w:val="fr-CH"/>
        </w:rPr>
        <w:t xml:space="preserve">du RR. Si tel est le cas, le Bureau conservera la date initiale de réception de la première soumission au titre du § 6.1 de l'Appendice </w:t>
      </w:r>
      <w:r w:rsidRPr="00090C2D">
        <w:rPr>
          <w:b/>
          <w:i/>
          <w:iCs/>
          <w:szCs w:val="24"/>
          <w:lang w:val="fr-CH"/>
        </w:rPr>
        <w:t xml:space="preserve">30B </w:t>
      </w:r>
      <w:r w:rsidRPr="00090C2D">
        <w:rPr>
          <w:i/>
          <w:iCs/>
          <w:szCs w:val="24"/>
          <w:lang w:val="fr-CH"/>
        </w:rPr>
        <w:t>du RR, recommencera le processus d'examen de la compatibilité avec les fiches de notification existantes et publiera une nouvelle section spéciale. Dans le cas contraire, le Bureau donnera une nouvelle date de réception, qui correspond à la date à laquelle la demande d'application de cette procédure a été reçue.</w:t>
      </w:r>
    </w:p>
    <w:p w14:paraId="7801E483" w14:textId="77777777" w:rsidR="004E6A5E" w:rsidRPr="00090C2D" w:rsidRDefault="004E6A5E" w:rsidP="004E6A5E">
      <w:pPr>
        <w:keepNext/>
        <w:keepLines/>
        <w:spacing w:before="120"/>
        <w:ind w:left="794" w:hanging="794"/>
        <w:outlineLvl w:val="0"/>
        <w:rPr>
          <w:b/>
          <w:i/>
          <w:iCs/>
          <w:lang w:val="fr-CH"/>
        </w:rPr>
      </w:pPr>
      <w:r w:rsidRPr="00090C2D">
        <w:rPr>
          <w:b/>
          <w:i/>
          <w:iCs/>
          <w:lang w:val="fr-CH"/>
        </w:rPr>
        <w:t>2</w:t>
      </w:r>
      <w:r w:rsidRPr="00090C2D">
        <w:rPr>
          <w:b/>
          <w:i/>
          <w:iCs/>
          <w:lang w:val="fr-CH"/>
        </w:rPr>
        <w:tab/>
        <w:t>Application du § 2 de la pièce jointe à la Résolution [A7(E)</w:t>
      </w:r>
      <w:r w:rsidRPr="00090C2D">
        <w:rPr>
          <w:b/>
          <w:i/>
          <w:iCs/>
          <w:lang w:val="fr-CH"/>
        </w:rPr>
        <w:noBreakHyphen/>
        <w:t>AP30B] (CMR-19) concernant la présentation d'une soumission directement au titre du § 6.17 de l'Appendice 30B du RR, d'une soumission envoyée précédemment au Bureau au titre du § 6.1 de l'Appendice 30B du RR</w:t>
      </w:r>
    </w:p>
    <w:p w14:paraId="7BA873EA" w14:textId="77777777" w:rsidR="004E6A5E" w:rsidRPr="00090C2D" w:rsidRDefault="004E6A5E" w:rsidP="004E6A5E">
      <w:pPr>
        <w:keepNext/>
        <w:keepLines/>
        <w:spacing w:before="120"/>
        <w:ind w:left="794" w:hanging="794"/>
        <w:outlineLvl w:val="0"/>
        <w:rPr>
          <w:i/>
          <w:iCs/>
          <w:lang w:val="fr-CH"/>
        </w:rPr>
      </w:pPr>
      <w:r w:rsidRPr="00090C2D">
        <w:rPr>
          <w:i/>
          <w:iCs/>
          <w:lang w:val="fr-CH"/>
        </w:rPr>
        <w:t>a)</w:t>
      </w:r>
      <w:r w:rsidRPr="00090C2D">
        <w:rPr>
          <w:i/>
          <w:iCs/>
          <w:lang w:val="fr-CH"/>
        </w:rPr>
        <w:tab/>
        <w:t>Soumission d'une ellipse au titre du § 6.17 de l'Appendice 30B du RR</w:t>
      </w:r>
    </w:p>
    <w:p w14:paraId="0D6518CB" w14:textId="285D8C39" w:rsidR="000A14AD" w:rsidRPr="00090C2D" w:rsidRDefault="004E6A5E" w:rsidP="004E6A5E">
      <w:pPr>
        <w:tabs>
          <w:tab w:val="left" w:pos="851"/>
          <w:tab w:val="left" w:pos="1418"/>
          <w:tab w:val="left" w:pos="1701"/>
          <w:tab w:val="left" w:pos="2552"/>
          <w:tab w:val="left" w:pos="2835"/>
          <w:tab w:val="left" w:pos="3119"/>
          <w:tab w:val="left" w:pos="3402"/>
          <w:tab w:val="left" w:pos="3686"/>
          <w:tab w:val="left" w:pos="3969"/>
        </w:tabs>
        <w:spacing w:before="120" w:after="40"/>
        <w:ind w:left="799" w:hanging="567"/>
        <w:rPr>
          <w:i/>
          <w:iCs/>
          <w:szCs w:val="24"/>
          <w:lang w:val="fr-CH"/>
        </w:rPr>
      </w:pPr>
      <w:r w:rsidRPr="00090C2D">
        <w:rPr>
          <w:i/>
          <w:iCs/>
          <w:szCs w:val="24"/>
          <w:lang w:val="fr-CH"/>
        </w:rPr>
        <w:tab/>
        <w:t xml:space="preserve">Lorsqu'en application du § 2 de la pièce jointe à la Résolution </w:t>
      </w:r>
      <w:r w:rsidRPr="00090C2D">
        <w:rPr>
          <w:b/>
          <w:i/>
          <w:iCs/>
          <w:szCs w:val="24"/>
          <w:lang w:val="fr-CH"/>
        </w:rPr>
        <w:t>[A7(E)</w:t>
      </w:r>
      <w:r w:rsidRPr="00090C2D">
        <w:rPr>
          <w:b/>
          <w:i/>
          <w:iCs/>
          <w:szCs w:val="24"/>
          <w:lang w:val="fr-CH"/>
        </w:rPr>
        <w:noBreakHyphen/>
        <w:t>AP30B] (CMR</w:t>
      </w:r>
      <w:r w:rsidRPr="00090C2D">
        <w:rPr>
          <w:b/>
          <w:i/>
          <w:iCs/>
          <w:szCs w:val="24"/>
          <w:lang w:val="fr-CH"/>
        </w:rPr>
        <w:noBreakHyphen/>
        <w:t>19)</w:t>
      </w:r>
      <w:r w:rsidRPr="00090C2D">
        <w:rPr>
          <w:i/>
          <w:iCs/>
          <w:szCs w:val="24"/>
          <w:lang w:val="fr-CH"/>
        </w:rPr>
        <w:t xml:space="preserve">, une administration a l'intention de présenter une soumission directement au titre du § 6.17 de l'Appendice </w:t>
      </w:r>
      <w:r w:rsidRPr="00090C2D">
        <w:rPr>
          <w:b/>
          <w:i/>
          <w:iCs/>
          <w:szCs w:val="24"/>
          <w:lang w:val="fr-CH"/>
        </w:rPr>
        <w:t>30B</w:t>
      </w:r>
      <w:r w:rsidRPr="00090C2D">
        <w:rPr>
          <w:i/>
          <w:iCs/>
          <w:szCs w:val="24"/>
          <w:lang w:val="fr-CH"/>
        </w:rPr>
        <w:t xml:space="preserve"> du RR et d'appliquer la procédure spéciale décrite dans la pièce jointe à la Résolution </w:t>
      </w:r>
      <w:r w:rsidRPr="00090C2D">
        <w:rPr>
          <w:b/>
          <w:i/>
          <w:iCs/>
          <w:szCs w:val="24"/>
          <w:lang w:val="fr-CH"/>
        </w:rPr>
        <w:t>[A7(E)</w:t>
      </w:r>
      <w:r w:rsidRPr="00090C2D">
        <w:rPr>
          <w:b/>
          <w:i/>
          <w:iCs/>
          <w:szCs w:val="24"/>
          <w:lang w:val="fr-CH"/>
        </w:rPr>
        <w:noBreakHyphen/>
        <w:t>AP30B] (CMR-19)</w:t>
      </w:r>
      <w:r w:rsidRPr="00090C2D">
        <w:rPr>
          <w:i/>
          <w:iCs/>
          <w:szCs w:val="24"/>
          <w:lang w:val="fr-CH"/>
        </w:rPr>
        <w:t xml:space="preserve"> pour une soumission envoyée précédemment au Bureau au titre du § 6.1 de l'Appendice </w:t>
      </w:r>
      <w:r w:rsidRPr="00090C2D">
        <w:rPr>
          <w:b/>
          <w:i/>
          <w:iCs/>
          <w:szCs w:val="24"/>
          <w:lang w:val="fr-CH"/>
        </w:rPr>
        <w:t xml:space="preserve">30B </w:t>
      </w:r>
      <w:r w:rsidRPr="00090C2D">
        <w:rPr>
          <w:i/>
          <w:iCs/>
          <w:szCs w:val="24"/>
          <w:lang w:val="fr-CH"/>
        </w:rPr>
        <w:t xml:space="preserve">du RR, le Bureau doit vérifier si l'ellipse minimale soumise dans le cadre de cette procédure reste dans les limites définies dans la soumission initiale au titre du § 6.1 de l'Appendice </w:t>
      </w:r>
      <w:r w:rsidRPr="00090C2D">
        <w:rPr>
          <w:b/>
          <w:i/>
          <w:iCs/>
          <w:szCs w:val="24"/>
          <w:lang w:val="fr-CH"/>
        </w:rPr>
        <w:t xml:space="preserve">30B </w:t>
      </w:r>
      <w:r w:rsidRPr="00090C2D">
        <w:rPr>
          <w:i/>
          <w:iCs/>
          <w:szCs w:val="24"/>
          <w:lang w:val="fr-CH"/>
        </w:rPr>
        <w:t xml:space="preserve">du RR. Si tel est le cas, le Bureau conservera la date initiale de réception de la première soumission au titre du § 6.1 de l'Appendice </w:t>
      </w:r>
      <w:r w:rsidRPr="00090C2D">
        <w:rPr>
          <w:b/>
          <w:i/>
          <w:iCs/>
          <w:szCs w:val="24"/>
          <w:lang w:val="fr-CH"/>
        </w:rPr>
        <w:t>30B</w:t>
      </w:r>
      <w:r w:rsidRPr="00090C2D">
        <w:rPr>
          <w:i/>
          <w:iCs/>
          <w:szCs w:val="24"/>
          <w:lang w:val="fr-CH"/>
        </w:rPr>
        <w:t xml:space="preserve"> du RR et effectuera l'analyse au titre du § 6.17 de l'Appendice </w:t>
      </w:r>
      <w:r w:rsidRPr="00090C2D">
        <w:rPr>
          <w:b/>
          <w:i/>
          <w:iCs/>
          <w:szCs w:val="24"/>
          <w:lang w:val="fr-CH"/>
        </w:rPr>
        <w:t>30B</w:t>
      </w:r>
      <w:r w:rsidRPr="00090C2D">
        <w:rPr>
          <w:i/>
          <w:iCs/>
          <w:szCs w:val="24"/>
          <w:lang w:val="fr-CH"/>
        </w:rPr>
        <w:t xml:space="preserve"> du RR sur la base de cette ellipse minimale. Dans le cas contraire, le Bureau retournera la fiche de notification à l'administration.</w:t>
      </w:r>
    </w:p>
    <w:p w14:paraId="28EAA193" w14:textId="77777777" w:rsidR="000A14AD" w:rsidRPr="00090C2D" w:rsidRDefault="000A14AD" w:rsidP="000A14AD">
      <w:pPr>
        <w:spacing w:before="80"/>
        <w:ind w:left="794" w:hanging="794"/>
        <w:rPr>
          <w:i/>
          <w:iCs/>
          <w:szCs w:val="24"/>
          <w:lang w:val="fr-CH"/>
        </w:rPr>
      </w:pPr>
      <w:r w:rsidRPr="00090C2D">
        <w:rPr>
          <w:i/>
          <w:iCs/>
          <w:szCs w:val="24"/>
          <w:lang w:val="fr-CH"/>
        </w:rPr>
        <w:br w:type="page"/>
      </w:r>
    </w:p>
    <w:p w14:paraId="3EF26B5F" w14:textId="77777777" w:rsidR="004E6A5E" w:rsidRPr="00090C2D" w:rsidRDefault="004E6A5E" w:rsidP="004E6A5E">
      <w:pPr>
        <w:keepNext/>
        <w:tabs>
          <w:tab w:val="left" w:pos="851"/>
          <w:tab w:val="left" w:pos="1418"/>
          <w:tab w:val="left" w:pos="1701"/>
          <w:tab w:val="left" w:pos="2552"/>
          <w:tab w:val="left" w:pos="2835"/>
          <w:tab w:val="left" w:pos="3119"/>
          <w:tab w:val="left" w:pos="3402"/>
          <w:tab w:val="left" w:pos="3686"/>
          <w:tab w:val="left" w:pos="3969"/>
        </w:tabs>
        <w:spacing w:before="0"/>
        <w:rPr>
          <w:i/>
          <w:iCs/>
          <w:szCs w:val="24"/>
          <w:lang w:val="fr-CH"/>
        </w:rPr>
      </w:pPr>
      <w:r w:rsidRPr="00090C2D">
        <w:rPr>
          <w:i/>
          <w:iCs/>
          <w:szCs w:val="24"/>
          <w:lang w:val="fr-CH"/>
        </w:rPr>
        <w:lastRenderedPageBreak/>
        <w:t>b)</w:t>
      </w:r>
      <w:r w:rsidRPr="00090C2D">
        <w:rPr>
          <w:i/>
          <w:iCs/>
          <w:szCs w:val="24"/>
          <w:lang w:val="fr-CH"/>
        </w:rPr>
        <w:tab/>
        <w:t>Soumission d'un faisceau conformé au titre du § 6.17 de l'Appendice 30B du RR</w:t>
      </w:r>
    </w:p>
    <w:p w14:paraId="750DF5F2" w14:textId="77777777" w:rsidR="004E6A5E" w:rsidRPr="00090C2D" w:rsidRDefault="004E6A5E" w:rsidP="004E6A5E">
      <w:pPr>
        <w:keepNext/>
        <w:tabs>
          <w:tab w:val="left" w:pos="851"/>
          <w:tab w:val="left" w:pos="1418"/>
          <w:tab w:val="left" w:pos="1701"/>
          <w:tab w:val="left" w:pos="2552"/>
          <w:tab w:val="left" w:pos="2835"/>
          <w:tab w:val="left" w:pos="3119"/>
          <w:tab w:val="left" w:pos="3402"/>
          <w:tab w:val="left" w:pos="3686"/>
          <w:tab w:val="left" w:pos="3969"/>
        </w:tabs>
        <w:spacing w:before="120"/>
        <w:ind w:left="851" w:hanging="851"/>
        <w:rPr>
          <w:i/>
          <w:iCs/>
          <w:szCs w:val="24"/>
          <w:lang w:val="fr-CH"/>
        </w:rPr>
      </w:pPr>
      <w:r w:rsidRPr="00090C2D">
        <w:rPr>
          <w:i/>
          <w:iCs/>
          <w:szCs w:val="24"/>
          <w:lang w:val="fr-CH"/>
        </w:rPr>
        <w:tab/>
        <w:t>Lorsque, en application du § 2 de la pièce jointe à la Résolution [</w:t>
      </w:r>
      <w:r w:rsidRPr="00090C2D">
        <w:rPr>
          <w:b/>
          <w:i/>
          <w:iCs/>
          <w:szCs w:val="24"/>
          <w:lang w:val="fr-CH"/>
        </w:rPr>
        <w:t>A7(E)-AP30B] (CMR</w:t>
      </w:r>
      <w:r w:rsidRPr="00090C2D">
        <w:rPr>
          <w:b/>
          <w:i/>
          <w:iCs/>
          <w:szCs w:val="24"/>
          <w:lang w:val="fr-CH"/>
        </w:rPr>
        <w:noBreakHyphen/>
        <w:t>19)</w:t>
      </w:r>
      <w:r w:rsidRPr="00090C2D">
        <w:rPr>
          <w:i/>
          <w:iCs/>
          <w:szCs w:val="24"/>
          <w:lang w:val="fr-CH"/>
        </w:rPr>
        <w:t xml:space="preserve">, une administration a l'intention de présenter une soumission directement au titre du § 6.17 de l'Appendice </w:t>
      </w:r>
      <w:r w:rsidRPr="00090C2D">
        <w:rPr>
          <w:b/>
          <w:i/>
          <w:iCs/>
          <w:szCs w:val="24"/>
          <w:lang w:val="fr-CH"/>
        </w:rPr>
        <w:t>30B</w:t>
      </w:r>
      <w:r w:rsidRPr="00090C2D">
        <w:rPr>
          <w:i/>
          <w:iCs/>
          <w:szCs w:val="24"/>
          <w:lang w:val="fr-CH"/>
        </w:rPr>
        <w:t xml:space="preserve"> du RR et d'appliquer la procédure spéciale décrite dans la pièce jointe à la Résolution </w:t>
      </w:r>
      <w:r w:rsidRPr="00090C2D">
        <w:rPr>
          <w:b/>
          <w:i/>
          <w:iCs/>
          <w:szCs w:val="24"/>
          <w:lang w:val="fr-CH"/>
        </w:rPr>
        <w:t>[A7(E)</w:t>
      </w:r>
      <w:r w:rsidRPr="00090C2D">
        <w:rPr>
          <w:b/>
          <w:i/>
          <w:iCs/>
          <w:szCs w:val="24"/>
          <w:lang w:val="fr-CH"/>
        </w:rPr>
        <w:noBreakHyphen/>
        <w:t>AP30B] (CMR-19)</w:t>
      </w:r>
      <w:r w:rsidRPr="00090C2D">
        <w:rPr>
          <w:i/>
          <w:iCs/>
          <w:szCs w:val="24"/>
          <w:lang w:val="fr-CH"/>
        </w:rPr>
        <w:t xml:space="preserve"> pour une soumission envoyée précédemment au Bureau au titre du § 6.1 de l'Appendice </w:t>
      </w:r>
      <w:r w:rsidRPr="00090C2D">
        <w:rPr>
          <w:b/>
          <w:i/>
          <w:iCs/>
          <w:szCs w:val="24"/>
          <w:lang w:val="fr-CH"/>
        </w:rPr>
        <w:t xml:space="preserve">30B </w:t>
      </w:r>
      <w:r w:rsidRPr="00090C2D">
        <w:rPr>
          <w:i/>
          <w:iCs/>
          <w:szCs w:val="24"/>
          <w:lang w:val="fr-CH"/>
        </w:rPr>
        <w:t>du RR, le Bureau doit vérifier si le faisceau conformé soumis dans le cadre de cette procédure reste dans les limites de l'ellipse minimale définies par le Bureau, compte tenu des points de mesure associés, et dans les limites définies dans la soumission initiale au titre du § 6.1 de l'Appendice </w:t>
      </w:r>
      <w:r w:rsidRPr="00090C2D">
        <w:rPr>
          <w:b/>
          <w:i/>
          <w:iCs/>
          <w:szCs w:val="24"/>
          <w:lang w:val="fr-CH"/>
        </w:rPr>
        <w:t xml:space="preserve">30B </w:t>
      </w:r>
      <w:r w:rsidRPr="00090C2D">
        <w:rPr>
          <w:i/>
          <w:iCs/>
          <w:szCs w:val="24"/>
          <w:lang w:val="fr-CH"/>
        </w:rPr>
        <w:t xml:space="preserve">du RR. Si tel est le cas, le Bureau conservera la date initiale de réception de la première soumission au titre du § 6.1 de l'Appendice </w:t>
      </w:r>
      <w:r w:rsidRPr="00090C2D">
        <w:rPr>
          <w:b/>
          <w:i/>
          <w:iCs/>
          <w:szCs w:val="24"/>
          <w:lang w:val="fr-CH"/>
        </w:rPr>
        <w:t>30B</w:t>
      </w:r>
      <w:r w:rsidRPr="00090C2D">
        <w:rPr>
          <w:i/>
          <w:iCs/>
          <w:szCs w:val="24"/>
          <w:lang w:val="fr-CH"/>
        </w:rPr>
        <w:t xml:space="preserve"> du RR et effectuera l'analyse au titre du § 6.17 de l'Appendice </w:t>
      </w:r>
      <w:r w:rsidRPr="00090C2D">
        <w:rPr>
          <w:b/>
          <w:i/>
          <w:iCs/>
          <w:szCs w:val="24"/>
          <w:lang w:val="fr-CH"/>
        </w:rPr>
        <w:t>30B</w:t>
      </w:r>
      <w:r w:rsidRPr="00090C2D">
        <w:rPr>
          <w:i/>
          <w:iCs/>
          <w:szCs w:val="24"/>
          <w:lang w:val="fr-CH"/>
        </w:rPr>
        <w:t xml:space="preserve"> du RR sur la base de cette ellipse minimale. Dans le cas contraire, le Bureau retournera la fiche de notification à l'administration.</w:t>
      </w:r>
    </w:p>
    <w:p w14:paraId="33A14E55" w14:textId="77777777" w:rsidR="004E6A5E" w:rsidRPr="00090C2D" w:rsidRDefault="004E6A5E" w:rsidP="004E6A5E">
      <w:pPr>
        <w:keepNext/>
        <w:keepLines/>
        <w:spacing w:before="120"/>
        <w:ind w:left="794" w:hanging="794"/>
        <w:outlineLvl w:val="0"/>
        <w:rPr>
          <w:b/>
          <w:i/>
          <w:iCs/>
          <w:lang w:val="fr-CH"/>
        </w:rPr>
      </w:pPr>
      <w:r w:rsidRPr="00090C2D">
        <w:rPr>
          <w:b/>
          <w:i/>
          <w:iCs/>
          <w:lang w:val="fr-CH"/>
        </w:rPr>
        <w:t>3</w:t>
      </w:r>
      <w:r w:rsidRPr="00090C2D">
        <w:rPr>
          <w:b/>
          <w:i/>
          <w:iCs/>
          <w:lang w:val="fr-CH"/>
        </w:rPr>
        <w:tab/>
        <w:t>Faisceau à créer en cas de soumission d'un système additionnel par une administration agissant au nom d'un groupe d'administrations nommément désignées</w:t>
      </w:r>
    </w:p>
    <w:p w14:paraId="4E46F1D0" w14:textId="77777777" w:rsidR="004E6A5E" w:rsidRPr="00090C2D" w:rsidRDefault="004E6A5E" w:rsidP="004E6A5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120"/>
        <w:rPr>
          <w:i/>
          <w:iCs/>
          <w:szCs w:val="24"/>
          <w:lang w:val="fr-CH"/>
        </w:rPr>
      </w:pPr>
      <w:r w:rsidRPr="00090C2D">
        <w:rPr>
          <w:i/>
          <w:iCs/>
          <w:szCs w:val="24"/>
          <w:lang w:val="fr-CH"/>
        </w:rPr>
        <w:t xml:space="preserve">Pour une soumission d'un système additionnel par une administration agissant au nom d'un groupe d'administrations nommément désignées, le faisceau de la soumission est produit en combinant toutes les ellipses minimales individuelles associées à chacune des administrations du </w:t>
      </w:r>
      <w:proofErr w:type="gramStart"/>
      <w:r w:rsidRPr="00090C2D">
        <w:rPr>
          <w:i/>
          <w:iCs/>
          <w:szCs w:val="24"/>
          <w:lang w:val="fr-CH"/>
        </w:rPr>
        <w:t>groupe:</w:t>
      </w:r>
      <w:proofErr w:type="gramEnd"/>
    </w:p>
    <w:p w14:paraId="12B797B9" w14:textId="77777777" w:rsidR="004E6A5E" w:rsidRPr="00090C2D" w:rsidRDefault="004E6A5E" w:rsidP="004E6A5E">
      <w:pPr>
        <w:spacing w:before="80"/>
        <w:ind w:left="794" w:hanging="794"/>
        <w:rPr>
          <w:i/>
          <w:iCs/>
          <w:lang w:val="fr-CH"/>
        </w:rPr>
      </w:pPr>
      <w:r w:rsidRPr="00090C2D">
        <w:rPr>
          <w:i/>
          <w:iCs/>
          <w:lang w:val="fr-CH"/>
        </w:rPr>
        <w:t>–</w:t>
      </w:r>
      <w:r w:rsidRPr="00090C2D">
        <w:rPr>
          <w:i/>
          <w:iCs/>
          <w:lang w:val="fr-CH"/>
        </w:rPr>
        <w:tab/>
        <w:t>Si toutes les ellipses minimales individuelles se chevauchent, le faisceau ne contient qu'une zone de couverture formée par les contours liés à la combinaison de toutes les ellipses minimales individuelles.</w:t>
      </w:r>
    </w:p>
    <w:p w14:paraId="284461E9" w14:textId="77777777" w:rsidR="004E6A5E" w:rsidRPr="00090C2D" w:rsidRDefault="004E6A5E" w:rsidP="004E6A5E">
      <w:pPr>
        <w:spacing w:before="80"/>
        <w:ind w:left="794" w:hanging="794"/>
        <w:rPr>
          <w:i/>
          <w:iCs/>
          <w:lang w:val="fr-CH"/>
        </w:rPr>
      </w:pPr>
      <w:r w:rsidRPr="00090C2D">
        <w:rPr>
          <w:i/>
          <w:iCs/>
          <w:lang w:val="fr-CH"/>
        </w:rPr>
        <w:t>–</w:t>
      </w:r>
      <w:r w:rsidRPr="00090C2D">
        <w:rPr>
          <w:i/>
          <w:iCs/>
          <w:lang w:val="fr-CH"/>
        </w:rPr>
        <w:tab/>
        <w:t>Si toutes les ellipses minimales individuelles ne se chevauchent pas, le faisceau est constitué de plusieurs faisceaux ponctuels découlant des ellipses qui ne se chevauchent pas, et chaque faisceau ponctuel est formé par les contours liés à la combinaison des ellipses minimales individuelles qui se chevauchent.</w:t>
      </w:r>
    </w:p>
    <w:p w14:paraId="626CE8FB" w14:textId="77777777" w:rsidR="004E6A5E" w:rsidRPr="00090C2D" w:rsidRDefault="004E6A5E" w:rsidP="004E6A5E">
      <w:pPr>
        <w:keepNext/>
        <w:keepLines/>
        <w:spacing w:before="120"/>
        <w:ind w:left="794" w:hanging="794"/>
        <w:outlineLvl w:val="0"/>
        <w:rPr>
          <w:b/>
          <w:i/>
          <w:iCs/>
          <w:lang w:val="fr-CH"/>
        </w:rPr>
      </w:pPr>
      <w:r w:rsidRPr="00090C2D">
        <w:rPr>
          <w:b/>
          <w:i/>
          <w:iCs/>
          <w:lang w:val="fr-CH"/>
        </w:rPr>
        <w:t>4</w:t>
      </w:r>
      <w:r w:rsidRPr="00090C2D">
        <w:rPr>
          <w:b/>
          <w:i/>
          <w:iCs/>
          <w:lang w:val="fr-CH"/>
        </w:rPr>
        <w:tab/>
        <w:t>Application du § 12 de la pièce jointe à la Résolution [A7(E)</w:t>
      </w:r>
      <w:r w:rsidRPr="00090C2D">
        <w:rPr>
          <w:b/>
          <w:i/>
          <w:iCs/>
          <w:lang w:val="fr-CH"/>
        </w:rPr>
        <w:noBreakHyphen/>
        <w:t>AP30B] (CMR-19) lorsque l'administration notificatrice du réseau existant ne collabore pas</w:t>
      </w:r>
    </w:p>
    <w:p w14:paraId="0732CE03" w14:textId="7CEC0411" w:rsidR="004E6A5E" w:rsidRPr="001674FC" w:rsidRDefault="004E6A5E" w:rsidP="004E6A5E">
      <w:pPr>
        <w:spacing w:before="120"/>
        <w:rPr>
          <w:color w:val="000000"/>
          <w:lang w:val="fr-CH"/>
        </w:rPr>
      </w:pPr>
      <w:r w:rsidRPr="00090C2D">
        <w:rPr>
          <w:i/>
          <w:iCs/>
          <w:szCs w:val="24"/>
          <w:lang w:val="fr-CH"/>
        </w:rPr>
        <w:t xml:space="preserve">Lorsqu'en application du § 12 de la pièce jointe à la Résolution </w:t>
      </w:r>
      <w:r w:rsidRPr="00090C2D">
        <w:rPr>
          <w:b/>
          <w:i/>
          <w:iCs/>
          <w:szCs w:val="24"/>
          <w:lang w:val="fr-CH"/>
        </w:rPr>
        <w:t>[A7(E)</w:t>
      </w:r>
      <w:r w:rsidRPr="00090C2D">
        <w:rPr>
          <w:b/>
          <w:i/>
          <w:iCs/>
          <w:szCs w:val="24"/>
          <w:lang w:val="fr-CH"/>
        </w:rPr>
        <w:noBreakHyphen/>
        <w:t>AP30B] (CMR</w:t>
      </w:r>
      <w:r w:rsidRPr="00090C2D">
        <w:rPr>
          <w:b/>
          <w:i/>
          <w:iCs/>
          <w:szCs w:val="24"/>
          <w:lang w:val="fr-CH"/>
        </w:rPr>
        <w:noBreakHyphen/>
        <w:t>19)</w:t>
      </w:r>
      <w:r w:rsidRPr="00090C2D">
        <w:rPr>
          <w:i/>
          <w:iCs/>
          <w:szCs w:val="24"/>
          <w:lang w:val="fr-CH"/>
        </w:rPr>
        <w:t>, le Bureau ne reçoit pas de confirmation de la part de l'administration notificatrice du réseau notifié que la collaboration entre les deux administrations a bien été entamée, l'administration notificatrice peut demander l'assistance du Bureau. Le Bureau doit envoyer immédiatement une télécopie à l'administration notificatrice du réseau existant en lui demandant de communiquer sous 30 jours les conditions d'exploitation en vue de vérifier qu'aucun brouillage préjudiciable n'a été causé ainsi que la date proposée pour la mise en œuvre de ces conditions, dans les 4 mois suivants, en vue d'appliquer le § 12 de la Résolution</w:t>
      </w:r>
      <w:r w:rsidR="0085491B">
        <w:rPr>
          <w:i/>
          <w:iCs/>
          <w:szCs w:val="24"/>
          <w:lang w:val="fr-CH"/>
        </w:rPr>
        <w:t> </w:t>
      </w:r>
      <w:r w:rsidRPr="00090C2D">
        <w:rPr>
          <w:i/>
          <w:iCs/>
          <w:szCs w:val="24"/>
          <w:lang w:val="fr-CH"/>
        </w:rPr>
        <w:t>[</w:t>
      </w:r>
      <w:r w:rsidRPr="00090C2D">
        <w:rPr>
          <w:b/>
          <w:i/>
          <w:iCs/>
          <w:szCs w:val="24"/>
          <w:lang w:val="fr-CH"/>
        </w:rPr>
        <w:t>A7(E)</w:t>
      </w:r>
      <w:r w:rsidRPr="00090C2D">
        <w:rPr>
          <w:b/>
          <w:i/>
          <w:iCs/>
          <w:szCs w:val="24"/>
          <w:lang w:val="fr-CH"/>
        </w:rPr>
        <w:noBreakHyphen/>
        <w:t>AP30B]</w:t>
      </w:r>
      <w:r w:rsidRPr="00090C2D">
        <w:rPr>
          <w:i/>
          <w:iCs/>
          <w:szCs w:val="24"/>
          <w:lang w:val="fr-CH"/>
        </w:rPr>
        <w:t>. Si le Bureau ne reçoit pas ces informations, il doit envoyer immédiatement un rappel en accordant un nouveau délai de 15 jours pour répondre. En l'absence d'accusé de réception dans un délai de 15 jours, l'administration notificatrice du réseau existant qui n'a pas entamé de collaboration est réputée s'être engagée à ne formuler aucune plainte concernant les brouillages préjudiciables affectant ses propres assignations et qui pourraient être causés par l'assignation de l'administration notificatrice du réseau notifié pour lequel une demande de coordination a été formulée</w:t>
      </w:r>
      <w:proofErr w:type="gramStart"/>
      <w:r w:rsidRPr="00090C2D">
        <w:rPr>
          <w:i/>
          <w:iCs/>
          <w:szCs w:val="24"/>
          <w:lang w:val="fr-CH"/>
        </w:rPr>
        <w:t>.</w:t>
      </w:r>
      <w:r w:rsidRPr="001674FC">
        <w:rPr>
          <w:szCs w:val="24"/>
          <w:lang w:val="fr-CH"/>
        </w:rPr>
        <w:t>»</w:t>
      </w:r>
      <w:proofErr w:type="gramEnd"/>
    </w:p>
    <w:p w14:paraId="431600FD" w14:textId="7517CEF7" w:rsidR="004E6A5E" w:rsidRPr="006F53F8" w:rsidRDefault="004E6A5E" w:rsidP="006D6EDD">
      <w:pPr>
        <w:tabs>
          <w:tab w:val="left" w:pos="284"/>
        </w:tabs>
        <w:overflowPunct/>
        <w:autoSpaceDE/>
        <w:autoSpaceDN/>
        <w:adjustRightInd/>
        <w:spacing w:before="0"/>
        <w:textAlignment w:val="auto"/>
        <w:rPr>
          <w:b/>
          <w:bCs/>
          <w:color w:val="000000"/>
          <w:sz w:val="20"/>
          <w:lang w:val="fr-CH"/>
        </w:rPr>
      </w:pPr>
      <w:r w:rsidRPr="006F53F8">
        <w:rPr>
          <w:i/>
          <w:iCs/>
          <w:sz w:val="20"/>
          <w:lang w:val="fr-CH"/>
        </w:rPr>
        <w:t>*</w:t>
      </w:r>
      <w:r w:rsidRPr="006F53F8">
        <w:rPr>
          <w:i/>
          <w:iCs/>
          <w:sz w:val="20"/>
          <w:lang w:val="fr-CH"/>
        </w:rPr>
        <w:tab/>
        <w:t xml:space="preserve">Note du </w:t>
      </w:r>
      <w:proofErr w:type="gramStart"/>
      <w:r w:rsidRPr="006F53F8">
        <w:rPr>
          <w:i/>
          <w:iCs/>
          <w:sz w:val="20"/>
          <w:lang w:val="fr-CH"/>
        </w:rPr>
        <w:t>Secrétariat:</w:t>
      </w:r>
      <w:proofErr w:type="gramEnd"/>
      <w:r w:rsidRPr="006F53F8">
        <w:rPr>
          <w:i/>
          <w:iCs/>
          <w:sz w:val="20"/>
          <w:lang w:val="fr-CH"/>
        </w:rPr>
        <w:t xml:space="preserve"> </w:t>
      </w:r>
      <w:r w:rsidRPr="006F53F8">
        <w:rPr>
          <w:color w:val="000000"/>
          <w:sz w:val="20"/>
          <w:lang w:val="fr-CH"/>
        </w:rPr>
        <w:t xml:space="preserve">Le numéro définitif de la Résolution </w:t>
      </w:r>
      <w:r w:rsidRPr="006F53F8">
        <w:rPr>
          <w:b/>
          <w:bCs/>
          <w:sz w:val="20"/>
          <w:lang w:val="fr-CH"/>
        </w:rPr>
        <w:t>[A7(E)-AP30B] (CMR-19)</w:t>
      </w:r>
      <w:r w:rsidRPr="006F53F8">
        <w:rPr>
          <w:sz w:val="20"/>
          <w:lang w:val="fr-CH"/>
        </w:rPr>
        <w:t xml:space="preserve"> est le suivant: Résolution </w:t>
      </w:r>
      <w:r w:rsidRPr="006F53F8">
        <w:rPr>
          <w:b/>
          <w:bCs/>
          <w:sz w:val="20"/>
          <w:lang w:val="fr-CH"/>
        </w:rPr>
        <w:t>170 (CMR-19)</w:t>
      </w:r>
      <w:r w:rsidRPr="006F53F8">
        <w:rPr>
          <w:sz w:val="20"/>
          <w:lang w:val="fr-CH"/>
        </w:rPr>
        <w:t>.</w:t>
      </w:r>
      <w:r>
        <w:rPr>
          <w:sz w:val="20"/>
          <w:lang w:val="fr-CH"/>
        </w:rPr>
        <w:t> </w:t>
      </w:r>
    </w:p>
    <w:p w14:paraId="01D1B84D" w14:textId="740D2B28" w:rsidR="00E052A7" w:rsidRPr="006D6EDD" w:rsidRDefault="00E052A7" w:rsidP="006D6EDD">
      <w:pPr>
        <w:spacing w:before="0"/>
        <w:jc w:val="center"/>
        <w:rPr>
          <w:color w:val="000000"/>
        </w:rPr>
      </w:pPr>
      <w:r>
        <w:rPr>
          <w:color w:val="000000"/>
        </w:rPr>
        <w:t>____________________</w:t>
      </w:r>
    </w:p>
    <w:p w14:paraId="65980689" w14:textId="77777777" w:rsidR="00E052A7" w:rsidRDefault="00E052A7" w:rsidP="0089365D">
      <w:pPr>
        <w:rPr>
          <w:lang w:val="en-US"/>
        </w:rPr>
        <w:sectPr w:rsidR="00E052A7">
          <w:headerReference w:type="even" r:id="rId6"/>
          <w:headerReference w:type="default" r:id="rId7"/>
          <w:footnotePr>
            <w:pos w:val="beneathText"/>
          </w:footnotePr>
          <w:pgSz w:w="11907" w:h="16840" w:code="9"/>
          <w:pgMar w:top="1701" w:right="851" w:bottom="1134" w:left="1985" w:header="720" w:footer="482" w:gutter="0"/>
          <w:cols w:space="720"/>
          <w:vAlign w:val="both"/>
        </w:sectPr>
      </w:pPr>
    </w:p>
    <w:p w14:paraId="143FA831" w14:textId="77777777" w:rsidR="00E052A7" w:rsidRDefault="00E052A7" w:rsidP="0089365D">
      <w:pPr>
        <w:rPr>
          <w:lang w:val="en-US"/>
        </w:rPr>
      </w:pPr>
    </w:p>
    <w:sectPr w:rsidR="00E052A7" w:rsidSect="0089365D">
      <w:headerReference w:type="first" r:id="rId8"/>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9A7806" w14:textId="77777777" w:rsidR="00824378" w:rsidRDefault="00824378">
      <w:r>
        <w:separator/>
      </w:r>
    </w:p>
  </w:endnote>
  <w:endnote w:type="continuationSeparator" w:id="0">
    <w:p w14:paraId="30701766" w14:textId="77777777" w:rsidR="00824378" w:rsidRDefault="008243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2411ED" w14:textId="77777777" w:rsidR="00824378" w:rsidRDefault="00824378">
      <w:r>
        <w:rPr>
          <w:b/>
        </w:rPr>
        <w:t>_______________</w:t>
      </w:r>
    </w:p>
  </w:footnote>
  <w:footnote w:type="continuationSeparator" w:id="0">
    <w:p w14:paraId="0968A897" w14:textId="77777777" w:rsidR="00824378" w:rsidRDefault="008243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0A14AD" w14:paraId="6C98E896" w14:textId="77777777" w:rsidTr="000A14AD">
      <w:trPr>
        <w:cantSplit/>
      </w:trPr>
      <w:tc>
        <w:tcPr>
          <w:tcW w:w="1701" w:type="dxa"/>
          <w:tcBorders>
            <w:top w:val="single" w:sz="6" w:space="0" w:color="auto"/>
            <w:left w:val="single" w:sz="6" w:space="0" w:color="auto"/>
            <w:bottom w:val="single" w:sz="6" w:space="0" w:color="auto"/>
            <w:right w:val="single" w:sz="6" w:space="0" w:color="auto"/>
          </w:tcBorders>
        </w:tcPr>
        <w:p w14:paraId="31C116FB" w14:textId="4C20AF1D" w:rsidR="000A14AD" w:rsidRDefault="000A14AD" w:rsidP="000A14AD">
          <w:pPr>
            <w:pStyle w:val="HeaderRegProc"/>
          </w:pPr>
          <w:r>
            <w:t>Part</w:t>
          </w:r>
          <w:r w:rsidR="004E6A5E">
            <w:t>ie</w:t>
          </w:r>
          <w:r>
            <w:t xml:space="preserve"> A1</w:t>
          </w:r>
        </w:p>
      </w:tc>
      <w:tc>
        <w:tcPr>
          <w:tcW w:w="1701" w:type="dxa"/>
          <w:tcBorders>
            <w:top w:val="single" w:sz="6" w:space="0" w:color="auto"/>
            <w:left w:val="single" w:sz="6" w:space="0" w:color="auto"/>
            <w:bottom w:val="single" w:sz="6" w:space="0" w:color="auto"/>
            <w:right w:val="single" w:sz="6" w:space="0" w:color="auto"/>
          </w:tcBorders>
        </w:tcPr>
        <w:p w14:paraId="579B64B0" w14:textId="42944E73" w:rsidR="000A14AD" w:rsidRDefault="000A14AD" w:rsidP="000A14AD">
          <w:pPr>
            <w:pStyle w:val="HeaderRegProc"/>
            <w:rPr>
              <w:lang w:val="fr-FR"/>
            </w:rPr>
          </w:pPr>
          <w:r>
            <w:t>RES</w:t>
          </w:r>
          <w:r w:rsidR="003E1D7F">
            <w:t>170</w:t>
          </w:r>
        </w:p>
      </w:tc>
      <w:tc>
        <w:tcPr>
          <w:tcW w:w="1701" w:type="dxa"/>
          <w:tcBorders>
            <w:top w:val="single" w:sz="6" w:space="0" w:color="auto"/>
            <w:left w:val="single" w:sz="6" w:space="0" w:color="auto"/>
            <w:bottom w:val="single" w:sz="6" w:space="0" w:color="auto"/>
            <w:right w:val="single" w:sz="6" w:space="0" w:color="auto"/>
          </w:tcBorders>
        </w:tcPr>
        <w:p w14:paraId="7F72950B" w14:textId="77777777" w:rsidR="000A14AD" w:rsidRDefault="000A14AD" w:rsidP="000A14AD">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9CCB06B" w14:textId="4D612FE7" w:rsidR="000A14AD" w:rsidRDefault="000A14AD" w:rsidP="000A14AD">
          <w:pPr>
            <w:pStyle w:val="HeaderRegProc"/>
            <w:rPr>
              <w:lang w:val="fr-CH"/>
            </w:rPr>
          </w:pPr>
          <w:proofErr w:type="gramStart"/>
          <w:r>
            <w:rPr>
              <w:lang w:val="fr-CH"/>
            </w:rPr>
            <w:t>r</w:t>
          </w:r>
          <w:r w:rsidR="004E6A5E">
            <w:rPr>
              <w:lang w:val="fr-CH"/>
            </w:rPr>
            <w:t>é</w:t>
          </w:r>
          <w:r>
            <w:rPr>
              <w:lang w:val="fr-CH"/>
            </w:rPr>
            <w:t>v.</w:t>
          </w:r>
          <w:r w:rsidR="005E65B0">
            <w:rPr>
              <w:lang w:val="fr-CH"/>
            </w:rPr>
            <w:t>-</w:t>
          </w:r>
          <w:proofErr w:type="gramEnd"/>
        </w:p>
      </w:tc>
    </w:tr>
  </w:tbl>
  <w:p w14:paraId="430F01B3" w14:textId="77777777" w:rsidR="000A14AD" w:rsidRDefault="000A14A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0A14AD" w14:paraId="43B5D11C"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5DF2A2E8" w14:textId="2F004B74" w:rsidR="000A14AD" w:rsidRDefault="000A14AD" w:rsidP="001221BA">
          <w:pPr>
            <w:pStyle w:val="HeaderRegProc"/>
          </w:pPr>
          <w:r>
            <w:t>Part</w:t>
          </w:r>
          <w:r w:rsidR="004E6A5E">
            <w:t>ie</w:t>
          </w:r>
          <w:r>
            <w:t xml:space="preserve"> A1</w:t>
          </w:r>
        </w:p>
      </w:tc>
      <w:tc>
        <w:tcPr>
          <w:tcW w:w="1701" w:type="dxa"/>
          <w:tcBorders>
            <w:top w:val="single" w:sz="6" w:space="0" w:color="auto"/>
            <w:left w:val="single" w:sz="6" w:space="0" w:color="auto"/>
            <w:bottom w:val="single" w:sz="6" w:space="0" w:color="auto"/>
            <w:right w:val="single" w:sz="6" w:space="0" w:color="auto"/>
          </w:tcBorders>
        </w:tcPr>
        <w:p w14:paraId="406085C2" w14:textId="3E1DFB92" w:rsidR="000A14AD" w:rsidRDefault="000A14AD" w:rsidP="001221BA">
          <w:pPr>
            <w:pStyle w:val="HeaderRegProc"/>
            <w:rPr>
              <w:lang w:val="fr-FR"/>
            </w:rPr>
          </w:pPr>
          <w:r>
            <w:t>RES</w:t>
          </w:r>
          <w:r w:rsidR="003E1D7F">
            <w:t>170</w:t>
          </w:r>
        </w:p>
      </w:tc>
      <w:tc>
        <w:tcPr>
          <w:tcW w:w="1701" w:type="dxa"/>
          <w:tcBorders>
            <w:top w:val="single" w:sz="6" w:space="0" w:color="auto"/>
            <w:left w:val="single" w:sz="6" w:space="0" w:color="auto"/>
            <w:bottom w:val="single" w:sz="6" w:space="0" w:color="auto"/>
            <w:right w:val="single" w:sz="6" w:space="0" w:color="auto"/>
          </w:tcBorders>
        </w:tcPr>
        <w:p w14:paraId="51F83765" w14:textId="77777777" w:rsidR="000A14AD" w:rsidRDefault="000A14AD">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A720851" w14:textId="6487B14F" w:rsidR="000A14AD" w:rsidRDefault="000A14AD" w:rsidP="006A4C0E">
          <w:pPr>
            <w:pStyle w:val="HeaderRegProc"/>
            <w:rPr>
              <w:lang w:val="fr-CH"/>
            </w:rPr>
          </w:pPr>
          <w:proofErr w:type="gramStart"/>
          <w:r>
            <w:rPr>
              <w:lang w:val="fr-CH"/>
            </w:rPr>
            <w:t>r</w:t>
          </w:r>
          <w:r w:rsidR="004E6A5E">
            <w:rPr>
              <w:lang w:val="fr-CH"/>
            </w:rPr>
            <w:t>é</w:t>
          </w:r>
          <w:r>
            <w:rPr>
              <w:lang w:val="fr-CH"/>
            </w:rPr>
            <w:t>v.</w:t>
          </w:r>
          <w:r w:rsidR="005E65B0">
            <w:rPr>
              <w:lang w:val="fr-CH"/>
            </w:rPr>
            <w:t>-</w:t>
          </w:r>
          <w:proofErr w:type="gramEnd"/>
        </w:p>
      </w:tc>
    </w:tr>
  </w:tbl>
  <w:p w14:paraId="3123F62A" w14:textId="77777777" w:rsidR="000A14AD" w:rsidRDefault="000A14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8EE4F4" w14:textId="77777777" w:rsidR="00E052A7" w:rsidRDefault="00E052A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mirrorMargin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2529"/>
  </w:hdrShapeDefault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052A7"/>
    <w:rsid w:val="00090C2D"/>
    <w:rsid w:val="000A14AD"/>
    <w:rsid w:val="000E051F"/>
    <w:rsid w:val="000E7624"/>
    <w:rsid w:val="000F7D8B"/>
    <w:rsid w:val="00117C3F"/>
    <w:rsid w:val="001221BA"/>
    <w:rsid w:val="003E1D7F"/>
    <w:rsid w:val="00442396"/>
    <w:rsid w:val="004E6A5E"/>
    <w:rsid w:val="00545224"/>
    <w:rsid w:val="005E65B0"/>
    <w:rsid w:val="00636EA8"/>
    <w:rsid w:val="006A4C0E"/>
    <w:rsid w:val="006D6EDD"/>
    <w:rsid w:val="00762ECE"/>
    <w:rsid w:val="007E3EEF"/>
    <w:rsid w:val="00824378"/>
    <w:rsid w:val="00844A76"/>
    <w:rsid w:val="0085491B"/>
    <w:rsid w:val="0089365D"/>
    <w:rsid w:val="00935263"/>
    <w:rsid w:val="00C91547"/>
    <w:rsid w:val="00CC1BC0"/>
    <w:rsid w:val="00D41107"/>
    <w:rsid w:val="00E052A7"/>
    <w:rsid w:val="00F17911"/>
    <w:rsid w:val="00F715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1B6B106E"/>
  <w15:docId w15:val="{3A873873-15E5-4745-824A-8F7BDFD5F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aliases w:val="h1"/>
    <w:basedOn w:val="Normal"/>
    <w:next w:val="Normal"/>
    <w:qFormat/>
    <w:pPr>
      <w:keepNext/>
      <w:keepLines/>
      <w:tabs>
        <w:tab w:val="clear" w:pos="2268"/>
      </w:tabs>
      <w:spacing w:before="600"/>
      <w:ind w:left="1134" w:hanging="1134"/>
      <w:outlineLvl w:val="0"/>
    </w:pPr>
    <w:rPr>
      <w:b/>
      <w:sz w:val="28"/>
    </w:rPr>
  </w:style>
  <w:style w:type="paragraph" w:styleId="Heading2">
    <w:name w:val="heading 2"/>
    <w:aliases w:val="h2,UNDERRUBRIK 1-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w:basedOn w:val="DefaultParagraphFont"/>
    <w:rPr>
      <w:position w:val="6"/>
      <w:sz w:val="16"/>
    </w:rPr>
  </w:style>
  <w:style w:type="paragraph" w:styleId="FootnoteText">
    <w:name w:val="footnote text"/>
    <w:basedOn w:val="Normal"/>
    <w:link w:val="FootnoteTextChar"/>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 w:type="character" w:customStyle="1" w:styleId="Resref0">
    <w:name w:val="Res#_ref"/>
    <w:basedOn w:val="DefaultParagraphFont"/>
  </w:style>
  <w:style w:type="character" w:customStyle="1" w:styleId="FootnoteTextChar">
    <w:name w:val="Footnote Text Char"/>
    <w:basedOn w:val="DefaultParagraphFont"/>
    <w:link w:val="FootnoteText"/>
    <w:rsid w:val="000A14A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14</TotalTime>
  <Pages>3</Pages>
  <Words>1004</Words>
  <Characters>5726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6717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RES1 du RR</dc:subject>
  <dc:creator>Composition des Publications</dc:creator>
  <cp:keywords>FOLIOS:  1  -  2</cp:keywords>
  <dc:description>Edition 2009: 10.02.09/SdN_x000d_
Corr.:  24.02.2009/DD  (dict. ok)</dc:description>
  <cp:lastModifiedBy>Al-Yammouni, Hala</cp:lastModifiedBy>
  <cp:revision>12</cp:revision>
  <cp:lastPrinted>2009-02-24T11:01:00Z</cp:lastPrinted>
  <dcterms:created xsi:type="dcterms:W3CDTF">2020-11-18T16:15:00Z</dcterms:created>
  <dcterms:modified xsi:type="dcterms:W3CDTF">2021-05-14T08:59:00Z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