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82BB8" w14:textId="77777777" w:rsidR="00FE6753" w:rsidRDefault="006C3A2B" w:rsidP="00FE6753">
      <w:pPr>
        <w:pStyle w:val="Heading1"/>
        <w:spacing w:before="0"/>
        <w:ind w:left="0" w:firstLine="0"/>
        <w:jc w:val="center"/>
        <w:rPr>
          <w:color w:val="000000"/>
          <w:lang w:val="fr-FR"/>
        </w:rPr>
      </w:pPr>
      <w:r w:rsidRPr="00971433">
        <w:rPr>
          <w:color w:val="000000"/>
          <w:lang w:val="fr-FR"/>
        </w:rPr>
        <w:t>Règles relatives à</w:t>
      </w:r>
    </w:p>
    <w:p w14:paraId="4161E5B2" w14:textId="2B8367B6" w:rsidR="006C3A2B" w:rsidRPr="00971433" w:rsidRDefault="006C3A2B" w:rsidP="00FE6753">
      <w:pPr>
        <w:pStyle w:val="Heading1"/>
        <w:spacing w:before="0"/>
        <w:ind w:left="0" w:firstLine="0"/>
        <w:jc w:val="center"/>
        <w:rPr>
          <w:color w:val="000000"/>
          <w:lang w:val="fr-FR"/>
        </w:rPr>
      </w:pPr>
      <w:proofErr w:type="gramStart"/>
      <w:r w:rsidRPr="00971433">
        <w:rPr>
          <w:color w:val="000000"/>
          <w:lang w:val="fr-FR"/>
        </w:rPr>
        <w:t>l'ARTICLE</w:t>
      </w:r>
      <w:proofErr w:type="gramEnd"/>
      <w:r w:rsidRPr="00971433">
        <w:rPr>
          <w:color w:val="000000"/>
          <w:lang w:val="fr-FR"/>
        </w:rPr>
        <w:t xml:space="preserve"> </w:t>
      </w:r>
      <w:r w:rsidR="00971433" w:rsidRPr="00971433">
        <w:rPr>
          <w:color w:val="000000"/>
          <w:lang w:val="fr-FR"/>
        </w:rPr>
        <w:t xml:space="preserve"> </w:t>
      </w:r>
      <w:r w:rsidRPr="00971433">
        <w:rPr>
          <w:rStyle w:val="href2"/>
          <w:color w:val="000000"/>
          <w:lang w:val="fr-FR"/>
        </w:rPr>
        <w:t>13</w:t>
      </w:r>
      <w:r w:rsidRPr="00971433">
        <w:rPr>
          <w:color w:val="000000"/>
          <w:lang w:val="fr-FR"/>
        </w:rPr>
        <w:t xml:space="preserve"> du RR</w:t>
      </w:r>
      <w:r w:rsidR="00F72E3F">
        <w:rPr>
          <w:rStyle w:val="FootnoteReference"/>
          <w:color w:val="000000"/>
          <w:lang w:val="fr-FR"/>
        </w:rPr>
        <w:footnoteReference w:customMarkFollows="1" w:id="1"/>
        <w:t>*</w:t>
      </w:r>
      <w:r w:rsidR="00C00070" w:rsidRPr="00C00070">
        <w:rPr>
          <w:color w:val="000000"/>
          <w:vertAlign w:val="superscript"/>
          <w:lang w:val="fr-CH"/>
        </w:rPr>
        <w:t>,</w:t>
      </w:r>
      <w:r w:rsidR="00C00070" w:rsidRPr="001674FC">
        <w:rPr>
          <w:color w:val="000000"/>
          <w:vertAlign w:val="superscript"/>
          <w:lang w:val="fr-CH"/>
        </w:rPr>
        <w:t xml:space="preserve"> </w:t>
      </w:r>
      <w:r w:rsidR="00C00070" w:rsidRPr="00E63B28">
        <w:rPr>
          <w:rStyle w:val="FootnoteReference"/>
          <w:color w:val="000000"/>
          <w:lang w:val="fr-CH"/>
        </w:rPr>
        <w:footnoteReference w:customMarkFollows="1" w:id="2"/>
        <w:t>**</w:t>
      </w:r>
    </w:p>
    <w:p w14:paraId="63B5ABD0" w14:textId="77777777" w:rsidR="006C3A2B" w:rsidRPr="00971433" w:rsidRDefault="006C3A2B" w:rsidP="00F72E3F">
      <w:pPr>
        <w:pStyle w:val="Normalaftertitle"/>
        <w:spacing w:before="240"/>
        <w:rPr>
          <w:color w:val="000000"/>
          <w:lang w:val="fr-FR"/>
        </w:rPr>
      </w:pPr>
      <w:r w:rsidRPr="00971433">
        <w:rPr>
          <w:color w:val="000000"/>
          <w:lang w:val="fr-FR"/>
        </w:rPr>
        <w:t xml:space="preserve">Lors de l'examen des Sections III et IV de l'Article </w:t>
      </w:r>
      <w:r w:rsidRPr="00971433">
        <w:rPr>
          <w:rStyle w:val="Artref"/>
          <w:b/>
          <w:bCs/>
          <w:color w:val="000000"/>
          <w:lang w:val="fr-FR"/>
        </w:rPr>
        <w:t>13</w:t>
      </w:r>
      <w:r w:rsidRPr="00971433">
        <w:rPr>
          <w:color w:val="000000"/>
          <w:lang w:val="fr-FR"/>
        </w:rPr>
        <w:t>, le Comité a noté que la CMR</w:t>
      </w:r>
      <w:r w:rsidRPr="00971433">
        <w:rPr>
          <w:color w:val="000000"/>
          <w:lang w:val="fr-FR"/>
        </w:rPr>
        <w:noBreakHyphen/>
        <w:t>97 et la CMR</w:t>
      </w:r>
      <w:r w:rsidRPr="00971433">
        <w:rPr>
          <w:color w:val="000000"/>
          <w:lang w:val="fr-FR"/>
        </w:rPr>
        <w:noBreakHyphen/>
        <w:t>03 avaient apporté des modifications, en particulier en ce qui concerne la procédure d'examen des propositions de modification ou d'adjonction aux Règles de procédure et la possibilité, pour les administrations, de formuler des commentaires sur ces propositions.</w:t>
      </w:r>
    </w:p>
    <w:p w14:paraId="4B8D35B6" w14:textId="77777777" w:rsidR="006C3A2B" w:rsidRPr="00971433" w:rsidRDefault="006C3A2B" w:rsidP="00F72E3F">
      <w:pPr>
        <w:spacing w:before="120"/>
        <w:rPr>
          <w:color w:val="000000"/>
          <w:lang w:val="fr-FR"/>
        </w:rPr>
      </w:pPr>
      <w:r w:rsidRPr="00971433">
        <w:rPr>
          <w:color w:val="000000"/>
          <w:lang w:val="fr-FR"/>
        </w:rPr>
        <w:t xml:space="preserve">Les numéros </w:t>
      </w:r>
      <w:r w:rsidRPr="00971433">
        <w:rPr>
          <w:rStyle w:val="Artref"/>
          <w:b/>
          <w:bCs/>
          <w:color w:val="000000"/>
          <w:lang w:val="fr-FR"/>
        </w:rPr>
        <w:t>13.12A</w:t>
      </w:r>
      <w:r w:rsidRPr="00971433">
        <w:rPr>
          <w:color w:val="000000"/>
          <w:lang w:val="fr-FR"/>
        </w:rPr>
        <w:t xml:space="preserve">, </w:t>
      </w:r>
      <w:r w:rsidRPr="00971433">
        <w:rPr>
          <w:rStyle w:val="Artref"/>
          <w:b/>
          <w:bCs/>
          <w:color w:val="000000"/>
          <w:lang w:val="fr-FR"/>
        </w:rPr>
        <w:t>13.14</w:t>
      </w:r>
      <w:r w:rsidRPr="00971433">
        <w:rPr>
          <w:color w:val="000000"/>
          <w:lang w:val="fr-FR"/>
        </w:rPr>
        <w:t xml:space="preserve"> et </w:t>
      </w:r>
      <w:r w:rsidRPr="00971433">
        <w:rPr>
          <w:rStyle w:val="Artref"/>
          <w:b/>
          <w:bCs/>
          <w:color w:val="000000"/>
          <w:lang w:val="fr-FR"/>
        </w:rPr>
        <w:t>13.15</w:t>
      </w:r>
      <w:r w:rsidRPr="00971433">
        <w:rPr>
          <w:color w:val="000000"/>
          <w:lang w:val="fr-FR"/>
        </w:rPr>
        <w:t>, à la Section III, indiquent la marche à suivre pour modifier les Règles de procédure et établissent l'ordre dans lequel doivent s'effectuer l'examen par le Comité, la publication, les commentaires de la part des administrations et, éventuel</w:t>
      </w:r>
      <w:r w:rsidRPr="00971433">
        <w:rPr>
          <w:color w:val="000000"/>
          <w:lang w:val="fr-FR"/>
        </w:rPr>
        <w:softHyphen/>
        <w:t xml:space="preserve">lement, un réexamen ou une étude spéciale. Par ailleurs, le numéro </w:t>
      </w:r>
      <w:r w:rsidRPr="00971433">
        <w:rPr>
          <w:rStyle w:val="Artref"/>
          <w:b/>
          <w:bCs/>
          <w:color w:val="000000"/>
          <w:lang w:val="fr-FR"/>
        </w:rPr>
        <w:t>13.17</w:t>
      </w:r>
      <w:r w:rsidRPr="00971433">
        <w:rPr>
          <w:color w:val="000000"/>
          <w:lang w:val="fr-FR"/>
        </w:rPr>
        <w:t xml:space="preserve"> de la Section IV, traite aussi de l'élaboration de projets de modification ou d'adjonction concernant les Règles de procédure.</w:t>
      </w:r>
    </w:p>
    <w:p w14:paraId="03525738" w14:textId="77777777" w:rsidR="006C3A2B" w:rsidRPr="00971433" w:rsidRDefault="006C3A2B" w:rsidP="00F72E3F">
      <w:pPr>
        <w:spacing w:before="120"/>
        <w:rPr>
          <w:color w:val="000000"/>
          <w:lang w:val="fr-FR"/>
        </w:rPr>
      </w:pPr>
      <w:r w:rsidRPr="00971433">
        <w:rPr>
          <w:color w:val="000000"/>
          <w:lang w:val="fr-FR"/>
        </w:rPr>
        <w:t>Le Comité a conclu que les procédures à suivre pour apporter des modifications ou des adjonctions aux Règles de procédure n'étaient pas claires.</w:t>
      </w:r>
    </w:p>
    <w:p w14:paraId="148C6061" w14:textId="77777777" w:rsidR="00C00070" w:rsidRDefault="00C00070" w:rsidP="00F72E3F">
      <w:pPr>
        <w:spacing w:before="120"/>
        <w:rPr>
          <w:color w:val="000000"/>
          <w:lang w:val="fr-FR"/>
        </w:rPr>
      </w:pPr>
      <w:r>
        <w:rPr>
          <w:color w:val="000000"/>
          <w:lang w:val="fr-FR"/>
        </w:rPr>
        <w:br w:type="page"/>
      </w:r>
    </w:p>
    <w:p w14:paraId="08E8B97E" w14:textId="1F18C6B9" w:rsidR="006C3A2B" w:rsidRPr="00971433" w:rsidRDefault="006C3A2B" w:rsidP="00F72E3F">
      <w:pPr>
        <w:spacing w:before="120"/>
        <w:rPr>
          <w:color w:val="000000"/>
          <w:lang w:val="fr-FR"/>
        </w:rPr>
      </w:pPr>
      <w:r w:rsidRPr="00971433">
        <w:rPr>
          <w:color w:val="000000"/>
          <w:lang w:val="fr-FR"/>
        </w:rPr>
        <w:lastRenderedPageBreak/>
        <w:t>En conséquence, le Comité a décidé qu'il convenait de sui</w:t>
      </w:r>
      <w:bookmarkStart w:id="0" w:name="_GoBack"/>
      <w:bookmarkEnd w:id="0"/>
      <w:r w:rsidRPr="00971433">
        <w:rPr>
          <w:color w:val="000000"/>
          <w:lang w:val="fr-FR"/>
        </w:rPr>
        <w:t>vre les procédures ci-après concer</w:t>
      </w:r>
      <w:r w:rsidRPr="00971433">
        <w:rPr>
          <w:color w:val="000000"/>
          <w:lang w:val="fr-FR"/>
        </w:rPr>
        <w:softHyphen/>
        <w:t>nant l'application des numéros </w:t>
      </w:r>
      <w:r w:rsidRPr="00971433">
        <w:rPr>
          <w:rStyle w:val="Artref"/>
          <w:b/>
          <w:bCs/>
          <w:color w:val="000000"/>
          <w:lang w:val="fr-FR"/>
        </w:rPr>
        <w:t>13.14</w:t>
      </w:r>
      <w:r w:rsidRPr="00971433">
        <w:rPr>
          <w:color w:val="000000"/>
          <w:lang w:val="fr-FR"/>
        </w:rPr>
        <w:t xml:space="preserve">, </w:t>
      </w:r>
      <w:r w:rsidRPr="00971433">
        <w:rPr>
          <w:rStyle w:val="Artref"/>
          <w:b/>
          <w:bCs/>
          <w:color w:val="000000"/>
          <w:lang w:val="fr-FR"/>
        </w:rPr>
        <w:t>13.15</w:t>
      </w:r>
      <w:r w:rsidRPr="00971433">
        <w:rPr>
          <w:color w:val="000000"/>
          <w:lang w:val="fr-FR"/>
        </w:rPr>
        <w:t xml:space="preserve"> et </w:t>
      </w:r>
      <w:r w:rsidRPr="00971433">
        <w:rPr>
          <w:rStyle w:val="Artref"/>
          <w:b/>
          <w:bCs/>
          <w:color w:val="000000"/>
          <w:lang w:val="fr-FR"/>
        </w:rPr>
        <w:t>13.17</w:t>
      </w:r>
      <w:r w:rsidRPr="00971433">
        <w:rPr>
          <w:color w:val="000000"/>
          <w:lang w:val="fr-FR"/>
        </w:rPr>
        <w:t>:</w:t>
      </w:r>
    </w:p>
    <w:p w14:paraId="6320C874" w14:textId="77777777" w:rsidR="006C3A2B" w:rsidRPr="00971433" w:rsidRDefault="006C3A2B" w:rsidP="00F72E3F">
      <w:pPr>
        <w:pStyle w:val="enumlev1"/>
        <w:spacing w:before="40"/>
        <w:rPr>
          <w:color w:val="000000"/>
          <w:lang w:val="fr-FR"/>
        </w:rPr>
      </w:pPr>
      <w:r w:rsidRPr="00971433">
        <w:rPr>
          <w:i/>
          <w:color w:val="000000"/>
          <w:lang w:val="fr-FR"/>
        </w:rPr>
        <w:t>a)</w:t>
      </w:r>
      <w:r w:rsidRPr="00971433">
        <w:rPr>
          <w:color w:val="000000"/>
          <w:lang w:val="fr-FR"/>
        </w:rPr>
        <w:tab/>
      </w:r>
      <w:r w:rsidRPr="00F72E3F">
        <w:rPr>
          <w:color w:val="000000"/>
          <w:spacing w:val="-4"/>
          <w:lang w:val="fr-FR"/>
        </w:rPr>
        <w:t>Les propositions de modification ou d'adjonction aux Règles de procédure peuvent émaner des administrations, du Bureau ou du Comité lui</w:t>
      </w:r>
      <w:r w:rsidRPr="00F72E3F">
        <w:rPr>
          <w:color w:val="000000"/>
          <w:spacing w:val="-4"/>
          <w:lang w:val="fr-FR"/>
        </w:rPr>
        <w:noBreakHyphen/>
        <w:t xml:space="preserve">même. Quelle que soit l'origine des propositions, le Comité considère qu'aux termes du numéro </w:t>
      </w:r>
      <w:r w:rsidRPr="00F72E3F">
        <w:rPr>
          <w:rStyle w:val="Artref"/>
          <w:b/>
          <w:bCs/>
          <w:color w:val="000000"/>
          <w:spacing w:val="-4"/>
          <w:lang w:val="fr-FR"/>
        </w:rPr>
        <w:t>13.17</w:t>
      </w:r>
      <w:r w:rsidRPr="00F72E3F">
        <w:rPr>
          <w:color w:val="000000"/>
          <w:spacing w:val="-4"/>
          <w:lang w:val="fr-FR"/>
        </w:rPr>
        <w:t xml:space="preserve">, le Bureau doit établir des projets de modification ou d'adjonction aux Règles de procédure découlant de ces propositions. Conformément au numéro </w:t>
      </w:r>
      <w:r w:rsidRPr="00F72E3F">
        <w:rPr>
          <w:rStyle w:val="Artref"/>
          <w:b/>
          <w:bCs/>
          <w:color w:val="000000"/>
          <w:spacing w:val="-4"/>
          <w:lang w:val="fr-FR"/>
        </w:rPr>
        <w:t>13.12A</w:t>
      </w:r>
      <w:r w:rsidRPr="00F72E3F">
        <w:rPr>
          <w:color w:val="000000"/>
          <w:spacing w:val="-4"/>
          <w:lang w:val="fr-FR"/>
        </w:rPr>
        <w:t> </w:t>
      </w:r>
      <w:r w:rsidRPr="00F72E3F">
        <w:rPr>
          <w:i/>
          <w:iCs/>
          <w:color w:val="000000"/>
          <w:spacing w:val="-4"/>
          <w:lang w:val="fr-FR"/>
        </w:rPr>
        <w:t>c)</w:t>
      </w:r>
      <w:r w:rsidRPr="00F72E3F">
        <w:rPr>
          <w:color w:val="000000"/>
          <w:spacing w:val="-4"/>
          <w:lang w:val="fr-FR"/>
        </w:rPr>
        <w:t xml:space="preserve"> ces projets doivent être mis à disposition des administrations au moins dix semaines avant le début de la réunion du Comité</w:t>
      </w:r>
      <w:r w:rsidRPr="00971433">
        <w:rPr>
          <w:color w:val="000000"/>
          <w:lang w:val="fr-FR"/>
        </w:rPr>
        <w:t>.</w:t>
      </w:r>
    </w:p>
    <w:p w14:paraId="7BB6E504" w14:textId="77777777" w:rsidR="006C3A2B" w:rsidRPr="00971433" w:rsidRDefault="006C3A2B" w:rsidP="00F72E3F">
      <w:pPr>
        <w:pStyle w:val="enumlev1"/>
        <w:spacing w:before="40"/>
        <w:rPr>
          <w:color w:val="000000"/>
          <w:lang w:val="fr-FR"/>
        </w:rPr>
      </w:pPr>
      <w:r w:rsidRPr="00971433">
        <w:rPr>
          <w:i/>
          <w:color w:val="000000"/>
          <w:lang w:val="fr-FR"/>
        </w:rPr>
        <w:t>b)</w:t>
      </w:r>
      <w:r w:rsidRPr="00971433">
        <w:rPr>
          <w:color w:val="000000"/>
          <w:lang w:val="fr-FR"/>
        </w:rPr>
        <w:tab/>
        <w:t xml:space="preserve">Conformément au numéro </w:t>
      </w:r>
      <w:r w:rsidRPr="00971433">
        <w:rPr>
          <w:rStyle w:val="Artref"/>
          <w:b/>
          <w:bCs/>
          <w:color w:val="000000"/>
          <w:lang w:val="fr-FR"/>
        </w:rPr>
        <w:t>13.14</w:t>
      </w:r>
      <w:r w:rsidRPr="00971433">
        <w:rPr>
          <w:color w:val="000000"/>
          <w:lang w:val="fr-FR"/>
        </w:rPr>
        <w:t>, le Bureau soumet au Comité les projets définitifs de toutes les propositions de modification des Règles de procédure, ainsi que les obser</w:t>
      </w:r>
      <w:r w:rsidRPr="00971433">
        <w:rPr>
          <w:color w:val="000000"/>
          <w:lang w:val="fr-FR"/>
        </w:rPr>
        <w:softHyphen/>
        <w:t xml:space="preserve">vations reçues en application de la procédure décrite au point </w:t>
      </w:r>
      <w:r w:rsidRPr="00971433">
        <w:rPr>
          <w:i/>
          <w:color w:val="000000"/>
          <w:lang w:val="fr-FR"/>
        </w:rPr>
        <w:t>a)</w:t>
      </w:r>
      <w:r w:rsidRPr="00971433">
        <w:rPr>
          <w:color w:val="000000"/>
          <w:lang w:val="fr-FR"/>
        </w:rPr>
        <w:t xml:space="preserve"> ci-dessus.</w:t>
      </w:r>
    </w:p>
    <w:p w14:paraId="7812C53A" w14:textId="77777777" w:rsidR="006C3A2B" w:rsidRPr="00971433" w:rsidRDefault="006C3A2B" w:rsidP="00F72E3F">
      <w:pPr>
        <w:pStyle w:val="enumlev1"/>
        <w:spacing w:before="40"/>
        <w:rPr>
          <w:color w:val="000000"/>
          <w:lang w:val="fr-FR"/>
        </w:rPr>
      </w:pPr>
      <w:r w:rsidRPr="00971433">
        <w:rPr>
          <w:i/>
          <w:color w:val="000000"/>
          <w:lang w:val="fr-FR"/>
        </w:rPr>
        <w:t>c)</w:t>
      </w:r>
      <w:r w:rsidRPr="00971433">
        <w:rPr>
          <w:color w:val="000000"/>
          <w:lang w:val="fr-FR"/>
        </w:rPr>
        <w:tab/>
        <w:t xml:space="preserve">Conformément au numéro </w:t>
      </w:r>
      <w:r w:rsidRPr="00971433">
        <w:rPr>
          <w:rStyle w:val="Artref"/>
          <w:b/>
          <w:bCs/>
          <w:color w:val="000000"/>
          <w:lang w:val="fr-FR"/>
        </w:rPr>
        <w:t>13.15</w:t>
      </w:r>
      <w:r w:rsidRPr="00971433">
        <w:rPr>
          <w:color w:val="000000"/>
          <w:lang w:val="fr-FR"/>
        </w:rPr>
        <w:t>, si une administration, le Comité ou le Bureau constate qu'il est nécessaire d'entreprendre une étude spéciale concernant les Règles de procédure, d'élaborer de nouvelles Règles ou d'apporter des modifications ou des adjonctions aux Règles de procédure existantes, la question sera traitée conformément aux procédures décrites aux points </w:t>
      </w:r>
      <w:r w:rsidRPr="00971433">
        <w:rPr>
          <w:i/>
          <w:color w:val="000000"/>
          <w:lang w:val="fr-FR"/>
        </w:rPr>
        <w:t>a)</w:t>
      </w:r>
      <w:r w:rsidRPr="00971433">
        <w:rPr>
          <w:color w:val="000000"/>
          <w:lang w:val="fr-FR"/>
        </w:rPr>
        <w:t xml:space="preserve"> et </w:t>
      </w:r>
      <w:r w:rsidRPr="00971433">
        <w:rPr>
          <w:i/>
          <w:color w:val="000000"/>
          <w:lang w:val="fr-FR"/>
        </w:rPr>
        <w:t>b)</w:t>
      </w:r>
      <w:r w:rsidRPr="00971433">
        <w:rPr>
          <w:color w:val="000000"/>
          <w:lang w:val="fr-FR"/>
        </w:rPr>
        <w:t xml:space="preserve"> ci</w:t>
      </w:r>
      <w:r w:rsidRPr="00971433">
        <w:rPr>
          <w:color w:val="000000"/>
          <w:lang w:val="fr-FR"/>
        </w:rPr>
        <w:noBreakHyphen/>
        <w:t>dessus.</w:t>
      </w:r>
    </w:p>
    <w:p w14:paraId="0325389C" w14:textId="77777777" w:rsidR="006C3A2B" w:rsidRPr="00971433" w:rsidRDefault="006C3A2B" w:rsidP="00F72E3F">
      <w:pPr>
        <w:spacing w:before="80"/>
        <w:rPr>
          <w:color w:val="000000"/>
          <w:lang w:val="fr-FR"/>
        </w:rPr>
      </w:pPr>
      <w:r w:rsidRPr="00971433">
        <w:rPr>
          <w:color w:val="000000"/>
          <w:lang w:val="fr-FR"/>
        </w:rPr>
        <w:t>Voir également les Règles de procédure dans la Partie C (Règles de procédure relatives aux méthodes de travail du RRB).</w:t>
      </w:r>
    </w:p>
    <w:p w14:paraId="45F979EF" w14:textId="77777777" w:rsidR="006C3A2B" w:rsidRDefault="006C3A2B" w:rsidP="00F72E3F">
      <w:pPr>
        <w:spacing w:before="0"/>
        <w:jc w:val="center"/>
        <w:rPr>
          <w:color w:val="000000"/>
          <w:lang w:val="fr-FR"/>
        </w:rPr>
      </w:pPr>
      <w:r w:rsidRPr="00971433">
        <w:rPr>
          <w:color w:val="000000"/>
          <w:lang w:val="fr-FR"/>
        </w:rPr>
        <w:t>____________________</w:t>
      </w:r>
    </w:p>
    <w:p w14:paraId="0EC7A7B0" w14:textId="77777777" w:rsidR="00416E19" w:rsidRDefault="00416E19" w:rsidP="00F72E3F">
      <w:pPr>
        <w:spacing w:before="0"/>
        <w:jc w:val="center"/>
        <w:rPr>
          <w:color w:val="000000"/>
          <w:lang w:val="fr-FR"/>
        </w:rPr>
      </w:pPr>
    </w:p>
    <w:p w14:paraId="1C78B799" w14:textId="77777777" w:rsidR="00416E19" w:rsidRDefault="00416E19" w:rsidP="00F72E3F">
      <w:pPr>
        <w:spacing w:before="0"/>
        <w:jc w:val="center"/>
        <w:rPr>
          <w:color w:val="000000"/>
          <w:lang w:val="fr-FR"/>
        </w:rPr>
      </w:pPr>
    </w:p>
    <w:p w14:paraId="5E2825F2" w14:textId="77777777" w:rsidR="00416E19" w:rsidRDefault="00416E19" w:rsidP="00F72E3F">
      <w:pPr>
        <w:spacing w:before="0"/>
        <w:jc w:val="center"/>
        <w:rPr>
          <w:color w:val="000000"/>
          <w:lang w:val="fr-FR"/>
        </w:rPr>
      </w:pPr>
    </w:p>
    <w:p w14:paraId="76894137" w14:textId="77777777" w:rsidR="00416E19" w:rsidRDefault="00416E19" w:rsidP="00F72E3F">
      <w:pPr>
        <w:spacing w:before="0"/>
        <w:jc w:val="center"/>
        <w:rPr>
          <w:color w:val="000000"/>
          <w:lang w:val="fr-FR"/>
        </w:rPr>
      </w:pPr>
    </w:p>
    <w:p w14:paraId="0A97DAA9" w14:textId="77777777" w:rsidR="00416E19" w:rsidRDefault="00416E19" w:rsidP="00F72E3F">
      <w:pPr>
        <w:spacing w:before="0"/>
        <w:jc w:val="center"/>
        <w:rPr>
          <w:color w:val="000000"/>
          <w:lang w:val="fr-FR"/>
        </w:rPr>
      </w:pPr>
    </w:p>
    <w:p w14:paraId="7EAC4CA6" w14:textId="77777777" w:rsidR="00416E19" w:rsidRDefault="00416E19" w:rsidP="00F72E3F">
      <w:pPr>
        <w:spacing w:before="0"/>
        <w:jc w:val="center"/>
        <w:rPr>
          <w:color w:val="000000"/>
          <w:lang w:val="fr-FR"/>
        </w:rPr>
      </w:pPr>
    </w:p>
    <w:p w14:paraId="3305728B" w14:textId="77777777" w:rsidR="00416E19" w:rsidRDefault="00416E19" w:rsidP="00F72E3F">
      <w:pPr>
        <w:spacing w:before="0"/>
        <w:jc w:val="center"/>
        <w:rPr>
          <w:color w:val="000000"/>
          <w:lang w:val="fr-FR"/>
        </w:rPr>
      </w:pPr>
    </w:p>
    <w:p w14:paraId="73080A3F" w14:textId="77777777" w:rsidR="00416E19" w:rsidRDefault="00416E19" w:rsidP="00F72E3F">
      <w:pPr>
        <w:spacing w:before="0"/>
        <w:jc w:val="center"/>
        <w:rPr>
          <w:color w:val="000000"/>
          <w:lang w:val="fr-FR"/>
        </w:rPr>
      </w:pPr>
    </w:p>
    <w:p w14:paraId="167E053B" w14:textId="77777777" w:rsidR="00416E19" w:rsidRDefault="00416E19" w:rsidP="00F72E3F">
      <w:pPr>
        <w:spacing w:before="0"/>
        <w:jc w:val="center"/>
        <w:rPr>
          <w:color w:val="000000"/>
          <w:lang w:val="fr-FR"/>
        </w:rPr>
      </w:pPr>
    </w:p>
    <w:p w14:paraId="7B9B6319" w14:textId="77777777" w:rsidR="00416E19" w:rsidRDefault="00416E19" w:rsidP="00F72E3F">
      <w:pPr>
        <w:spacing w:before="0"/>
        <w:jc w:val="center"/>
        <w:rPr>
          <w:color w:val="000000"/>
          <w:lang w:val="fr-FR"/>
        </w:rPr>
      </w:pPr>
    </w:p>
    <w:p w14:paraId="1335BEE7" w14:textId="77777777" w:rsidR="00416E19" w:rsidRDefault="00416E19" w:rsidP="00F72E3F">
      <w:pPr>
        <w:spacing w:before="0"/>
        <w:jc w:val="center"/>
        <w:rPr>
          <w:color w:val="000000"/>
          <w:lang w:val="fr-FR"/>
        </w:rPr>
      </w:pPr>
    </w:p>
    <w:p w14:paraId="0FE97179" w14:textId="77777777" w:rsidR="00416E19" w:rsidRDefault="00416E19" w:rsidP="00F72E3F">
      <w:pPr>
        <w:spacing w:before="0"/>
        <w:jc w:val="center"/>
        <w:rPr>
          <w:color w:val="000000"/>
          <w:lang w:val="fr-FR"/>
        </w:rPr>
      </w:pPr>
    </w:p>
    <w:p w14:paraId="09B2E25D" w14:textId="77777777" w:rsidR="00416E19" w:rsidRPr="00F72E3F" w:rsidRDefault="00416E19" w:rsidP="00F72E3F">
      <w:pPr>
        <w:spacing w:before="0"/>
        <w:jc w:val="center"/>
        <w:rPr>
          <w:color w:val="000000"/>
          <w:lang w:val="fr-FR"/>
        </w:rPr>
      </w:pPr>
    </w:p>
    <w:p w14:paraId="2EA2AE20" w14:textId="77777777" w:rsidR="006C3A2B" w:rsidRPr="00971433" w:rsidRDefault="006C3A2B" w:rsidP="00971433">
      <w:pPr>
        <w:rPr>
          <w:lang w:val="fr-FR"/>
        </w:rPr>
        <w:sectPr w:rsidR="006C3A2B" w:rsidRPr="00971433">
          <w:headerReference w:type="even" r:id="rId7"/>
          <w:headerReference w:type="first" r:id="rId8"/>
          <w:footnotePr>
            <w:pos w:val="beneathText"/>
          </w:footnotePr>
          <w:type w:val="oddPage"/>
          <w:pgSz w:w="11907" w:h="16840" w:code="9"/>
          <w:pgMar w:top="1701" w:right="851" w:bottom="1134" w:left="1985" w:header="720" w:footer="482" w:gutter="0"/>
          <w:cols w:space="720"/>
          <w:vAlign w:val="both"/>
          <w:titlePg/>
        </w:sectPr>
      </w:pPr>
    </w:p>
    <w:p w14:paraId="31FEDF23" w14:textId="77777777" w:rsidR="006C3A2B" w:rsidRDefault="006C3A2B" w:rsidP="00971433">
      <w:pPr>
        <w:rPr>
          <w:lang w:val="fr-FR"/>
        </w:rPr>
      </w:pPr>
    </w:p>
    <w:p w14:paraId="19C30F91" w14:textId="77777777" w:rsidR="00EC78D1" w:rsidRPr="00971433" w:rsidRDefault="00EC78D1" w:rsidP="00971433">
      <w:pPr>
        <w:rPr>
          <w:lang w:val="fr-FR"/>
        </w:rPr>
      </w:pPr>
    </w:p>
    <w:sectPr w:rsidR="00EC78D1" w:rsidRPr="00971433">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95853" w14:textId="77777777" w:rsidR="00117AEB" w:rsidRDefault="00117AEB">
      <w:r>
        <w:separator/>
      </w:r>
    </w:p>
  </w:endnote>
  <w:endnote w:type="continuationSeparator" w:id="0">
    <w:p w14:paraId="4E4705E0" w14:textId="77777777" w:rsidR="00117AEB" w:rsidRDefault="00117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8FCF3" w14:textId="77777777" w:rsidR="00117AEB" w:rsidRDefault="00117AEB">
      <w:r>
        <w:rPr>
          <w:b/>
        </w:rPr>
        <w:t>_______________</w:t>
      </w:r>
    </w:p>
  </w:footnote>
  <w:footnote w:type="continuationSeparator" w:id="0">
    <w:p w14:paraId="12DB9502" w14:textId="77777777" w:rsidR="00117AEB" w:rsidRDefault="00117AEB">
      <w:r>
        <w:continuationSeparator/>
      </w:r>
    </w:p>
  </w:footnote>
  <w:footnote w:id="1">
    <w:p w14:paraId="742FB401" w14:textId="77777777" w:rsidR="00F72E3F" w:rsidRPr="00F72E3F" w:rsidRDefault="00F72E3F" w:rsidP="001A077F">
      <w:pPr>
        <w:pStyle w:val="Note"/>
        <w:rPr>
          <w:lang w:val="fr-CH"/>
        </w:rPr>
      </w:pPr>
      <w:r w:rsidRPr="00F72E3F">
        <w:rPr>
          <w:rStyle w:val="FootnoteReference"/>
          <w:lang w:val="fr-CH"/>
        </w:rPr>
        <w:t>*</w:t>
      </w:r>
      <w:r w:rsidRPr="00F72E3F">
        <w:rPr>
          <w:lang w:val="fr-CH"/>
        </w:rPr>
        <w:t xml:space="preserve"> </w:t>
      </w:r>
      <w:r w:rsidRPr="00F72E3F">
        <w:rPr>
          <w:lang w:val="fr-CH"/>
        </w:rPr>
        <w:tab/>
      </w:r>
      <w:proofErr w:type="gramStart"/>
      <w:r w:rsidRPr="00F72E3F">
        <w:rPr>
          <w:b/>
          <w:bCs/>
          <w:lang w:val="fr-CH"/>
        </w:rPr>
        <w:t>Note</w:t>
      </w:r>
      <w:r w:rsidRPr="00F72E3F">
        <w:rPr>
          <w:lang w:val="fr-CH"/>
        </w:rPr>
        <w:t>:</w:t>
      </w:r>
      <w:proofErr w:type="gramEnd"/>
      <w:r w:rsidRPr="00F72E3F">
        <w:rPr>
          <w:lang w:val="fr-CH"/>
        </w:rPr>
        <w:t xml:space="preserve"> La CMR-15 a pris la décision suivante concernant l</w:t>
      </w:r>
      <w:r w:rsidR="001A077F">
        <w:rPr>
          <w:lang w:val="fr-CH"/>
        </w:rPr>
        <w:t>e</w:t>
      </w:r>
      <w:r w:rsidRPr="00F72E3F">
        <w:rPr>
          <w:lang w:val="fr-CH"/>
        </w:rPr>
        <w:t xml:space="preserve"> </w:t>
      </w:r>
      <w:r w:rsidR="001A077F">
        <w:rPr>
          <w:lang w:val="fr-CH"/>
        </w:rPr>
        <w:t>règlement de radio</w:t>
      </w:r>
      <w:r w:rsidRPr="00F72E3F">
        <w:rPr>
          <w:lang w:val="fr-CH"/>
        </w:rPr>
        <w:t xml:space="preserve"> relative au numéro </w:t>
      </w:r>
      <w:r w:rsidRPr="00F72E3F">
        <w:rPr>
          <w:b/>
          <w:bCs/>
          <w:lang w:val="fr-CH"/>
        </w:rPr>
        <w:t>13.6</w:t>
      </w:r>
      <w:r w:rsidRPr="00F72E3F">
        <w:rPr>
          <w:lang w:val="fr-CH"/>
        </w:rPr>
        <w:t xml:space="preserve"> lors de la 8ème séance plénière, Par. 1.39 à 1.42 du document CMR15/505, dans le cadre de l'approbation du document CMR15/416 en ce qui concerne le § 6 du Document 4(Add.</w:t>
      </w:r>
      <w:proofErr w:type="gramStart"/>
      <w:r w:rsidRPr="00F72E3F">
        <w:rPr>
          <w:lang w:val="fr-CH"/>
        </w:rPr>
        <w:t>2)(</w:t>
      </w:r>
      <w:proofErr w:type="gramEnd"/>
      <w:r w:rsidRPr="00F72E3F">
        <w:rPr>
          <w:lang w:val="fr-CH"/>
        </w:rPr>
        <w:t>Rév.1)(Add.1):</w:t>
      </w:r>
    </w:p>
    <w:p w14:paraId="65199355" w14:textId="77777777" w:rsidR="00F72E3F" w:rsidRPr="00416E19" w:rsidRDefault="00F72E3F" w:rsidP="002A3EAB">
      <w:pPr>
        <w:pStyle w:val="FootnoteText"/>
        <w:rPr>
          <w:lang w:val="fr-CH"/>
        </w:rPr>
      </w:pPr>
      <w:r w:rsidRPr="00F72E3F">
        <w:rPr>
          <w:i/>
          <w:iCs/>
          <w:spacing w:val="-4"/>
          <w:lang w:val="fr-CH"/>
        </w:rPr>
        <w:t xml:space="preserve">«En ce qui concerne la question de savoir si des éléments de preuve partiels fournis par une administration à l'appui de l'utilisation d'assignations de fréquence dans une bande de fréquences peuvent être considérés comme suffisants, en réponse à une demande de renseignements au titre du numéro </w:t>
      </w:r>
      <w:r w:rsidRPr="00F72E3F">
        <w:rPr>
          <w:b/>
          <w:bCs/>
          <w:i/>
          <w:iCs/>
          <w:spacing w:val="-4"/>
          <w:lang w:val="fr-CH"/>
        </w:rPr>
        <w:t>13.6</w:t>
      </w:r>
      <w:r w:rsidRPr="00F72E3F">
        <w:rPr>
          <w:i/>
          <w:iCs/>
          <w:spacing w:val="-4"/>
          <w:lang w:val="fr-CH"/>
        </w:rPr>
        <w:t xml:space="preserve"> du RR, pour démontrer qu'elle utilise, ou qu'elle continue d'utiliser, des assignations de fréquence conformément aux caractéristiques notifiées inscrites dans le Fichier de référence international des fréquences, la CMR-15 a été d'avis que les administrations doivent répondre de la manière la plus complète possible aux demandes de renseignements au titre du numéro </w:t>
      </w:r>
      <w:r w:rsidRPr="00F72E3F">
        <w:rPr>
          <w:b/>
          <w:bCs/>
          <w:i/>
          <w:iCs/>
          <w:spacing w:val="-4"/>
          <w:lang w:val="fr-CH"/>
        </w:rPr>
        <w:t>13.6</w:t>
      </w:r>
      <w:r w:rsidRPr="00F72E3F">
        <w:rPr>
          <w:i/>
          <w:iCs/>
          <w:spacing w:val="-4"/>
          <w:lang w:val="fr-CH"/>
        </w:rPr>
        <w:t xml:space="preserve"> du RR. Si le Bureau reçoit ce qu'il considère être une réponse partielle à sa demande de renseignements, il devra alors préciser la portée de sa demande à l'intention de l'administration, ou exiger que celle-ci fournisse des renseignements complémentaires ou différents. En outre, il a été reconnu que la CMR</w:t>
      </w:r>
      <w:r w:rsidRPr="00F72E3F">
        <w:rPr>
          <w:i/>
          <w:iCs/>
          <w:spacing w:val="-4"/>
          <w:lang w:val="fr-CH"/>
        </w:rPr>
        <w:noBreakHyphen/>
        <w:t>15 avait approuvé certaines modifications apportées au numéro </w:t>
      </w:r>
      <w:r w:rsidRPr="00F72E3F">
        <w:rPr>
          <w:b/>
          <w:bCs/>
          <w:i/>
          <w:iCs/>
          <w:spacing w:val="-4"/>
          <w:lang w:val="fr-CH"/>
        </w:rPr>
        <w:t>13.6</w:t>
      </w:r>
      <w:r w:rsidRPr="00F72E3F">
        <w:rPr>
          <w:i/>
          <w:iCs/>
          <w:spacing w:val="-4"/>
          <w:lang w:val="fr-CH"/>
        </w:rPr>
        <w:t xml:space="preserve"> du RR destinées à garantir une plus grande transparence dans l'application de cette disposition. Ces modifications devraient permettre de faciliter le traitement de ces questions</w:t>
      </w:r>
      <w:proofErr w:type="gramStart"/>
      <w:r w:rsidRPr="00F72E3F">
        <w:rPr>
          <w:i/>
          <w:iCs/>
          <w:spacing w:val="-4"/>
          <w:lang w:val="fr-CH"/>
        </w:rPr>
        <w:t>.»</w:t>
      </w:r>
      <w:proofErr w:type="gramEnd"/>
    </w:p>
  </w:footnote>
  <w:footnote w:id="2">
    <w:p w14:paraId="6B2E7BF8" w14:textId="77777777" w:rsidR="00C00070" w:rsidRPr="00C00070" w:rsidRDefault="00C00070" w:rsidP="00C00070">
      <w:pPr>
        <w:pStyle w:val="FootnoteText"/>
        <w:rPr>
          <w:lang w:val="fr-CH"/>
        </w:rPr>
      </w:pPr>
      <w:r w:rsidRPr="00C00070">
        <w:rPr>
          <w:rStyle w:val="FootnoteReference"/>
          <w:lang w:val="fr-CH"/>
        </w:rPr>
        <w:t>**</w:t>
      </w:r>
      <w:r w:rsidRPr="00C00070">
        <w:rPr>
          <w:lang w:val="fr-CH"/>
        </w:rPr>
        <w:tab/>
      </w:r>
      <w:proofErr w:type="gramStart"/>
      <w:r w:rsidRPr="00C00070">
        <w:rPr>
          <w:b/>
          <w:lang w:val="fr-CH"/>
        </w:rPr>
        <w:t>Note</w:t>
      </w:r>
      <w:r w:rsidRPr="00C00070">
        <w:rPr>
          <w:lang w:val="fr-CH"/>
        </w:rPr>
        <w:t>:</w:t>
      </w:r>
      <w:proofErr w:type="gramEnd"/>
      <w:r w:rsidRPr="00C00070">
        <w:rPr>
          <w:lang w:val="fr-CH"/>
        </w:rPr>
        <w:t xml:space="preserve"> La CMR-19 a pris la décision suivante</w:t>
      </w:r>
      <w:r w:rsidRPr="00FD15C7">
        <w:rPr>
          <w:lang w:val="fr-CH"/>
        </w:rPr>
        <w:t>, lors de la 10ème séance plénière,</w:t>
      </w:r>
      <w:r w:rsidRPr="00C00070">
        <w:rPr>
          <w:lang w:val="fr-CH"/>
        </w:rPr>
        <w:t xml:space="preserve"> concernant l'application du numéro </w:t>
      </w:r>
      <w:r w:rsidRPr="00C00070">
        <w:rPr>
          <w:b/>
          <w:lang w:val="fr-CH"/>
        </w:rPr>
        <w:t>13.6</w:t>
      </w:r>
      <w:r w:rsidRPr="00C00070">
        <w:rPr>
          <w:lang w:val="fr-CH"/>
        </w:rPr>
        <w:t xml:space="preserve">, voir les </w:t>
      </w:r>
      <w:r w:rsidRPr="00FD15C7">
        <w:rPr>
          <w:lang w:val="fr-CH"/>
        </w:rPr>
        <w:t>p</w:t>
      </w:r>
      <w:r w:rsidRPr="00C00070">
        <w:rPr>
          <w:lang w:val="fr-CH"/>
        </w:rPr>
        <w:t>aragraphes 10.5 à</w:t>
      </w:r>
      <w:r w:rsidRPr="00FD15C7">
        <w:rPr>
          <w:lang w:val="fr-CH"/>
        </w:rPr>
        <w:t> </w:t>
      </w:r>
      <w:r w:rsidRPr="00C00070">
        <w:rPr>
          <w:lang w:val="fr-CH"/>
        </w:rPr>
        <w:t>10.7 du</w:t>
      </w:r>
      <w:r w:rsidRPr="00FD15C7">
        <w:rPr>
          <w:lang w:val="fr-CH"/>
        </w:rPr>
        <w:t xml:space="preserve"> </w:t>
      </w:r>
      <w:r w:rsidRPr="00C00070">
        <w:rPr>
          <w:lang w:val="fr-CH"/>
        </w:rPr>
        <w:t>Document CMR19/</w:t>
      </w:r>
      <w:r w:rsidRPr="00FD15C7">
        <w:rPr>
          <w:lang w:val="fr-CH"/>
        </w:rPr>
        <w:t>571, dans le cadre de l</w:t>
      </w:r>
      <w:r>
        <w:rPr>
          <w:lang w:val="fr-CH"/>
        </w:rPr>
        <w:t>'</w:t>
      </w:r>
      <w:r w:rsidRPr="00FD15C7">
        <w:rPr>
          <w:lang w:val="fr-CH"/>
        </w:rPr>
        <w:t>approbation du Document</w:t>
      </w:r>
      <w:r w:rsidRPr="00C00070">
        <w:rPr>
          <w:lang w:val="fr-CH"/>
        </w:rPr>
        <w:t xml:space="preserve"> </w:t>
      </w:r>
      <w:r w:rsidRPr="00FD15C7">
        <w:rPr>
          <w:lang w:val="fr-CH"/>
        </w:rPr>
        <w:t>CMR19/500:</w:t>
      </w:r>
    </w:p>
    <w:p w14:paraId="7156C48A" w14:textId="599F5B1A" w:rsidR="00C00070" w:rsidRPr="00B73386" w:rsidRDefault="00C00070" w:rsidP="00C00070">
      <w:pPr>
        <w:pStyle w:val="FootnoteText"/>
        <w:rPr>
          <w:i/>
          <w:iCs/>
          <w:lang w:val="fr-CH"/>
        </w:rPr>
      </w:pPr>
      <w:r w:rsidRPr="00B73386">
        <w:rPr>
          <w:i/>
          <w:iCs/>
          <w:sz w:val="24"/>
          <w:lang w:val="fr-CH"/>
        </w:rPr>
        <w:t>«</w:t>
      </w:r>
      <w:r w:rsidRPr="00B73386">
        <w:rPr>
          <w:i/>
          <w:iCs/>
          <w:lang w:val="fr-CH"/>
        </w:rPr>
        <w:t>1</w:t>
      </w:r>
      <w:r w:rsidRPr="00B73386">
        <w:rPr>
          <w:i/>
          <w:iCs/>
          <w:lang w:val="fr-CH"/>
        </w:rPr>
        <w:tab/>
        <w:t>La CMR-19 a adopté une nouvelle méthode par étape pour le déploiement des systèmes à satellites non géostationnaires dans certaines bandes de fréquences et certains services. La CMR</w:t>
      </w:r>
      <w:r w:rsidRPr="00B73386">
        <w:rPr>
          <w:i/>
          <w:iCs/>
          <w:lang w:val="fr-CH"/>
        </w:rPr>
        <w:noBreakHyphen/>
        <w:t xml:space="preserve">19 fait savoir au Directeur du Bureau des radiocommunications qu'en adoptant cette méthode, elle n'encourage pas le recours systématique au numéro </w:t>
      </w:r>
      <w:r w:rsidRPr="00B73386">
        <w:rPr>
          <w:b/>
          <w:i/>
          <w:iCs/>
          <w:lang w:val="fr-CH"/>
        </w:rPr>
        <w:t>13.6</w:t>
      </w:r>
      <w:r w:rsidRPr="00B73386">
        <w:rPr>
          <w:i/>
          <w:iCs/>
          <w:lang w:val="fr-CH"/>
        </w:rPr>
        <w:t xml:space="preserve"> du Règlement des radiocommunications, en l'absence d'informations fiables, pour demander confirmation du déploiement du nombre de satellites dans les plans orbitaux notifiés pour les systèmes à satellites non géostationnaires dans les bandes de fréquences et les services qui ne sont pas énumérés au point 1 du </w:t>
      </w:r>
      <w:r w:rsidRPr="006A270A">
        <w:rPr>
          <w:rFonts w:ascii="Arial" w:hAnsi="Arial" w:cs="Arial"/>
          <w:i/>
          <w:iCs/>
          <w:lang w:val="fr-CH"/>
        </w:rPr>
        <w:t>décide</w:t>
      </w:r>
      <w:r w:rsidRPr="00B73386">
        <w:rPr>
          <w:i/>
          <w:iCs/>
          <w:lang w:val="fr-CH"/>
        </w:rPr>
        <w:t xml:space="preserve"> de la nouvelle Résolution.</w:t>
      </w:r>
    </w:p>
    <w:p w14:paraId="28BECE42" w14:textId="26BEA935" w:rsidR="00C00070" w:rsidRPr="00B73386" w:rsidRDefault="00C00070" w:rsidP="00C00070">
      <w:pPr>
        <w:pStyle w:val="FootnoteText"/>
        <w:rPr>
          <w:i/>
          <w:iCs/>
          <w:lang w:val="fr-CH"/>
        </w:rPr>
      </w:pPr>
      <w:r w:rsidRPr="00B73386">
        <w:rPr>
          <w:i/>
          <w:iCs/>
          <w:lang w:val="fr-CH"/>
        </w:rPr>
        <w:t>(…)</w:t>
      </w:r>
    </w:p>
    <w:p w14:paraId="3AFB71A6" w14:textId="387C2ABC" w:rsidR="00C00070" w:rsidRPr="00C00070" w:rsidRDefault="00C00070" w:rsidP="00C00070">
      <w:pPr>
        <w:pStyle w:val="FootnoteText"/>
        <w:rPr>
          <w:lang w:val="fr-CH"/>
        </w:rPr>
      </w:pPr>
      <w:r w:rsidRPr="00B73386">
        <w:rPr>
          <w:i/>
          <w:iCs/>
          <w:lang w:val="fr-CH"/>
        </w:rPr>
        <w:t>En outre, la CMR-19 charge le Bureau, lorsqu'il appliquera les dispositions pertinentes du RR (par exemple le numéro </w:t>
      </w:r>
      <w:r w:rsidRPr="00B73386">
        <w:rPr>
          <w:b/>
          <w:bCs/>
          <w:i/>
          <w:iCs/>
          <w:lang w:val="fr-CH"/>
        </w:rPr>
        <w:t>11.44C.2</w:t>
      </w:r>
      <w:r w:rsidRPr="00B73386">
        <w:rPr>
          <w:i/>
          <w:iCs/>
          <w:lang w:val="fr-CH"/>
        </w:rPr>
        <w:t xml:space="preserve"> ou le point 9d) du </w:t>
      </w:r>
      <w:r w:rsidRPr="006A270A">
        <w:rPr>
          <w:rFonts w:ascii="Arial" w:hAnsi="Arial" w:cs="Arial"/>
          <w:i/>
          <w:iCs/>
          <w:lang w:val="fr-CH"/>
        </w:rPr>
        <w:t>décide</w:t>
      </w:r>
      <w:r w:rsidRPr="00B73386">
        <w:rPr>
          <w:i/>
          <w:iCs/>
          <w:lang w:val="fr-CH"/>
        </w:rPr>
        <w:t xml:space="preserve"> de la Résolution </w:t>
      </w:r>
      <w:r w:rsidRPr="00B73386">
        <w:rPr>
          <w:b/>
          <w:i/>
          <w:iCs/>
          <w:lang w:val="fr-CH"/>
        </w:rPr>
        <w:t>[7(A)</w:t>
      </w:r>
      <w:r w:rsidRPr="00B73386">
        <w:rPr>
          <w:b/>
          <w:i/>
          <w:iCs/>
          <w:lang w:val="fr-CH"/>
        </w:rPr>
        <w:noBreakHyphen/>
        <w:t>NGSO</w:t>
      </w:r>
      <w:r w:rsidRPr="00B73386">
        <w:rPr>
          <w:b/>
          <w:i/>
          <w:iCs/>
          <w:lang w:val="fr-CH"/>
        </w:rPr>
        <w:noBreakHyphen/>
        <w:t>MILESTONES]</w:t>
      </w:r>
      <w:r w:rsidRPr="00B73386">
        <w:rPr>
          <w:i/>
          <w:iCs/>
          <w:lang w:val="fr-CH"/>
        </w:rPr>
        <w:t>), de faire preuve de la plus grande prudence tant que l'UIT</w:t>
      </w:r>
      <w:r w:rsidRPr="00B73386">
        <w:rPr>
          <w:i/>
          <w:iCs/>
          <w:lang w:val="fr-CH"/>
        </w:rPr>
        <w:noBreakHyphen/>
        <w:t xml:space="preserve">R n'aura pas achevé ses études sur les </w:t>
      </w:r>
      <w:proofErr w:type="gramStart"/>
      <w:r w:rsidRPr="00B73386">
        <w:rPr>
          <w:i/>
          <w:iCs/>
          <w:lang w:val="fr-CH"/>
        </w:rPr>
        <w:t>tolérances»</w:t>
      </w:r>
      <w:proofErr w:type="gramEnd"/>
      <w:r w:rsidRPr="00B73386">
        <w:rPr>
          <w:i/>
          <w:iCs/>
          <w:lang w:val="fr-CH"/>
        </w:rPr>
        <w:t>.</w:t>
      </w:r>
      <w:r w:rsidRPr="00C00070">
        <w:rPr>
          <w:vertAlign w:val="superscript"/>
          <w:lang w:val="fr-FR"/>
        </w:rPr>
        <w:t>***</w:t>
      </w:r>
    </w:p>
    <w:p w14:paraId="5B43C592" w14:textId="4339EC38" w:rsidR="00C00070" w:rsidRPr="00C00070" w:rsidRDefault="00C00070" w:rsidP="00C00070">
      <w:pPr>
        <w:pStyle w:val="FootnoteText"/>
        <w:rPr>
          <w:lang w:val="fr-CH"/>
        </w:rPr>
      </w:pPr>
      <w:r w:rsidRPr="00C00070">
        <w:rPr>
          <w:vertAlign w:val="superscript"/>
          <w:lang w:val="fr-CH"/>
        </w:rPr>
        <w:t>***</w:t>
      </w:r>
      <w:r w:rsidRPr="00C00070">
        <w:rPr>
          <w:lang w:val="fr-CH"/>
        </w:rPr>
        <w:tab/>
      </w:r>
      <w:r w:rsidRPr="00C00070">
        <w:rPr>
          <w:i/>
          <w:iCs/>
          <w:lang w:val="fr-CH"/>
        </w:rPr>
        <w:t xml:space="preserve">Note du </w:t>
      </w:r>
      <w:proofErr w:type="gramStart"/>
      <w:r w:rsidRPr="00C00070">
        <w:rPr>
          <w:i/>
          <w:iCs/>
          <w:lang w:val="fr-CH"/>
        </w:rPr>
        <w:t>Secrétariat</w:t>
      </w:r>
      <w:r w:rsidRPr="00C00070">
        <w:rPr>
          <w:lang w:val="fr-CH"/>
        </w:rPr>
        <w:t>:</w:t>
      </w:r>
      <w:proofErr w:type="gramEnd"/>
      <w:r w:rsidRPr="00C00070">
        <w:rPr>
          <w:lang w:val="fr-CH"/>
        </w:rPr>
        <w:t xml:space="preserve"> Le numéro définitif de la Résolution [</w:t>
      </w:r>
      <w:r w:rsidRPr="00C00070">
        <w:rPr>
          <w:b/>
          <w:bCs/>
          <w:lang w:val="fr-CH"/>
        </w:rPr>
        <w:t>[7(A)-NGSO-MILESTONES] (CMR-19)</w:t>
      </w:r>
      <w:r w:rsidRPr="00C00070">
        <w:rPr>
          <w:lang w:val="fr-CH"/>
        </w:rPr>
        <w:t>] est le suivant: Résolution </w:t>
      </w:r>
      <w:r w:rsidRPr="00C00070">
        <w:rPr>
          <w:b/>
          <w:bCs/>
          <w:lang w:val="fr-CH"/>
        </w:rPr>
        <w:t>35 (CMR-19)</w:t>
      </w:r>
      <w:r w:rsidRPr="00C00070">
        <w:rPr>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F0874" w14:paraId="72DAFDC4" w14:textId="77777777" w:rsidTr="00B274E5">
      <w:trPr>
        <w:cantSplit/>
      </w:trPr>
      <w:tc>
        <w:tcPr>
          <w:tcW w:w="1701" w:type="dxa"/>
          <w:tcBorders>
            <w:top w:val="single" w:sz="6" w:space="0" w:color="auto"/>
            <w:left w:val="single" w:sz="6" w:space="0" w:color="auto"/>
            <w:bottom w:val="single" w:sz="6" w:space="0" w:color="auto"/>
            <w:right w:val="single" w:sz="6" w:space="0" w:color="auto"/>
          </w:tcBorders>
        </w:tcPr>
        <w:p w14:paraId="009AE0E3" w14:textId="77777777" w:rsidR="006F0874" w:rsidRDefault="006F0874" w:rsidP="006F0874">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50B20E6D" w14:textId="7DBC4C29" w:rsidR="006F0874" w:rsidRDefault="006A270A" w:rsidP="006F0874">
          <w:pPr>
            <w:pStyle w:val="HeaderRegProc"/>
            <w:rPr>
              <w:color w:val="000000"/>
              <w:lang w:val="fr-CH"/>
            </w:rPr>
          </w:pPr>
          <w:fldSimple w:instr=" DOCPROPERTY &quot;Header&quot; \* MERGEFORMAT ">
            <w:r w:rsidR="000D265D" w:rsidRPr="000D265D">
              <w:rPr>
                <w:color w:val="000000"/>
                <w:lang w:val="fr-CH"/>
              </w:rPr>
              <w:t>AR</w:t>
            </w:r>
          </w:fldSimple>
          <w:r w:rsidR="006F0874">
            <w:rPr>
              <w:color w:val="000000"/>
            </w:rPr>
            <w:fldChar w:fldCharType="begin"/>
          </w:r>
          <w:r w:rsidR="006F0874">
            <w:rPr>
              <w:color w:val="000000"/>
              <w:lang w:val="fr-CH"/>
            </w:rPr>
            <w:instrText>styleref href2</w:instrText>
          </w:r>
          <w:r w:rsidR="006F0874">
            <w:rPr>
              <w:color w:val="000000"/>
            </w:rPr>
            <w:fldChar w:fldCharType="separate"/>
          </w:r>
          <w:r w:rsidR="0066604E">
            <w:rPr>
              <w:noProof/>
              <w:color w:val="000000"/>
              <w:lang w:val="fr-CH"/>
            </w:rPr>
            <w:t>13</w:t>
          </w:r>
          <w:r w:rsidR="006F0874">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E03AA6" w14:textId="77777777" w:rsidR="006F0874" w:rsidRDefault="006F0874" w:rsidP="006F0874">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lang w:val="fr-CH"/>
            </w:rPr>
            <w:instrText xml:space="preserve"> PAGE </w:instrText>
          </w:r>
          <w:r>
            <w:rPr>
              <w:rStyle w:val="PageNumber"/>
              <w:color w:val="000000"/>
            </w:rPr>
            <w:fldChar w:fldCharType="separate"/>
          </w:r>
          <w:r w:rsidR="00A0565B">
            <w:rPr>
              <w:rStyle w:val="PageNumber"/>
              <w:noProof/>
              <w:color w:val="000000"/>
              <w:lang w:val="fr-CH"/>
            </w:rPr>
            <w:t>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36C973" w14:textId="56EDA087" w:rsidR="006F0874" w:rsidRDefault="006F0874" w:rsidP="006F0874">
          <w:pPr>
            <w:pStyle w:val="HeaderRegProc"/>
            <w:rPr>
              <w:color w:val="000000"/>
              <w:lang w:val="fr-CH"/>
            </w:rPr>
          </w:pPr>
          <w:proofErr w:type="gramStart"/>
          <w:r>
            <w:rPr>
              <w:color w:val="000000"/>
              <w:lang w:val="fr-CH"/>
            </w:rPr>
            <w:t>r</w:t>
          </w:r>
          <w:r w:rsidR="00424EA0" w:rsidRPr="00424EA0">
            <w:rPr>
              <w:color w:val="000000"/>
              <w:lang w:val="fr-FR"/>
            </w:rPr>
            <w:t>é</w:t>
          </w:r>
          <w:r>
            <w:rPr>
              <w:color w:val="000000"/>
              <w:lang w:val="fr-CH"/>
            </w:rPr>
            <w:t>v.</w:t>
          </w:r>
          <w:r w:rsidR="0066604E">
            <w:rPr>
              <w:color w:val="000000"/>
              <w:lang w:val="fr-CH"/>
            </w:rPr>
            <w:t>-</w:t>
          </w:r>
          <w:proofErr w:type="gramEnd"/>
        </w:p>
      </w:tc>
    </w:tr>
  </w:tbl>
  <w:p w14:paraId="564642DC" w14:textId="77777777" w:rsidR="006F0874" w:rsidRDefault="006F08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E673C" w14:paraId="65F911B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3B8727E" w14:textId="77777777" w:rsidR="00AE673C" w:rsidRDefault="00AE673C">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760D2084" w14:textId="012C8628" w:rsidR="00AE673C" w:rsidRDefault="0066604E">
          <w:pPr>
            <w:pStyle w:val="HeaderRegProc"/>
            <w:rPr>
              <w:color w:val="000000"/>
              <w:lang w:val="fr-FR"/>
            </w:rPr>
          </w:pPr>
          <w:r>
            <w:fldChar w:fldCharType="begin"/>
          </w:r>
          <w:r>
            <w:instrText xml:space="preserve"> DOCPROPERTY "Header" \* MERGEFORMAT </w:instrText>
          </w:r>
          <w:r>
            <w:fldChar w:fldCharType="separate"/>
          </w:r>
          <w:r w:rsidR="000D265D" w:rsidRPr="000D265D">
            <w:rPr>
              <w:color w:val="000000"/>
              <w:lang w:val="fr-FR"/>
            </w:rPr>
            <w:t>AR</w:t>
          </w:r>
          <w:r>
            <w:rPr>
              <w:color w:val="000000"/>
              <w:lang w:val="fr-FR"/>
            </w:rPr>
            <w:fldChar w:fldCharType="end"/>
          </w:r>
          <w:r w:rsidR="00AE673C">
            <w:rPr>
              <w:color w:val="000000"/>
            </w:rPr>
            <w:fldChar w:fldCharType="begin"/>
          </w:r>
          <w:r w:rsidR="00AE673C">
            <w:rPr>
              <w:color w:val="000000"/>
              <w:lang w:val="fr-FR"/>
            </w:rPr>
            <w:instrText>styleref href2</w:instrText>
          </w:r>
          <w:r w:rsidR="00AE673C">
            <w:rPr>
              <w:color w:val="000000"/>
            </w:rPr>
            <w:fldChar w:fldCharType="separate"/>
          </w:r>
          <w:r>
            <w:rPr>
              <w:noProof/>
              <w:color w:val="000000"/>
              <w:lang w:val="fr-FR"/>
            </w:rPr>
            <w:t>13</w:t>
          </w:r>
          <w:r w:rsidR="00AE673C">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0A55280" w14:textId="77777777" w:rsidR="00AE673C" w:rsidRDefault="00AE673C">
          <w:pPr>
            <w:pStyle w:val="HeaderRegProc"/>
            <w:rPr>
              <w:color w:val="000000"/>
              <w:lang w:val="fr-CH"/>
            </w:rPr>
          </w:pPr>
          <w:proofErr w:type="gramStart"/>
          <w:r>
            <w:rPr>
              <w:color w:val="000000"/>
              <w:lang w:val="fr-FR"/>
            </w:rPr>
            <w:t>page</w:t>
          </w:r>
          <w:proofErr w:type="gramEnd"/>
          <w:r>
            <w:rPr>
              <w:color w:val="000000"/>
              <w:lang w:val="fr-FR"/>
            </w:rPr>
            <w:t xml:space="preserv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A0565B">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15ADDBB" w14:textId="1BD667BA" w:rsidR="00AE673C" w:rsidRDefault="00AE673C" w:rsidP="002A3EAB">
          <w:pPr>
            <w:pStyle w:val="HeaderRegProc"/>
            <w:rPr>
              <w:color w:val="000000"/>
              <w:lang w:val="fr-CH"/>
            </w:rPr>
          </w:pPr>
          <w:proofErr w:type="gramStart"/>
          <w:r>
            <w:rPr>
              <w:color w:val="000000"/>
              <w:lang w:val="fr-CH"/>
            </w:rPr>
            <w:t>rév.</w:t>
          </w:r>
          <w:r w:rsidR="0066604E">
            <w:rPr>
              <w:color w:val="000000"/>
            </w:rPr>
            <w:t>-</w:t>
          </w:r>
          <w:proofErr w:type="gramEnd"/>
        </w:p>
      </w:tc>
    </w:tr>
  </w:tbl>
  <w:p w14:paraId="1F28AD70" w14:textId="77777777" w:rsidR="00AE673C" w:rsidRDefault="00AE67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73903" w14:textId="77777777" w:rsidR="00AE673C" w:rsidRDefault="00AE673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71433"/>
    <w:rsid w:val="000D265D"/>
    <w:rsid w:val="00117AEB"/>
    <w:rsid w:val="00130E02"/>
    <w:rsid w:val="001A077F"/>
    <w:rsid w:val="002A3EAB"/>
    <w:rsid w:val="0039360E"/>
    <w:rsid w:val="00416E19"/>
    <w:rsid w:val="00424EA0"/>
    <w:rsid w:val="005238B7"/>
    <w:rsid w:val="0066604E"/>
    <w:rsid w:val="006A270A"/>
    <w:rsid w:val="006C3A2B"/>
    <w:rsid w:val="006F0874"/>
    <w:rsid w:val="006F24F2"/>
    <w:rsid w:val="00971433"/>
    <w:rsid w:val="00A0565B"/>
    <w:rsid w:val="00AD4F5E"/>
    <w:rsid w:val="00AE673C"/>
    <w:rsid w:val="00B73386"/>
    <w:rsid w:val="00BC378D"/>
    <w:rsid w:val="00C00070"/>
    <w:rsid w:val="00EC78D1"/>
    <w:rsid w:val="00F10637"/>
    <w:rsid w:val="00F72E3F"/>
    <w:rsid w:val="00FE675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751E028"/>
  <w15:docId w15:val="{575E6F35-3253-4E80-9D68-E3B0B1DB6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H...,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link w:val="NoteChar"/>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NoteChar">
    <w:name w:val="Note Char"/>
    <w:link w:val="Note"/>
    <w:rsid w:val="00F72E3F"/>
    <w:rPr>
      <w:lang w:val="en-GB" w:eastAsia="en-US"/>
    </w:rPr>
  </w:style>
  <w:style w:type="character" w:customStyle="1" w:styleId="TabletextChar">
    <w:name w:val="Table_text Char"/>
    <w:basedOn w:val="DefaultParagraphFont"/>
    <w:link w:val="Tabletext0"/>
    <w:locked/>
    <w:rsid w:val="00C00070"/>
    <w:rPr>
      <w:sz w:val="22"/>
      <w:lang w:val="fr-FR"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rsid w:val="00C0007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E3832-CE4D-419A-AD77-B2A0698F5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16</TotalTime>
  <Pages>3</Pages>
  <Words>371</Words>
  <Characters>2119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13</dc:subject>
  <dc:creator>Composition des Publications</dc:creator>
  <cp:keywords>Folios: 1 -2 (blanc)</cp:keywords>
  <dc:description>Edition 2009:  23.02.2009/DD (dict. ok)</dc:description>
  <cp:lastModifiedBy>Gachet, Christelle</cp:lastModifiedBy>
  <cp:revision>21</cp:revision>
  <cp:lastPrinted>2020-11-20T07:52:00Z</cp:lastPrinted>
  <dcterms:created xsi:type="dcterms:W3CDTF">2012-08-08T15:32:00Z</dcterms:created>
  <dcterms:modified xsi:type="dcterms:W3CDTF">2020-12-15T09:34:00Z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