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874E0" w14:textId="77777777" w:rsidR="0012325A" w:rsidRPr="00D2192E" w:rsidRDefault="0012325A">
      <w:pPr>
        <w:pStyle w:val="Heading1"/>
        <w:spacing w:before="300"/>
        <w:jc w:val="center"/>
        <w:rPr>
          <w:lang w:val="fr-FR"/>
        </w:rPr>
      </w:pPr>
      <w:r w:rsidRPr="00D2192E">
        <w:rPr>
          <w:lang w:val="fr-FR"/>
        </w:rPr>
        <w:t>Règles relatives à</w:t>
      </w:r>
    </w:p>
    <w:p w14:paraId="58186E05" w14:textId="77777777" w:rsidR="0012325A" w:rsidRDefault="0012325A">
      <w:pPr>
        <w:pStyle w:val="Heading2"/>
        <w:jc w:val="center"/>
        <w:rPr>
          <w:lang w:val="fr-FR"/>
        </w:rPr>
      </w:pPr>
      <w:r w:rsidRPr="00D2192E">
        <w:rPr>
          <w:lang w:val="fr-FR"/>
        </w:rPr>
        <w:t xml:space="preserve">l'ARTICLE </w:t>
      </w:r>
      <w:r w:rsidR="00D2192E" w:rsidRPr="00D2192E">
        <w:rPr>
          <w:lang w:val="fr-FR"/>
        </w:rPr>
        <w:t xml:space="preserve"> </w:t>
      </w:r>
      <w:r w:rsidRPr="00D2192E">
        <w:rPr>
          <w:lang w:val="fr-FR"/>
        </w:rPr>
        <w:t>12 du RR</w:t>
      </w:r>
    </w:p>
    <w:p w14:paraId="3C419BF2" w14:textId="77777777" w:rsidR="0061648D" w:rsidRPr="0061648D" w:rsidRDefault="0061648D" w:rsidP="0061648D">
      <w:pPr>
        <w:rPr>
          <w:lang w:val="fr-FR"/>
        </w:rPr>
      </w:pPr>
    </w:p>
    <w:p w14:paraId="3C085C7F" w14:textId="77777777" w:rsidR="0012325A" w:rsidRPr="00D2192E" w:rsidRDefault="0012325A" w:rsidP="00D2192E">
      <w:pPr>
        <w:pStyle w:val="Heading8"/>
        <w:rPr>
          <w:lang w:val="fr-FR"/>
        </w:rPr>
      </w:pPr>
      <w:r w:rsidRPr="00D2192E">
        <w:rPr>
          <w:rStyle w:val="href2"/>
          <w:lang w:val="fr-FR"/>
        </w:rPr>
        <w:t>12</w:t>
      </w:r>
      <w:r w:rsidRPr="00D2192E">
        <w:rPr>
          <w:lang w:val="fr-FR"/>
        </w:rPr>
        <w:t>.9</w:t>
      </w:r>
    </w:p>
    <w:p w14:paraId="27D135DA" w14:textId="77777777" w:rsidR="0012325A" w:rsidRPr="00D2192E" w:rsidRDefault="0012325A">
      <w:pPr>
        <w:pStyle w:val="Headingb"/>
        <w:rPr>
          <w:lang w:val="fr-FR"/>
        </w:rPr>
      </w:pPr>
      <w:r w:rsidRPr="00D2192E">
        <w:rPr>
          <w:lang w:val="fr-FR"/>
        </w:rPr>
        <w:t>Analyse technique</w:t>
      </w:r>
    </w:p>
    <w:p w14:paraId="200BAB23" w14:textId="77777777" w:rsidR="0012325A" w:rsidRPr="00D2192E" w:rsidRDefault="0012325A">
      <w:pPr>
        <w:rPr>
          <w:lang w:val="fr-FR"/>
        </w:rPr>
      </w:pPr>
      <w:r w:rsidRPr="00D2192E">
        <w:rPr>
          <w:lang w:val="fr-FR"/>
        </w:rPr>
        <w:t>L'analyse technique comprend des calculs de la propagation et une analyse de compatibilité. Pour les deux modules, les calculs des diagrammes d'antenne, de la propagation et de la fiabilité sont effectués respectivement sur la base des Recommandations UIT-R BS.705, UIT</w:t>
      </w:r>
      <w:r w:rsidRPr="00D2192E">
        <w:rPr>
          <w:lang w:val="fr-FR"/>
        </w:rPr>
        <w:noBreakHyphen/>
        <w:t>R P.533 et UIT-R P.842. Si l'une de ces Recommandations est modifiée, le Bureau informe toutes les administrations de la date à laquelle la modification prend effet.</w:t>
      </w:r>
    </w:p>
    <w:p w14:paraId="7AB1275E" w14:textId="77777777" w:rsidR="0012325A" w:rsidRPr="00D2192E" w:rsidRDefault="0012325A" w:rsidP="00D2192E">
      <w:pPr>
        <w:rPr>
          <w:lang w:val="fr-FR"/>
        </w:rPr>
      </w:pPr>
      <w:r w:rsidRPr="00D2192E">
        <w:rPr>
          <w:lang w:val="fr-FR"/>
        </w:rPr>
        <w:t>Les points de mesure visés dans l'analyse de la propagation et de la compatibilité sont ceux adoptés par la CAMR</w:t>
      </w:r>
      <w:r w:rsidR="00D2192E" w:rsidRPr="00D2192E">
        <w:rPr>
          <w:lang w:val="fr-FR"/>
        </w:rPr>
        <w:t> </w:t>
      </w:r>
      <w:r w:rsidRPr="00D2192E">
        <w:rPr>
          <w:lang w:val="fr-FR"/>
        </w:rPr>
        <w:t>HFBC</w:t>
      </w:r>
      <w:r w:rsidRPr="00D2192E">
        <w:rPr>
          <w:lang w:val="fr-FR"/>
        </w:rPr>
        <w:noBreakHyphen/>
        <w:t>87.</w:t>
      </w:r>
    </w:p>
    <w:p w14:paraId="79403030" w14:textId="77777777" w:rsidR="0012325A" w:rsidRPr="00D2192E" w:rsidRDefault="0012325A">
      <w:pPr>
        <w:rPr>
          <w:lang w:val="fr-FR"/>
        </w:rPr>
      </w:pPr>
      <w:r w:rsidRPr="00D2192E">
        <w:rPr>
          <w:lang w:val="fr-FR"/>
        </w:rPr>
        <w:t xml:space="preserve">Il est procédé aux </w:t>
      </w:r>
      <w:r w:rsidRPr="00D2192E">
        <w:rPr>
          <w:b/>
          <w:lang w:val="fr-FR"/>
        </w:rPr>
        <w:t>calculs de la propagation</w:t>
      </w:r>
      <w:r w:rsidRPr="00D2192E">
        <w:rPr>
          <w:lang w:val="fr-FR"/>
        </w:rPr>
        <w:t xml:space="preserve"> pour toutes les bandes auxquelles s'applique l'Article </w:t>
      </w:r>
      <w:r w:rsidRPr="00D2192E">
        <w:rPr>
          <w:rStyle w:val="Artref"/>
          <w:b/>
          <w:bCs/>
          <w:color w:val="000000"/>
          <w:lang w:val="fr-FR"/>
        </w:rPr>
        <w:t>12</w:t>
      </w:r>
      <w:r w:rsidRPr="00D2192E">
        <w:rPr>
          <w:lang w:val="fr-FR"/>
        </w:rPr>
        <w:t xml:space="preserve"> et à tous les points de mesure situés à l'intérieur de la zone de service requise. Les calculs seront faits à la fréquence centrale de la bande concernée du service de radiodiffusion. Il n'y aura qu'un seul calcul par heure entièrement ou partiellement utilisée et ce calcul sera fait pour l'heure H+30 min. Ainsi, un intervalle de temps de fonctionnement compris entre 02H15 et 04H05 aboutira à des calculs à 02H30, 03H30 et 04H30.</w:t>
      </w:r>
    </w:p>
    <w:p w14:paraId="2E85A922" w14:textId="77777777" w:rsidR="0012325A" w:rsidRPr="00D2192E" w:rsidRDefault="0012325A">
      <w:pPr>
        <w:rPr>
          <w:lang w:val="fr-FR"/>
        </w:rPr>
      </w:pPr>
      <w:r w:rsidRPr="00D2192E">
        <w:rPr>
          <w:lang w:val="fr-FR"/>
        </w:rPr>
        <w:t>Les résultats seront donnés pour chaque heure, soit:</w:t>
      </w:r>
    </w:p>
    <w:p w14:paraId="58B65564" w14:textId="77777777" w:rsidR="0012325A" w:rsidRPr="00D2192E" w:rsidRDefault="0012325A">
      <w:pPr>
        <w:pStyle w:val="enumlev1"/>
        <w:rPr>
          <w:lang w:val="fr-FR"/>
        </w:rPr>
      </w:pPr>
      <w:r w:rsidRPr="00D2192E">
        <w:rPr>
          <w:lang w:val="fr-FR"/>
        </w:rPr>
        <w:t>–</w:t>
      </w:r>
      <w:r w:rsidRPr="00D2192E">
        <w:rPr>
          <w:lang w:val="fr-FR"/>
        </w:rPr>
        <w:tab/>
        <w:t>du point de vue de la fiabilité de base du service dans la zone de service demandée;</w:t>
      </w:r>
    </w:p>
    <w:p w14:paraId="65F6C793" w14:textId="77777777" w:rsidR="0012325A" w:rsidRPr="00D2192E" w:rsidRDefault="0012325A">
      <w:pPr>
        <w:pStyle w:val="enumlev1"/>
        <w:rPr>
          <w:lang w:val="fr-FR"/>
        </w:rPr>
      </w:pPr>
      <w:r w:rsidRPr="00D2192E">
        <w:rPr>
          <w:lang w:val="fr-FR"/>
        </w:rPr>
        <w:t>–</w:t>
      </w:r>
      <w:r w:rsidRPr="00D2192E">
        <w:rPr>
          <w:lang w:val="fr-FR"/>
        </w:rPr>
        <w:tab/>
        <w:t>du point de vue de la fiabilité de référence du circuit pour chaque point de mesure à l'intérieur de la zone de service requise;</w:t>
      </w:r>
    </w:p>
    <w:p w14:paraId="475341F8" w14:textId="77777777" w:rsidR="0012325A" w:rsidRPr="00D2192E" w:rsidRDefault="0012325A">
      <w:pPr>
        <w:pStyle w:val="enumlev1"/>
        <w:rPr>
          <w:lang w:val="fr-FR"/>
        </w:rPr>
      </w:pPr>
      <w:r w:rsidRPr="00D2192E">
        <w:rPr>
          <w:lang w:val="fr-FR"/>
        </w:rPr>
        <w:t>–</w:t>
      </w:r>
      <w:r w:rsidRPr="00D2192E">
        <w:rPr>
          <w:lang w:val="fr-FR"/>
        </w:rPr>
        <w:tab/>
        <w:t>du point de vue de la puissance au niveau du récepteur pour chaque point de mesure situé à l'intérieur de la zone de service requise;</w:t>
      </w:r>
    </w:p>
    <w:p w14:paraId="6016B2B0" w14:textId="77777777" w:rsidR="0012325A" w:rsidRPr="00D2192E" w:rsidRDefault="0012325A">
      <w:pPr>
        <w:pStyle w:val="enumlev1"/>
        <w:rPr>
          <w:lang w:val="fr-FR"/>
        </w:rPr>
      </w:pPr>
      <w:r w:rsidRPr="00D2192E">
        <w:rPr>
          <w:lang w:val="fr-FR"/>
        </w:rPr>
        <w:t>–</w:t>
      </w:r>
      <w:r w:rsidRPr="00D2192E">
        <w:rPr>
          <w:lang w:val="fr-FR"/>
        </w:rPr>
        <w:tab/>
        <w:t>du point de vue du champ reçu par l'antenne de réception de référence.</w:t>
      </w:r>
    </w:p>
    <w:p w14:paraId="61D203D8" w14:textId="77777777" w:rsidR="0012325A" w:rsidRPr="00D2192E" w:rsidRDefault="0012325A">
      <w:pPr>
        <w:rPr>
          <w:lang w:val="fr-FR"/>
        </w:rPr>
      </w:pPr>
      <w:r w:rsidRPr="00D2192E">
        <w:rPr>
          <w:lang w:val="fr-FR"/>
        </w:rPr>
        <w:t xml:space="preserve">Il doit être procédé à une </w:t>
      </w:r>
      <w:r w:rsidRPr="00D2192E">
        <w:rPr>
          <w:b/>
          <w:lang w:val="fr-FR"/>
        </w:rPr>
        <w:t>analyse de compatibilité</w:t>
      </w:r>
      <w:r w:rsidRPr="00D2192E">
        <w:rPr>
          <w:lang w:val="fr-FR"/>
        </w:rPr>
        <w:t xml:space="preserve"> à tous les points de mesure situés à l'intérieur de la zone de service requise. Ces calculs peuvent être fondés sur des valeurs précalculées de la puissance reçue aux 911 points de mesure, ou sur les valeurs à calculer sur l'ordinateur de l'utilisateur. Les heures pour lesquelles les calculs sont faits sont déterminées de la même façon que pour les calculs de la propagation.</w:t>
      </w:r>
    </w:p>
    <w:p w14:paraId="50EA639D" w14:textId="77777777" w:rsidR="0012325A" w:rsidRPr="00D2192E" w:rsidRDefault="0012325A">
      <w:pPr>
        <w:rPr>
          <w:lang w:val="fr-FR"/>
        </w:rPr>
      </w:pPr>
      <w:r w:rsidRPr="00D2192E">
        <w:rPr>
          <w:lang w:val="fr-FR"/>
        </w:rPr>
        <w:t>L'analyse de compatibilité permet d'obtenir la fiabilité globale du service pour tous les points de mesure situés à l'intérieur de la zone de service requise et la fiabilité globale de zone pour ces points de mesure. Les sources de brouillage les plus importantes à chaque point de mesure seront également indiquées.</w:t>
      </w:r>
    </w:p>
    <w:p w14:paraId="4AFC5853" w14:textId="625974F8" w:rsidR="0012325A" w:rsidRPr="00D2192E" w:rsidRDefault="0012325A">
      <w:pPr>
        <w:rPr>
          <w:lang w:val="fr-FR"/>
        </w:rPr>
      </w:pPr>
      <w:r w:rsidRPr="00D2192E">
        <w:rPr>
          <w:lang w:val="fr-FR"/>
        </w:rPr>
        <w:br w:type="page"/>
      </w:r>
      <w:r w:rsidRPr="00D2192E">
        <w:rPr>
          <w:lang w:val="fr-FR"/>
        </w:rPr>
        <w:lastRenderedPageBreak/>
        <w:t>Pour ces calculs, les valeurs de fiabilité se rapportent à l'utilisation d'une seule fréquence. Dans le cas des émissions analogiques à double bande latérale, le rapport signal/bruit RF sera de 34 dB et les rapports de protection RF seront tirés de l'Annexe 4 de la Recomman</w:t>
      </w:r>
      <w:r w:rsidRPr="00D2192E">
        <w:rPr>
          <w:lang w:val="fr-FR"/>
        </w:rPr>
        <w:softHyphen/>
        <w:t>dation UIT-R BS.560 (17 dB pour un fonctionnement cocanal). Dans le cas des émissions numériques, les valeurs des rapports signal/bruit RF recherchés sont indiquées dan la version la plus récente de la Recommandation UIT-R BS.1615 et les valeurs des rapports de pro</w:t>
      </w:r>
      <w:r w:rsidRPr="00D2192E">
        <w:rPr>
          <w:lang w:val="fr-FR"/>
        </w:rPr>
        <w:softHyphen/>
        <w:t>tection RF sont indiquées dans la Section 1 de l'Annexe de la Résolution </w:t>
      </w:r>
      <w:r w:rsidRPr="00D2192E">
        <w:rPr>
          <w:rStyle w:val="Resref"/>
          <w:b/>
          <w:bCs/>
          <w:color w:val="000000"/>
          <w:lang w:val="fr-FR"/>
        </w:rPr>
        <w:t>543</w:t>
      </w:r>
      <w:r w:rsidRPr="00D2192E">
        <w:rPr>
          <w:lang w:val="fr-FR"/>
        </w:rPr>
        <w:t xml:space="preserve"> </w:t>
      </w:r>
      <w:r w:rsidRPr="00D2192E">
        <w:rPr>
          <w:b/>
          <w:bCs/>
          <w:lang w:val="fr-FR"/>
        </w:rPr>
        <w:t>(</w:t>
      </w:r>
      <w:r w:rsidR="00892A72">
        <w:rPr>
          <w:b/>
          <w:bCs/>
          <w:lang w:val="fr-FR"/>
        </w:rPr>
        <w:t>Rev.</w:t>
      </w:r>
      <w:r w:rsidRPr="00D2192E">
        <w:rPr>
          <w:b/>
          <w:bCs/>
          <w:lang w:val="fr-FR"/>
        </w:rPr>
        <w:t>CMR</w:t>
      </w:r>
      <w:r w:rsidRPr="00D2192E">
        <w:rPr>
          <w:b/>
          <w:bCs/>
          <w:lang w:val="fr-FR"/>
        </w:rPr>
        <w:noBreakHyphen/>
      </w:r>
      <w:r w:rsidR="00892A72">
        <w:rPr>
          <w:b/>
          <w:bCs/>
          <w:lang w:val="fr-FR"/>
        </w:rPr>
        <w:t>19</w:t>
      </w:r>
      <w:r w:rsidRPr="00D2192E">
        <w:rPr>
          <w:b/>
          <w:bCs/>
          <w:lang w:val="fr-FR"/>
        </w:rPr>
        <w:t>)</w:t>
      </w:r>
      <w:r w:rsidRPr="00D2192E">
        <w:rPr>
          <w:lang w:val="fr-FR"/>
        </w:rPr>
        <w:t>.</w:t>
      </w:r>
    </w:p>
    <w:p w14:paraId="4DD53D45" w14:textId="77777777" w:rsidR="0012325A" w:rsidRPr="00D2192E" w:rsidRDefault="0012325A" w:rsidP="00D2192E">
      <w:pPr>
        <w:rPr>
          <w:lang w:val="fr-FR"/>
        </w:rPr>
      </w:pPr>
      <w:r w:rsidRPr="00D2192E">
        <w:rPr>
          <w:lang w:val="fr-FR"/>
        </w:rPr>
        <w:t>L'utilisateur peut opter pour d'autres valeurs du rapport signal/bruit et du rapport de protection </w:t>
      </w:r>
      <w:r w:rsidR="00D2192E" w:rsidRPr="00D2192E">
        <w:rPr>
          <w:rFonts w:ascii="Tms Rmn" w:hAnsi="Tms Rmn"/>
          <w:sz w:val="12"/>
          <w:lang w:val="fr-FR"/>
        </w:rPr>
        <w:t> </w:t>
      </w:r>
      <w:r w:rsidRPr="00D2192E">
        <w:rPr>
          <w:lang w:val="fr-FR"/>
        </w:rPr>
        <w:t>RF cocanal et ne pas tenir compte du brouillage dans le canal adjacent lorsque les écarts de fréquences sont supérieurs à une valeur donnée.</w:t>
      </w:r>
    </w:p>
    <w:p w14:paraId="089C6719" w14:textId="77777777" w:rsidR="0012325A" w:rsidRPr="00D2192E" w:rsidRDefault="0012325A" w:rsidP="00D2192E">
      <w:pPr>
        <w:rPr>
          <w:lang w:val="fr-FR"/>
        </w:rPr>
      </w:pPr>
    </w:p>
    <w:p w14:paraId="732BD430" w14:textId="77777777" w:rsidR="0012325A" w:rsidRPr="00D2192E" w:rsidRDefault="0012325A">
      <w:pPr>
        <w:jc w:val="center"/>
        <w:rPr>
          <w:lang w:val="fr-FR"/>
        </w:rPr>
      </w:pPr>
      <w:r w:rsidRPr="00D2192E">
        <w:rPr>
          <w:lang w:val="fr-FR"/>
        </w:rPr>
        <w:t>____________________</w:t>
      </w:r>
    </w:p>
    <w:p w14:paraId="737838C9" w14:textId="77777777" w:rsidR="0012325A" w:rsidRPr="00D2192E" w:rsidRDefault="0012325A" w:rsidP="00D2192E">
      <w:pPr>
        <w:rPr>
          <w:lang w:val="fr-FR"/>
        </w:rPr>
      </w:pPr>
    </w:p>
    <w:p w14:paraId="662760E4" w14:textId="77777777" w:rsidR="0012325A" w:rsidRPr="00D2192E" w:rsidRDefault="0012325A" w:rsidP="00D2192E">
      <w:pPr>
        <w:rPr>
          <w:lang w:val="fr-FR"/>
        </w:rPr>
      </w:pPr>
    </w:p>
    <w:p w14:paraId="0FBCFDFF" w14:textId="77777777" w:rsidR="0012325A" w:rsidRPr="00D2192E" w:rsidRDefault="0012325A" w:rsidP="00D2192E">
      <w:pPr>
        <w:rPr>
          <w:lang w:val="fr-FR"/>
        </w:rPr>
      </w:pPr>
    </w:p>
    <w:p w14:paraId="6068DA14" w14:textId="77777777" w:rsidR="0012325A" w:rsidRPr="00D2192E" w:rsidRDefault="0012325A" w:rsidP="00D2192E">
      <w:pPr>
        <w:rPr>
          <w:lang w:val="fr-FR"/>
        </w:rPr>
      </w:pPr>
    </w:p>
    <w:p w14:paraId="3183252E" w14:textId="77777777" w:rsidR="0012325A" w:rsidRPr="00D2192E" w:rsidRDefault="0012325A" w:rsidP="00D2192E">
      <w:pPr>
        <w:rPr>
          <w:lang w:val="fr-FR"/>
        </w:rPr>
      </w:pPr>
    </w:p>
    <w:p w14:paraId="0F362F7A" w14:textId="77777777" w:rsidR="0012325A" w:rsidRPr="00D2192E" w:rsidRDefault="0012325A" w:rsidP="00D2192E">
      <w:pPr>
        <w:rPr>
          <w:lang w:val="fr-FR"/>
        </w:rPr>
      </w:pPr>
    </w:p>
    <w:p w14:paraId="2CC82606" w14:textId="77777777" w:rsidR="0012325A" w:rsidRPr="00D2192E" w:rsidRDefault="0012325A" w:rsidP="00D2192E">
      <w:pPr>
        <w:rPr>
          <w:lang w:val="fr-FR"/>
        </w:rPr>
      </w:pPr>
    </w:p>
    <w:p w14:paraId="156791B1" w14:textId="77777777" w:rsidR="0012325A" w:rsidRPr="00D2192E" w:rsidRDefault="0012325A" w:rsidP="00D2192E">
      <w:pPr>
        <w:rPr>
          <w:lang w:val="fr-FR"/>
        </w:rPr>
      </w:pPr>
    </w:p>
    <w:p w14:paraId="414D0127" w14:textId="77777777" w:rsidR="0012325A" w:rsidRPr="00D2192E" w:rsidRDefault="0012325A" w:rsidP="00D2192E">
      <w:pPr>
        <w:rPr>
          <w:lang w:val="fr-FR"/>
        </w:rPr>
      </w:pPr>
    </w:p>
    <w:p w14:paraId="42320471" w14:textId="77777777" w:rsidR="0012325A" w:rsidRPr="00D2192E" w:rsidRDefault="0012325A" w:rsidP="00D2192E">
      <w:pPr>
        <w:rPr>
          <w:lang w:val="fr-FR"/>
        </w:rPr>
      </w:pPr>
    </w:p>
    <w:p w14:paraId="13E143A3" w14:textId="77777777" w:rsidR="0012325A" w:rsidRPr="00D2192E" w:rsidRDefault="0012325A" w:rsidP="00D2192E">
      <w:pPr>
        <w:rPr>
          <w:lang w:val="fr-FR"/>
        </w:rPr>
      </w:pPr>
    </w:p>
    <w:p w14:paraId="43EC7CDC" w14:textId="77777777" w:rsidR="0012325A" w:rsidRPr="00D2192E" w:rsidRDefault="0012325A" w:rsidP="00D2192E">
      <w:pPr>
        <w:rPr>
          <w:lang w:val="fr-FR"/>
        </w:rPr>
      </w:pPr>
    </w:p>
    <w:p w14:paraId="627EEA0C" w14:textId="77777777" w:rsidR="0012325A" w:rsidRPr="00D2192E" w:rsidRDefault="0012325A" w:rsidP="00D2192E">
      <w:pPr>
        <w:rPr>
          <w:lang w:val="fr-FR"/>
        </w:rPr>
      </w:pPr>
    </w:p>
    <w:p w14:paraId="39E5BE4E" w14:textId="77777777" w:rsidR="0012325A" w:rsidRPr="00D2192E" w:rsidRDefault="0012325A" w:rsidP="00D2192E">
      <w:pPr>
        <w:rPr>
          <w:lang w:val="fr-FR"/>
        </w:rPr>
      </w:pPr>
    </w:p>
    <w:p w14:paraId="3DC2780C" w14:textId="77777777" w:rsidR="0012325A" w:rsidRPr="00D2192E" w:rsidRDefault="0012325A" w:rsidP="00D2192E">
      <w:pPr>
        <w:rPr>
          <w:lang w:val="fr-FR"/>
        </w:rPr>
      </w:pPr>
    </w:p>
    <w:p w14:paraId="688449A9" w14:textId="77777777" w:rsidR="0012325A" w:rsidRPr="00D2192E" w:rsidRDefault="0012325A" w:rsidP="00D2192E">
      <w:pPr>
        <w:rPr>
          <w:lang w:val="fr-FR"/>
        </w:rPr>
      </w:pPr>
    </w:p>
    <w:p w14:paraId="360AC86A" w14:textId="77777777" w:rsidR="0012325A" w:rsidRPr="00D2192E" w:rsidRDefault="0012325A" w:rsidP="00D2192E">
      <w:pPr>
        <w:rPr>
          <w:lang w:val="fr-FR"/>
        </w:rPr>
      </w:pPr>
    </w:p>
    <w:p w14:paraId="56B75330" w14:textId="77777777" w:rsidR="0012325A" w:rsidRPr="00D2192E" w:rsidRDefault="0012325A" w:rsidP="00D2192E">
      <w:pPr>
        <w:rPr>
          <w:lang w:val="fr-FR"/>
        </w:rPr>
      </w:pPr>
    </w:p>
    <w:p w14:paraId="51FF399E" w14:textId="77777777" w:rsidR="0012325A" w:rsidRPr="00D2192E" w:rsidRDefault="0012325A" w:rsidP="00D2192E">
      <w:pPr>
        <w:rPr>
          <w:lang w:val="fr-FR"/>
        </w:rPr>
        <w:sectPr w:rsidR="0012325A" w:rsidRPr="00D2192E">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475252CA" w14:textId="77777777" w:rsidR="0012325A" w:rsidRPr="00D2192E" w:rsidRDefault="0012325A" w:rsidP="00D2192E">
      <w:pPr>
        <w:rPr>
          <w:lang w:val="fr-FR"/>
        </w:rPr>
      </w:pPr>
    </w:p>
    <w:sectPr w:rsidR="0012325A" w:rsidRPr="00D2192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54FF0" w14:textId="77777777" w:rsidR="006B53CD" w:rsidRDefault="006B53CD">
      <w:r>
        <w:separator/>
      </w:r>
    </w:p>
  </w:endnote>
  <w:endnote w:type="continuationSeparator" w:id="0">
    <w:p w14:paraId="23238DB5" w14:textId="77777777" w:rsidR="006B53CD" w:rsidRDefault="006B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EFAE8" w14:textId="77777777" w:rsidR="006B53CD" w:rsidRDefault="006B53CD">
      <w:r>
        <w:rPr>
          <w:b/>
        </w:rPr>
        <w:t>_______________</w:t>
      </w:r>
    </w:p>
    <w:p w14:paraId="572C62DB" w14:textId="77777777" w:rsidR="006B53CD" w:rsidRDefault="006B53CD"/>
    <w:p w14:paraId="5CD95DD3" w14:textId="77777777" w:rsidR="006B53CD" w:rsidRDefault="006B53CD"/>
    <w:p w14:paraId="19F14192" w14:textId="77777777" w:rsidR="006B53CD" w:rsidRDefault="006B53CD"/>
  </w:footnote>
  <w:footnote w:type="continuationSeparator" w:id="0">
    <w:p w14:paraId="12E368B2" w14:textId="77777777" w:rsidR="006B53CD" w:rsidRDefault="006B5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2325A" w14:paraId="100CDC3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322A76" w14:textId="77777777" w:rsidR="0012325A" w:rsidRDefault="0012325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893EBAD" w14:textId="5AB7869E" w:rsidR="0012325A" w:rsidRDefault="001B29FF">
          <w:pPr>
            <w:pStyle w:val="HeaderRegProc"/>
            <w:rPr>
              <w:lang w:val="fr-FR"/>
            </w:rPr>
          </w:pPr>
          <w:fldSimple w:instr=" DOCPROPERTY &quot;Header&quot; \* MERGEFORMAT ">
            <w:r w:rsidR="00A05510" w:rsidRPr="00A05510">
              <w:rPr>
                <w:color w:val="000000"/>
                <w:lang w:val="fr-FR"/>
              </w:rPr>
              <w:t>AR</w:t>
            </w:r>
          </w:fldSimple>
          <w:r w:rsidR="0012325A">
            <w:rPr>
              <w:color w:val="000000"/>
            </w:rPr>
            <w:fldChar w:fldCharType="begin"/>
          </w:r>
          <w:r w:rsidR="0012325A">
            <w:rPr>
              <w:color w:val="000000"/>
              <w:lang w:val="fr-FR"/>
            </w:rPr>
            <w:instrText>styleref href2</w:instrText>
          </w:r>
          <w:r w:rsidR="0012325A">
            <w:rPr>
              <w:color w:val="000000"/>
            </w:rPr>
            <w:fldChar w:fldCharType="separate"/>
          </w:r>
          <w:r w:rsidR="009716DD">
            <w:rPr>
              <w:noProof/>
              <w:color w:val="000000"/>
            </w:rPr>
            <w:t>12</w:t>
          </w:r>
          <w:r w:rsidR="0012325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C51A9A" w14:textId="77777777" w:rsidR="0012325A" w:rsidRDefault="00123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B29F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9A35C0" w14:textId="01157136" w:rsidR="0012325A" w:rsidRDefault="0012325A">
          <w:pPr>
            <w:pStyle w:val="HeaderRegProc"/>
            <w:rPr>
              <w:lang w:val="fr-CH"/>
            </w:rPr>
          </w:pPr>
          <w:r>
            <w:rPr>
              <w:lang w:val="fr-CH"/>
            </w:rPr>
            <w:t>rév.</w:t>
          </w:r>
          <w:fldSimple w:instr=" DOCPROPERTY &quot;Header10&quot; \* MERGEFORMAT ">
            <w:r w:rsidR="00A05510" w:rsidRPr="00A05510">
              <w:rPr>
                <w:lang w:val="fr-CH"/>
              </w:rPr>
              <w:t>-</w:t>
            </w:r>
          </w:fldSimple>
        </w:p>
      </w:tc>
    </w:tr>
  </w:tbl>
  <w:p w14:paraId="586A1A07" w14:textId="77777777" w:rsidR="0012325A" w:rsidRDefault="00123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2325A" w14:paraId="23DE656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70E6ACA" w14:textId="77777777" w:rsidR="0012325A" w:rsidRDefault="0012325A">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F239FB9" w14:textId="4807E122" w:rsidR="0012325A" w:rsidRDefault="001B29FF">
          <w:pPr>
            <w:pStyle w:val="HeaderRegProc"/>
            <w:rPr>
              <w:color w:val="000000"/>
              <w:lang w:val="fr-FR"/>
            </w:rPr>
          </w:pPr>
          <w:fldSimple w:instr=" DOCPROPERTY &quot;Header&quot; \* MERGEFORMAT ">
            <w:r w:rsidR="00A05510" w:rsidRPr="00A05510">
              <w:rPr>
                <w:color w:val="000000"/>
                <w:lang w:val="fr-FR"/>
              </w:rPr>
              <w:t>AR</w:t>
            </w:r>
          </w:fldSimple>
          <w:r w:rsidR="0012325A">
            <w:rPr>
              <w:color w:val="000000"/>
            </w:rPr>
            <w:fldChar w:fldCharType="begin"/>
          </w:r>
          <w:r w:rsidR="0012325A">
            <w:rPr>
              <w:color w:val="000000"/>
              <w:lang w:val="fr-FR"/>
            </w:rPr>
            <w:instrText>styleref href2</w:instrText>
          </w:r>
          <w:r w:rsidR="0012325A">
            <w:rPr>
              <w:color w:val="000000"/>
            </w:rPr>
            <w:fldChar w:fldCharType="separate"/>
          </w:r>
          <w:r w:rsidR="009716DD">
            <w:rPr>
              <w:noProof/>
              <w:color w:val="000000"/>
            </w:rPr>
            <w:t>12</w:t>
          </w:r>
          <w:r w:rsidR="0012325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B35BF7" w14:textId="77777777" w:rsidR="0012325A" w:rsidRDefault="0012325A">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B29FF">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DBF1F7" w14:textId="77777777" w:rsidR="0012325A" w:rsidRDefault="0012325A">
          <w:pPr>
            <w:pStyle w:val="HeaderRegProc"/>
            <w:rPr>
              <w:color w:val="000000"/>
              <w:lang w:val="fr-CH"/>
            </w:rPr>
          </w:pPr>
          <w:r>
            <w:rPr>
              <w:color w:val="000000"/>
              <w:lang w:val="fr-CH"/>
            </w:rPr>
            <w:t>rév.</w:t>
          </w:r>
          <w:r>
            <w:rPr>
              <w:color w:val="000000"/>
            </w:rPr>
            <w:t>-</w:t>
          </w:r>
        </w:p>
      </w:tc>
    </w:tr>
  </w:tbl>
  <w:p w14:paraId="25E4DDA3" w14:textId="77777777" w:rsidR="0012325A" w:rsidRDefault="00123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BC277" w14:textId="77777777" w:rsidR="0012325A" w:rsidRDefault="001232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192E"/>
    <w:rsid w:val="0012325A"/>
    <w:rsid w:val="001403DB"/>
    <w:rsid w:val="001B29FF"/>
    <w:rsid w:val="002111EB"/>
    <w:rsid w:val="0061648D"/>
    <w:rsid w:val="006B53CD"/>
    <w:rsid w:val="00892A72"/>
    <w:rsid w:val="009716DD"/>
    <w:rsid w:val="00A05510"/>
    <w:rsid w:val="00CC7CC7"/>
    <w:rsid w:val="00D219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85DB0"/>
  <w15:docId w15:val="{A6FBF12C-1758-47DD-989C-11DCEAF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3</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12</dc:subject>
  <dc:creator>Composition des Publications</dc:creator>
  <cp:keywords>Folios: 1 - 2</cp:keywords>
  <dc:description>Edition 2009:    23.02.2209/DD  (dict. ok)</dc:description>
  <cp:lastModifiedBy>Al-Yammouni, Hala</cp:lastModifiedBy>
  <cp:revision>7</cp:revision>
  <cp:lastPrinted>2021-05-25T14:08:00Z</cp:lastPrinted>
  <dcterms:created xsi:type="dcterms:W3CDTF">2012-08-08T15:32:00Z</dcterms:created>
  <dcterms:modified xsi:type="dcterms:W3CDTF">2021-05-25T14:25:00Z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