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E9B9C" w14:textId="77777777" w:rsidR="00032F63" w:rsidRPr="00020AB9" w:rsidRDefault="00032F63" w:rsidP="00020AB9">
      <w:pPr>
        <w:pStyle w:val="Heading1"/>
        <w:spacing w:before="300"/>
        <w:jc w:val="center"/>
        <w:rPr>
          <w:lang w:val="fr-FR"/>
        </w:rPr>
      </w:pPr>
      <w:r w:rsidRPr="00020AB9">
        <w:rPr>
          <w:lang w:val="fr-FR"/>
        </w:rPr>
        <w:t>Règles relatives à</w:t>
      </w:r>
    </w:p>
    <w:p w14:paraId="7E546E29" w14:textId="77777777" w:rsidR="00032F63" w:rsidRPr="00020AB9" w:rsidRDefault="00032F63">
      <w:pPr>
        <w:pStyle w:val="Heading2"/>
        <w:jc w:val="center"/>
        <w:rPr>
          <w:lang w:val="fr-FR"/>
        </w:rPr>
      </w:pPr>
      <w:proofErr w:type="gramStart"/>
      <w:r w:rsidRPr="00020AB9">
        <w:rPr>
          <w:lang w:val="fr-FR"/>
        </w:rPr>
        <w:t>l'ARTICLE</w:t>
      </w:r>
      <w:proofErr w:type="gramEnd"/>
      <w:r w:rsidRPr="00020AB9">
        <w:rPr>
          <w:lang w:val="fr-FR"/>
        </w:rPr>
        <w:t xml:space="preserve"> </w:t>
      </w:r>
      <w:r w:rsidR="00020AB9" w:rsidRPr="00020AB9">
        <w:rPr>
          <w:lang w:val="fr-FR"/>
        </w:rPr>
        <w:t xml:space="preserve"> </w:t>
      </w:r>
      <w:r w:rsidRPr="00020AB9">
        <w:rPr>
          <w:rStyle w:val="href"/>
          <w:lang w:val="fr-FR"/>
        </w:rPr>
        <w:t>1</w:t>
      </w:r>
      <w:r w:rsidRPr="00020AB9">
        <w:rPr>
          <w:lang w:val="fr-FR"/>
        </w:rPr>
        <w:t xml:space="preserve"> du RR</w:t>
      </w:r>
    </w:p>
    <w:p w14:paraId="08130778" w14:textId="77777777" w:rsidR="00032F63" w:rsidRPr="00020AB9" w:rsidRDefault="00032F63">
      <w:pPr>
        <w:pStyle w:val="Heading8"/>
        <w:rPr>
          <w:lang w:val="fr-FR"/>
        </w:rPr>
      </w:pPr>
      <w:r w:rsidRPr="00020AB9">
        <w:rPr>
          <w:rStyle w:val="href2"/>
          <w:lang w:val="fr-FR"/>
        </w:rPr>
        <w:t>1</w:t>
      </w:r>
      <w:r w:rsidRPr="00020AB9">
        <w:rPr>
          <w:lang w:val="fr-FR"/>
        </w:rPr>
        <w:t>.23</w:t>
      </w:r>
    </w:p>
    <w:p w14:paraId="5D1241B6" w14:textId="77777777" w:rsidR="00032F63" w:rsidRPr="00020AB9" w:rsidRDefault="00032F63" w:rsidP="00020AB9">
      <w:pPr>
        <w:rPr>
          <w:lang w:val="fr-FR"/>
        </w:rPr>
      </w:pPr>
      <w:r w:rsidRPr="00020AB9">
        <w:rPr>
          <w:lang w:val="fr-FR"/>
        </w:rPr>
        <w:t>1</w:t>
      </w:r>
      <w:r w:rsidRPr="00020AB9">
        <w:rPr>
          <w:lang w:val="fr-FR"/>
        </w:rPr>
        <w:tab/>
        <w:t xml:space="preserve">Aux termes de la définition du numéro </w:t>
      </w:r>
      <w:r w:rsidRPr="00020AB9">
        <w:rPr>
          <w:rStyle w:val="Artref"/>
          <w:b/>
          <w:bCs/>
          <w:color w:val="000000"/>
          <w:lang w:val="fr-FR"/>
        </w:rPr>
        <w:t>1.23</w:t>
      </w:r>
      <w:r w:rsidRPr="00020AB9">
        <w:rPr>
          <w:lang w:val="fr-FR"/>
        </w:rPr>
        <w:t>, les fonctions du service d'exploi</w:t>
      </w:r>
      <w:r w:rsidR="00020AB9" w:rsidRPr="00020AB9">
        <w:rPr>
          <w:lang w:val="fr-FR"/>
        </w:rPr>
        <w:softHyphen/>
      </w:r>
      <w:r w:rsidRPr="00020AB9">
        <w:rPr>
          <w:lang w:val="fr-FR"/>
        </w:rPr>
        <w:t>tation spatiale (poursuite spatiale, télémesure spatiale et télécommande spatiale) seront normalement assurées au sein du service dans lequel fonctionne la station spatiale. On peut donc se demander s'il est approprié de considérer que des fiches de notification d'assignations de fréquence relatives à des classes de stations assurant ces fonctions sont conformes au Tableau d'attribution des bandes de fréquences dans les cas où ce Tableau ne contient pas d'attribution au service d'exploitation spatiale.</w:t>
      </w:r>
    </w:p>
    <w:p w14:paraId="206FC906" w14:textId="77777777" w:rsidR="00032F63" w:rsidRPr="00020AB9" w:rsidRDefault="00032F63" w:rsidP="00020AB9">
      <w:pPr>
        <w:rPr>
          <w:lang w:val="fr-FR"/>
        </w:rPr>
      </w:pPr>
      <w:r w:rsidRPr="00020AB9">
        <w:rPr>
          <w:lang w:val="fr-FR"/>
        </w:rPr>
        <w:t>2</w:t>
      </w:r>
      <w:r w:rsidRPr="00020AB9">
        <w:rPr>
          <w:lang w:val="fr-FR"/>
        </w:rPr>
        <w:tab/>
        <w:t xml:space="preserve">Aux termes de la procédure d'examen décrite au numéro </w:t>
      </w:r>
      <w:r w:rsidRPr="00020AB9">
        <w:rPr>
          <w:rStyle w:val="Artref"/>
          <w:b/>
          <w:bCs/>
          <w:color w:val="000000"/>
          <w:lang w:val="fr-FR"/>
        </w:rPr>
        <w:t>11.31</w:t>
      </w:r>
      <w:r w:rsidRPr="00020AB9">
        <w:rPr>
          <w:lang w:val="fr-FR"/>
        </w:rPr>
        <w:t xml:space="preserve">, les fiches de notification traitant des fonctions d'exploitation spatiale seront considérées comme conformes au Tableau d'attribution des bandes de fréquences (conclusion favorable) lorsque la fréquence assignée (et la bande de fréquences assignée) est située dans une bande de fréquences attribuée </w:t>
      </w:r>
      <w:proofErr w:type="gramStart"/>
      <w:r w:rsidRPr="00020AB9">
        <w:rPr>
          <w:lang w:val="fr-FR"/>
        </w:rPr>
        <w:t>au:</w:t>
      </w:r>
      <w:proofErr w:type="gramEnd"/>
    </w:p>
    <w:p w14:paraId="7B7F9FDA" w14:textId="77777777" w:rsidR="00032F63" w:rsidRPr="00020AB9" w:rsidRDefault="00032F63">
      <w:pPr>
        <w:pStyle w:val="enumlev1"/>
        <w:rPr>
          <w:lang w:val="fr-FR"/>
        </w:rPr>
      </w:pPr>
      <w:r w:rsidRPr="00020AB9">
        <w:rPr>
          <w:lang w:val="fr-FR"/>
        </w:rPr>
        <w:t>–</w:t>
      </w:r>
      <w:r w:rsidRPr="00020AB9">
        <w:rPr>
          <w:lang w:val="fr-FR"/>
        </w:rPr>
        <w:tab/>
        <w:t xml:space="preserve">service d'exploitation spatiale, </w:t>
      </w:r>
      <w:proofErr w:type="gramStart"/>
      <w:r w:rsidRPr="00020AB9">
        <w:rPr>
          <w:lang w:val="fr-FR"/>
        </w:rPr>
        <w:t>ou</w:t>
      </w:r>
      <w:proofErr w:type="gramEnd"/>
    </w:p>
    <w:p w14:paraId="6A2462A2" w14:textId="77777777" w:rsidR="00032F63" w:rsidRPr="00020AB9" w:rsidRDefault="00032F63" w:rsidP="00020AB9">
      <w:pPr>
        <w:pStyle w:val="enumlev1"/>
        <w:rPr>
          <w:lang w:val="fr-FR"/>
        </w:rPr>
      </w:pPr>
      <w:r w:rsidRPr="00020AB9">
        <w:rPr>
          <w:lang w:val="fr-FR"/>
        </w:rPr>
        <w:t>–</w:t>
      </w:r>
      <w:r w:rsidRPr="00020AB9">
        <w:rPr>
          <w:lang w:val="fr-FR"/>
        </w:rPr>
        <w:tab/>
        <w:t>au service principal dans lequel la station spatiale est exploitée (par exemple, service fixe par satellite (SFS), service de radiodiffusion par satellite (SRS), service mobile par satellite</w:t>
      </w:r>
      <w:r w:rsidR="00020AB9" w:rsidRPr="00020AB9">
        <w:rPr>
          <w:lang w:val="fr-FR"/>
        </w:rPr>
        <w:t> </w:t>
      </w:r>
      <w:r w:rsidRPr="00020AB9">
        <w:rPr>
          <w:lang w:val="fr-FR"/>
        </w:rPr>
        <w:t>(SMS)).</w:t>
      </w:r>
    </w:p>
    <w:p w14:paraId="10E8C52F" w14:textId="77777777" w:rsidR="00032F63" w:rsidRPr="00020AB9" w:rsidRDefault="00032F63">
      <w:pPr>
        <w:rPr>
          <w:lang w:val="fr-FR"/>
        </w:rPr>
      </w:pPr>
      <w:r w:rsidRPr="00020AB9">
        <w:rPr>
          <w:lang w:val="fr-FR"/>
        </w:rPr>
        <w:t>3</w:t>
      </w:r>
      <w:r w:rsidRPr="00020AB9">
        <w:rPr>
          <w:lang w:val="fr-FR"/>
        </w:rPr>
        <w:tab/>
        <w:t xml:space="preserve">Dans le cas où la fréquence assignée relative aux fonctions d'exploitation spatiale se situe dans une bande de fréquences attribuée à un service dans lequel la station spatiale n'assure pas de fonction d'exploitation, la conclusion relativement au numéro </w:t>
      </w:r>
      <w:r w:rsidRPr="00020AB9">
        <w:rPr>
          <w:rStyle w:val="Artref"/>
          <w:b/>
          <w:bCs/>
          <w:color w:val="000000"/>
          <w:lang w:val="fr-FR"/>
        </w:rPr>
        <w:t>11.31</w:t>
      </w:r>
      <w:r w:rsidRPr="00020AB9">
        <w:rPr>
          <w:b/>
          <w:lang w:val="fr-FR"/>
        </w:rPr>
        <w:t xml:space="preserve"> </w:t>
      </w:r>
      <w:r w:rsidRPr="00020AB9">
        <w:rPr>
          <w:lang w:val="fr-FR"/>
        </w:rPr>
        <w:t>sera défavorable.</w:t>
      </w:r>
    </w:p>
    <w:p w14:paraId="4CE157DE" w14:textId="77777777" w:rsidR="00032F63" w:rsidRPr="00020AB9" w:rsidRDefault="00032F63">
      <w:pPr>
        <w:pStyle w:val="Heading8"/>
        <w:rPr>
          <w:lang w:val="fr-FR"/>
        </w:rPr>
      </w:pPr>
      <w:r w:rsidRPr="00020AB9">
        <w:rPr>
          <w:lang w:val="fr-FR"/>
        </w:rPr>
        <w:t>1.61</w:t>
      </w:r>
    </w:p>
    <w:p w14:paraId="7BF4B789" w14:textId="46790367" w:rsidR="003A4C61" w:rsidRDefault="00032F63" w:rsidP="00950753">
      <w:pPr>
        <w:rPr>
          <w:lang w:val="fr-FR"/>
        </w:rPr>
      </w:pPr>
      <w:r w:rsidRPr="00020AB9">
        <w:rPr>
          <w:lang w:val="fr-FR"/>
        </w:rPr>
        <w:t xml:space="preserve">Lorsque, dans un emplacement donné ou à bord d'un satellite, les émetteurs ou récepteurs sont utilisés par différents services de radiocommunication, ils constituent </w:t>
      </w:r>
      <w:proofErr w:type="gramStart"/>
      <w:r w:rsidRPr="00020AB9">
        <w:rPr>
          <w:lang w:val="fr-FR"/>
        </w:rPr>
        <w:t>plusieurs stations correspondant</w:t>
      </w:r>
      <w:proofErr w:type="gramEnd"/>
      <w:r w:rsidRPr="00020AB9">
        <w:rPr>
          <w:lang w:val="fr-FR"/>
        </w:rPr>
        <w:t xml:space="preserve"> chacune à un service particulier de radiocommunication. Cette distinction est fondamentale dans les radiocommunications spatiales, lorsqu'un engin spatial unique sert à plusieurs services. (Pour les symboles des différentes classes de station utilisées dans les fiches de notification pour les services dans lesquels est exploitée une station, voir le Tableau N° 3 de la Préface à la BR</w:t>
      </w:r>
      <w:r w:rsidR="00020AB9" w:rsidRPr="00020AB9">
        <w:rPr>
          <w:lang w:val="fr-FR"/>
        </w:rPr>
        <w:t> </w:t>
      </w:r>
      <w:r w:rsidRPr="00020AB9">
        <w:rPr>
          <w:lang w:val="fr-FR"/>
        </w:rPr>
        <w:t>IFIC.)</w:t>
      </w:r>
    </w:p>
    <w:p w14:paraId="76320571" w14:textId="77777777" w:rsidR="00F57679" w:rsidRDefault="00F57679">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807B7DC" w14:textId="77777777" w:rsidR="00032F63" w:rsidRPr="00020AB9" w:rsidRDefault="00032F63">
      <w:pPr>
        <w:pStyle w:val="Heading8"/>
        <w:rPr>
          <w:lang w:val="fr-FR"/>
        </w:rPr>
      </w:pPr>
      <w:r w:rsidRPr="00020AB9">
        <w:rPr>
          <w:lang w:val="fr-FR"/>
        </w:rPr>
        <w:lastRenderedPageBreak/>
        <w:t>1.63</w:t>
      </w:r>
    </w:p>
    <w:p w14:paraId="5B255DD8" w14:textId="77777777" w:rsidR="00032F63" w:rsidRPr="00020AB9" w:rsidRDefault="00032F63">
      <w:pPr>
        <w:rPr>
          <w:lang w:val="fr-FR"/>
        </w:rPr>
      </w:pPr>
      <w:r w:rsidRPr="00020AB9">
        <w:rPr>
          <w:i/>
          <w:iCs/>
          <w:lang w:val="fr-FR"/>
        </w:rPr>
        <w:t xml:space="preserve">Station terrienne </w:t>
      </w:r>
      <w:proofErr w:type="gramStart"/>
      <w:r w:rsidRPr="00020AB9">
        <w:rPr>
          <w:i/>
          <w:iCs/>
          <w:lang w:val="fr-FR"/>
        </w:rPr>
        <w:t>transportable:</w:t>
      </w:r>
      <w:proofErr w:type="gramEnd"/>
      <w:r w:rsidRPr="00020AB9">
        <w:rPr>
          <w:lang w:val="fr-FR"/>
        </w:rPr>
        <w:t xml:space="preserve"> le Comité considère comme station terrienne transportable dans le service fixe par satellite (voir le numéro </w:t>
      </w:r>
      <w:r w:rsidRPr="00020AB9">
        <w:rPr>
          <w:rStyle w:val="Artref"/>
          <w:b/>
          <w:bCs/>
          <w:color w:val="000000"/>
          <w:lang w:val="fr-FR"/>
        </w:rPr>
        <w:t>1.21</w:t>
      </w:r>
      <w:r w:rsidRPr="00020AB9">
        <w:rPr>
          <w:lang w:val="fr-FR"/>
        </w:rPr>
        <w:t>) (ou dans tout autre service spatial) une station terrienne qui ne peut être utilisée qu'en des points fixes. La fiche de notification correspondante est donc considérée comme incomplète lorsqu'elle ne mentionne pas les coordonnées géographiques.</w:t>
      </w:r>
    </w:p>
    <w:p w14:paraId="438E091A" w14:textId="77777777" w:rsidR="00032F63" w:rsidRPr="00020AB9" w:rsidRDefault="00032F63" w:rsidP="00655060">
      <w:pPr>
        <w:pStyle w:val="Heading8"/>
        <w:rPr>
          <w:lang w:val="fr-FR"/>
        </w:rPr>
      </w:pPr>
      <w:r w:rsidRPr="00020AB9">
        <w:rPr>
          <w:lang w:val="fr-FR"/>
        </w:rPr>
        <w:t>1.112</w:t>
      </w:r>
    </w:p>
    <w:p w14:paraId="3AFFF7EC" w14:textId="77777777" w:rsidR="00A22F6B" w:rsidRPr="00A22F6B" w:rsidRDefault="00A22F6B" w:rsidP="00A22F6B">
      <w:pPr>
        <w:rPr>
          <w:lang w:val="fr-CH"/>
        </w:rPr>
      </w:pPr>
      <w:r w:rsidRPr="00A22F6B">
        <w:rPr>
          <w:lang w:val="fr-CH"/>
        </w:rPr>
        <w:t>En vertu de cette définition, un système à satellites composé d'un seul satellite est aussi un réseau à satellite et, quand il est composé de plusieurs satellites, chacune des parties comprenant un satellite forme un réseau à satellite. Le titre de l'Annexe 2 de l'Appendice </w:t>
      </w:r>
      <w:r w:rsidRPr="00426B2C">
        <w:rPr>
          <w:rStyle w:val="Appref0"/>
          <w:b/>
          <w:bCs/>
          <w:color w:val="000000"/>
          <w:lang w:val="fr-CH"/>
        </w:rPr>
        <w:t>4</w:t>
      </w:r>
      <w:r w:rsidRPr="00A22F6B">
        <w:rPr>
          <w:lang w:val="fr-CH"/>
        </w:rPr>
        <w:t xml:space="preserve"> (ainsi que les sous</w:t>
      </w:r>
      <w:r w:rsidRPr="00A22F6B">
        <w:rPr>
          <w:lang w:val="fr-CH"/>
        </w:rPr>
        <w:noBreakHyphen/>
        <w:t>titres des paragraphes A et A1 de cette Annexe), indique que les renseignements donnés dans ledit Appendice seront fournis pour chaque réseau à satellite. Les procédures de publication anticipée ou de coordination, selon le cas, doivent donc s'appliquer à chaque réseau à satellite. Compte tenu du point A.4.b de l'Appendice </w:t>
      </w:r>
      <w:r w:rsidRPr="00426B2C">
        <w:rPr>
          <w:rStyle w:val="Appref0"/>
          <w:b/>
          <w:bCs/>
          <w:color w:val="000000"/>
          <w:lang w:val="fr-CH"/>
        </w:rPr>
        <w:t>4</w:t>
      </w:r>
      <w:r w:rsidRPr="00A22F6B">
        <w:rPr>
          <w:lang w:val="fr-CH"/>
        </w:rPr>
        <w:t>, une fiche de notification concernant un réseau à satellite non géostationnaire peut porter sur un ou plusieurs plans orbitaux et sur un ou plusieurs satellites par plan orbital.</w:t>
      </w:r>
    </w:p>
    <w:p w14:paraId="08D6EB89" w14:textId="77777777" w:rsidR="00A22F6B" w:rsidRPr="00A22F6B" w:rsidRDefault="00A22F6B" w:rsidP="00A22F6B">
      <w:pPr>
        <w:rPr>
          <w:lang w:val="fr-CH"/>
        </w:rPr>
      </w:pPr>
      <w:r w:rsidRPr="00A22F6B">
        <w:rPr>
          <w:lang w:val="fr-CH"/>
        </w:rPr>
        <w:t xml:space="preserve">Compte tenu de ce qui </w:t>
      </w:r>
      <w:proofErr w:type="gramStart"/>
      <w:r w:rsidRPr="00A22F6B">
        <w:rPr>
          <w:lang w:val="fr-CH"/>
        </w:rPr>
        <w:t>précède:</w:t>
      </w:r>
      <w:proofErr w:type="gramEnd"/>
    </w:p>
    <w:p w14:paraId="38168F3B" w14:textId="77777777" w:rsidR="00A22F6B" w:rsidRPr="00A22F6B" w:rsidRDefault="00A22F6B" w:rsidP="00A33DA4">
      <w:pPr>
        <w:spacing w:before="120"/>
        <w:rPr>
          <w:lang w:val="fr-CH"/>
        </w:rPr>
      </w:pPr>
      <w:r w:rsidRPr="00426B2C">
        <w:rPr>
          <w:i/>
          <w:iCs/>
          <w:lang w:val="fr-CH"/>
        </w:rPr>
        <w:t>a)</w:t>
      </w:r>
      <w:r w:rsidRPr="00A22F6B">
        <w:rPr>
          <w:lang w:val="fr-CH"/>
        </w:rPr>
        <w:tab/>
        <w:t xml:space="preserve">un système à satellites géostationnaires utilisant un satellite et deux ou plusieurs stations terriennes est un réseau à </w:t>
      </w:r>
      <w:proofErr w:type="gramStart"/>
      <w:r w:rsidRPr="00A22F6B">
        <w:rPr>
          <w:lang w:val="fr-CH"/>
        </w:rPr>
        <w:t>satellite;</w:t>
      </w:r>
      <w:proofErr w:type="gramEnd"/>
    </w:p>
    <w:p w14:paraId="5481A792" w14:textId="77777777" w:rsidR="00A22F6B" w:rsidRPr="00A22F6B" w:rsidRDefault="00A22F6B" w:rsidP="00A33DA4">
      <w:pPr>
        <w:spacing w:before="120"/>
        <w:rPr>
          <w:lang w:val="fr-CH"/>
        </w:rPr>
      </w:pPr>
      <w:r w:rsidRPr="00426B2C">
        <w:rPr>
          <w:i/>
          <w:iCs/>
          <w:lang w:val="fr-CH"/>
        </w:rPr>
        <w:t>b)</w:t>
      </w:r>
      <w:r w:rsidRPr="00A22F6B">
        <w:rPr>
          <w:lang w:val="fr-CH"/>
        </w:rPr>
        <w:tab/>
        <w:t>dans le cas d'un système à satellites géostationnaires dans lequel la liaison radioélectrique entre deux stations terriennes utilise deux satellites ou davantage communiquant au moyen de liaisons entre satellites, chacun de ces satellites, ainsi que</w:t>
      </w:r>
      <w:r w:rsidRPr="00A22F6B">
        <w:rPr>
          <w:color w:val="000000"/>
          <w:lang w:val="fr-CH"/>
        </w:rPr>
        <w:t xml:space="preserve"> les stations terriennes ou les stations spatiales qui leur sont associées, selon le cas,</w:t>
      </w:r>
      <w:r w:rsidRPr="00A22F6B">
        <w:rPr>
          <w:lang w:val="fr-CH"/>
        </w:rPr>
        <w:t xml:space="preserve"> sont considérés comme formant un réseau à satellite distinct. Les liaisons entre ces satellites doivent être notifiées pour chacun des satellites du </w:t>
      </w:r>
      <w:proofErr w:type="gramStart"/>
      <w:r w:rsidRPr="00A22F6B">
        <w:rPr>
          <w:lang w:val="fr-CH"/>
        </w:rPr>
        <w:t>système;</w:t>
      </w:r>
      <w:proofErr w:type="gramEnd"/>
    </w:p>
    <w:p w14:paraId="0D065D6A" w14:textId="56A4DD54" w:rsidR="00A22F6B" w:rsidRPr="00A22F6B" w:rsidRDefault="00A22F6B" w:rsidP="00A33DA4">
      <w:pPr>
        <w:spacing w:before="120"/>
        <w:rPr>
          <w:lang w:val="fr-CH"/>
        </w:rPr>
      </w:pPr>
      <w:r w:rsidRPr="00A33DA4">
        <w:rPr>
          <w:i/>
          <w:iCs/>
          <w:lang w:val="fr-CH"/>
        </w:rPr>
        <w:t>c)</w:t>
      </w:r>
      <w:r w:rsidRPr="00A22F6B">
        <w:rPr>
          <w:lang w:val="fr-CH"/>
        </w:rPr>
        <w:tab/>
        <w:t>un système à satellites non géostationnaires composé d'un ou de plusieurs plans orbitaux, dont chacun comporte un ou plusieurs satellites ayant des caractéristiques identiques, est considéré comme formant un seul et même réseau à satellite</w:t>
      </w:r>
      <w:r w:rsidRPr="00A22F6B">
        <w:rPr>
          <w:rStyle w:val="Appref0"/>
          <w:rFonts w:asciiTheme="minorHAnsi" w:hAnsiTheme="minorHAnsi"/>
          <w:lang w:val="fr-CH"/>
        </w:rPr>
        <w:t xml:space="preserve">. </w:t>
      </w:r>
      <w:r w:rsidRPr="00A22F6B">
        <w:rPr>
          <w:lang w:val="fr-CH"/>
        </w:rPr>
        <w:t xml:space="preserve">Lorsque ces satellites non géostationnaires sont reliés entre eux par des liaisons entre satellites, ces liaisons peuvent être notifiées dans le cadre de ce réseau à </w:t>
      </w:r>
      <w:proofErr w:type="gramStart"/>
      <w:r w:rsidRPr="00A22F6B">
        <w:rPr>
          <w:lang w:val="fr-CH"/>
        </w:rPr>
        <w:t>satellite</w:t>
      </w:r>
      <w:r w:rsidR="00010465">
        <w:rPr>
          <w:lang w:val="fr-CH"/>
        </w:rPr>
        <w:t>;</w:t>
      </w:r>
      <w:bookmarkStart w:id="0" w:name="_GoBack"/>
      <w:bookmarkEnd w:id="0"/>
      <w:proofErr w:type="gramEnd"/>
    </w:p>
    <w:p w14:paraId="483A6906" w14:textId="77777777" w:rsidR="00A22F6B" w:rsidRPr="00A22F6B" w:rsidRDefault="00A22F6B" w:rsidP="00A33DA4">
      <w:pPr>
        <w:spacing w:before="120"/>
        <w:rPr>
          <w:lang w:val="fr-CH"/>
        </w:rPr>
      </w:pPr>
      <w:r w:rsidRPr="00A33DA4">
        <w:rPr>
          <w:i/>
          <w:iCs/>
          <w:lang w:val="fr-CH"/>
        </w:rPr>
        <w:t>d)</w:t>
      </w:r>
      <w:r w:rsidRPr="00A22F6B">
        <w:rPr>
          <w:lang w:val="fr-CH"/>
        </w:rPr>
        <w:tab/>
        <w:t xml:space="preserve">dans le cas d'un système à satellites combiné comprenant un satellite géostationnaire et un certain nombre de satellites non géostationnaires communiquant au moyen de liaisons entre satellites non OSG/OSG, le satellite géostationnaire et les satellites non géostationnaires, chacun avec les stations terriennes et les stations spatiales respectives qui leur sont associées, selon le cas, sont considérés comme formant des réseaux à satellite distincts. </w:t>
      </w:r>
      <w:r w:rsidRPr="00655060">
        <w:rPr>
          <w:lang w:val="fr-CH"/>
        </w:rPr>
        <w:t>Les liaisons entre satellites reliant les satellites non géostationnaires au satellite géostationnaire du système doivent être notifiées pour chacun des réseaux à satellite du système.</w:t>
      </w:r>
    </w:p>
    <w:p w14:paraId="03DBE9E5" w14:textId="77777777" w:rsidR="00A33DA4" w:rsidRDefault="003A4C61" w:rsidP="00A33DA4">
      <w:pPr>
        <w:spacing w:before="120"/>
        <w:rPr>
          <w:lang w:val="fr-FR"/>
        </w:rPr>
      </w:pPr>
      <w:r w:rsidRPr="00F376C0">
        <w:rPr>
          <w:i/>
          <w:iCs/>
          <w:lang w:val="fr-FR"/>
        </w:rPr>
        <w:t xml:space="preserve">(Voir également les commentaires </w:t>
      </w:r>
      <w:r w:rsidR="0019392C" w:rsidRPr="00F376C0">
        <w:rPr>
          <w:i/>
          <w:iCs/>
          <w:lang w:val="fr-FR"/>
        </w:rPr>
        <w:t xml:space="preserve">de la note de bas de page </w:t>
      </w:r>
      <w:r w:rsidRPr="00F376C0">
        <w:rPr>
          <w:i/>
          <w:iCs/>
          <w:lang w:val="fr-FR"/>
        </w:rPr>
        <w:t>(*) et du § 4.2 des Règles de procédure relatives à la recevabilité des fiches de notification</w:t>
      </w:r>
      <w:r w:rsidRPr="00F376C0">
        <w:rPr>
          <w:i/>
          <w:iCs/>
          <w:lang w:val="fr-CH"/>
        </w:rPr>
        <w:t>.</w:t>
      </w:r>
      <w:r w:rsidRPr="00F376C0">
        <w:rPr>
          <w:i/>
          <w:iCs/>
          <w:lang w:val="fr-FR"/>
        </w:rPr>
        <w:t>)</w:t>
      </w:r>
    </w:p>
    <w:p w14:paraId="26A89A15" w14:textId="77777777" w:rsidR="00020AB9" w:rsidRPr="00020AB9" w:rsidRDefault="00032F63" w:rsidP="00A33DA4">
      <w:pPr>
        <w:spacing w:before="120"/>
        <w:jc w:val="center"/>
        <w:rPr>
          <w:lang w:val="fr-FR"/>
        </w:rPr>
      </w:pPr>
      <w:r w:rsidRPr="00020AB9">
        <w:rPr>
          <w:lang w:val="fr-FR"/>
        </w:rPr>
        <w:t>___________________</w:t>
      </w:r>
    </w:p>
    <w:p w14:paraId="2D2BF1B2" w14:textId="77777777" w:rsidR="00032F63" w:rsidRPr="00020AB9" w:rsidRDefault="00032F63">
      <w:pPr>
        <w:rPr>
          <w:lang w:val="fr-FR"/>
        </w:rPr>
        <w:sectPr w:rsidR="00032F63" w:rsidRPr="00020AB9" w:rsidSect="003A4C61">
          <w:headerReference w:type="even" r:id="rId6"/>
          <w:headerReference w:type="first" r:id="rId7"/>
          <w:footnotePr>
            <w:pos w:val="beneathText"/>
          </w:footnotePr>
          <w:pgSz w:w="11907" w:h="16840" w:code="9"/>
          <w:pgMar w:top="1701" w:right="851" w:bottom="1134" w:left="1985" w:header="720" w:footer="482" w:gutter="0"/>
          <w:cols w:space="720"/>
          <w:vAlign w:val="both"/>
          <w:titlePg/>
        </w:sectPr>
      </w:pPr>
    </w:p>
    <w:p w14:paraId="09E3F9E2" w14:textId="77777777" w:rsidR="00032F63" w:rsidRPr="00020AB9" w:rsidRDefault="00032F63">
      <w:pPr>
        <w:rPr>
          <w:lang w:val="fr-FR"/>
        </w:rPr>
      </w:pPr>
    </w:p>
    <w:sectPr w:rsidR="00032F63" w:rsidRPr="00020AB9" w:rsidSect="00020AB9">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A31F8" w14:textId="77777777" w:rsidR="00270964" w:rsidRDefault="00270964">
      <w:r>
        <w:separator/>
      </w:r>
    </w:p>
  </w:endnote>
  <w:endnote w:type="continuationSeparator" w:id="0">
    <w:p w14:paraId="0D5E8299" w14:textId="77777777" w:rsidR="00270964" w:rsidRDefault="0027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5F9C5" w14:textId="77777777" w:rsidR="00270964" w:rsidRDefault="00270964">
      <w:r>
        <w:rPr>
          <w:b/>
        </w:rPr>
        <w:t>_______________</w:t>
      </w:r>
    </w:p>
    <w:p w14:paraId="3C7BA38D" w14:textId="77777777" w:rsidR="00270964" w:rsidRDefault="00270964"/>
    <w:p w14:paraId="6E3E3FC5" w14:textId="77777777" w:rsidR="00270964" w:rsidRDefault="00270964"/>
    <w:p w14:paraId="652169D1" w14:textId="77777777" w:rsidR="00270964" w:rsidRDefault="00270964"/>
  </w:footnote>
  <w:footnote w:type="continuationSeparator" w:id="0">
    <w:p w14:paraId="7340EAE3" w14:textId="77777777" w:rsidR="00270964" w:rsidRDefault="00270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57679" w14:paraId="72417A38"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342C991" w14:textId="2E711D1F" w:rsidR="00F57679" w:rsidRDefault="00F57679" w:rsidP="00F57679">
          <w:pPr>
            <w:pStyle w:val="HeaderRegProc"/>
            <w:rPr>
              <w:lang w:val="en-US"/>
            </w:rPr>
          </w:pPr>
          <w:r>
            <w:rPr>
              <w:lang w:val="en-US"/>
            </w:rPr>
            <w:t>Partie A</w:t>
          </w:r>
          <w:r>
            <w:fldChar w:fldCharType="begin"/>
          </w:r>
          <w:r>
            <w:rPr>
              <w:lang w:val="en-US"/>
            </w:rPr>
            <w:instrText>styleref href</w:instrText>
          </w:r>
          <w:r>
            <w:fldChar w:fldCharType="separate"/>
          </w:r>
          <w:r w:rsidR="00010465">
            <w:rPr>
              <w:noProof/>
              <w:lang w:val="en-US"/>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43B6CB5" w14:textId="23E6717C" w:rsidR="00F57679" w:rsidRDefault="00010465" w:rsidP="00F57679">
          <w:pPr>
            <w:pStyle w:val="HeaderRegProc"/>
            <w:rPr>
              <w:lang w:val="en-US"/>
            </w:rPr>
          </w:pPr>
          <w:r>
            <w:fldChar w:fldCharType="begin"/>
          </w:r>
          <w:r>
            <w:instrText xml:space="preserve"> DOCPROPERTY "Header" \* MERGEFORMAT </w:instrText>
          </w:r>
          <w:r>
            <w:fldChar w:fldCharType="separate"/>
          </w:r>
          <w:r w:rsidR="009D174A" w:rsidRPr="009D174A">
            <w:rPr>
              <w:lang w:val="en-US"/>
            </w:rPr>
            <w:t>AR</w:t>
          </w:r>
          <w:r>
            <w:rPr>
              <w:lang w:val="en-US"/>
            </w:rPr>
            <w:fldChar w:fldCharType="end"/>
          </w:r>
          <w:r w:rsidR="00F57679">
            <w:fldChar w:fldCharType="begin"/>
          </w:r>
          <w:r w:rsidR="00F57679">
            <w:rPr>
              <w:lang w:val="en-US"/>
            </w:rPr>
            <w:instrText>styleref href2</w:instrText>
          </w:r>
          <w:r w:rsidR="00F57679">
            <w:fldChar w:fldCharType="separate"/>
          </w:r>
          <w:r>
            <w:rPr>
              <w:noProof/>
              <w:lang w:val="en-US"/>
            </w:rPr>
            <w:t>1</w:t>
          </w:r>
          <w:r w:rsidR="00F57679">
            <w:fldChar w:fldCharType="end"/>
          </w:r>
        </w:p>
      </w:tc>
      <w:tc>
        <w:tcPr>
          <w:tcW w:w="1701" w:type="dxa"/>
          <w:tcBorders>
            <w:top w:val="single" w:sz="6" w:space="0" w:color="auto"/>
            <w:left w:val="single" w:sz="6" w:space="0" w:color="auto"/>
            <w:bottom w:val="single" w:sz="6" w:space="0" w:color="auto"/>
            <w:right w:val="single" w:sz="6" w:space="0" w:color="auto"/>
          </w:tcBorders>
        </w:tcPr>
        <w:p w14:paraId="66C63BF6" w14:textId="77777777" w:rsidR="00F57679" w:rsidRDefault="00F57679" w:rsidP="00F5767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D174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F745E6" w14:textId="77777777" w:rsidR="00F57679" w:rsidRDefault="00F57679" w:rsidP="00F57679">
          <w:pPr>
            <w:pStyle w:val="HeaderRegProc"/>
            <w:jc w:val="left"/>
            <w:rPr>
              <w:lang w:val="fr-CH"/>
            </w:rPr>
          </w:pPr>
          <w:proofErr w:type="gramStart"/>
          <w:r>
            <w:rPr>
              <w:lang w:val="fr-CH"/>
            </w:rPr>
            <w:t>rév.-</w:t>
          </w:r>
          <w:proofErr w:type="gramEnd"/>
        </w:p>
      </w:tc>
    </w:tr>
  </w:tbl>
  <w:p w14:paraId="54FAA53D" w14:textId="77777777" w:rsidR="00F57679" w:rsidRDefault="00F576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A4C61" w14:paraId="03A3383E" w14:textId="77777777" w:rsidTr="00634799">
      <w:trPr>
        <w:cantSplit/>
        <w:jc w:val="right"/>
      </w:trPr>
      <w:tc>
        <w:tcPr>
          <w:tcW w:w="1701" w:type="dxa"/>
          <w:tcBorders>
            <w:top w:val="single" w:sz="6" w:space="0" w:color="auto"/>
            <w:left w:val="single" w:sz="6" w:space="0" w:color="auto"/>
            <w:bottom w:val="single" w:sz="6" w:space="0" w:color="auto"/>
            <w:right w:val="single" w:sz="6" w:space="0" w:color="auto"/>
          </w:tcBorders>
        </w:tcPr>
        <w:p w14:paraId="145DB00E" w14:textId="61AD75FD" w:rsidR="003A4C61" w:rsidRDefault="003A4C61">
          <w:pPr>
            <w:pStyle w:val="HeaderRegProc"/>
            <w:rPr>
              <w:lang w:val="en-US"/>
            </w:rPr>
          </w:pPr>
          <w:r>
            <w:rPr>
              <w:lang w:val="en-US"/>
            </w:rPr>
            <w:t>Partie A</w:t>
          </w:r>
          <w:r>
            <w:fldChar w:fldCharType="begin"/>
          </w:r>
          <w:r>
            <w:rPr>
              <w:lang w:val="en-US"/>
            </w:rPr>
            <w:instrText>styleref href</w:instrText>
          </w:r>
          <w:r>
            <w:fldChar w:fldCharType="separate"/>
          </w:r>
          <w:r w:rsidR="00010465">
            <w:rPr>
              <w:noProof/>
              <w:lang w:val="en-US"/>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937CD7E" w14:textId="136E70C9" w:rsidR="003A4C61" w:rsidRDefault="00634799">
          <w:pPr>
            <w:pStyle w:val="HeaderRegProc"/>
            <w:rPr>
              <w:lang w:val="en-US"/>
            </w:rPr>
          </w:pPr>
          <w:fldSimple w:instr=" DOCPROPERTY &quot;Header&quot; \* MERGEFORMAT ">
            <w:r w:rsidR="009D174A" w:rsidRPr="009D174A">
              <w:rPr>
                <w:lang w:val="en-US"/>
              </w:rPr>
              <w:t>AR</w:t>
            </w:r>
          </w:fldSimple>
          <w:r w:rsidR="003A4C61">
            <w:fldChar w:fldCharType="begin"/>
          </w:r>
          <w:r w:rsidR="003A4C61">
            <w:rPr>
              <w:lang w:val="en-US"/>
            </w:rPr>
            <w:instrText>styleref href2</w:instrText>
          </w:r>
          <w:r w:rsidR="003A4C61">
            <w:fldChar w:fldCharType="separate"/>
          </w:r>
          <w:r w:rsidR="00010465">
            <w:rPr>
              <w:noProof/>
              <w:lang w:val="en-US"/>
            </w:rPr>
            <w:t>1</w:t>
          </w:r>
          <w:r w:rsidR="003A4C61">
            <w:fldChar w:fldCharType="end"/>
          </w:r>
        </w:p>
      </w:tc>
      <w:tc>
        <w:tcPr>
          <w:tcW w:w="1701" w:type="dxa"/>
          <w:tcBorders>
            <w:top w:val="single" w:sz="6" w:space="0" w:color="auto"/>
            <w:left w:val="single" w:sz="6" w:space="0" w:color="auto"/>
            <w:bottom w:val="single" w:sz="6" w:space="0" w:color="auto"/>
            <w:right w:val="single" w:sz="6" w:space="0" w:color="auto"/>
          </w:tcBorders>
        </w:tcPr>
        <w:p w14:paraId="1CD354C2" w14:textId="77777777" w:rsidR="003A4C61" w:rsidRDefault="003A4C6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D174A">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676539" w14:textId="77777777" w:rsidR="003A4C61" w:rsidRDefault="003A4C61" w:rsidP="00F57679">
          <w:pPr>
            <w:pStyle w:val="HeaderRegProc"/>
            <w:jc w:val="left"/>
            <w:rPr>
              <w:lang w:val="fr-CH"/>
            </w:rPr>
          </w:pPr>
          <w:proofErr w:type="gramStart"/>
          <w:r>
            <w:rPr>
              <w:lang w:val="fr-CH"/>
            </w:rPr>
            <w:t>rév.</w:t>
          </w:r>
          <w:r w:rsidR="00F57679">
            <w:rPr>
              <w:lang w:val="fr-CH"/>
            </w:rPr>
            <w:t>-</w:t>
          </w:r>
          <w:proofErr w:type="gramEnd"/>
        </w:p>
      </w:tc>
    </w:tr>
  </w:tbl>
  <w:p w14:paraId="27B151CE" w14:textId="77777777" w:rsidR="003A4C61" w:rsidRDefault="003A4C61" w:rsidP="00426B2C">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7E8FE" w14:textId="77777777" w:rsidR="00032F63" w:rsidRDefault="00032F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2F63"/>
    <w:rsid w:val="00010465"/>
    <w:rsid w:val="00020AB9"/>
    <w:rsid w:val="00032F63"/>
    <w:rsid w:val="0019392C"/>
    <w:rsid w:val="00270964"/>
    <w:rsid w:val="003A4C61"/>
    <w:rsid w:val="00426B2C"/>
    <w:rsid w:val="0055458C"/>
    <w:rsid w:val="00634799"/>
    <w:rsid w:val="00655060"/>
    <w:rsid w:val="00777A5D"/>
    <w:rsid w:val="007F4A99"/>
    <w:rsid w:val="008E4D79"/>
    <w:rsid w:val="00950753"/>
    <w:rsid w:val="009D174A"/>
    <w:rsid w:val="00A22F6B"/>
    <w:rsid w:val="00A33DA4"/>
    <w:rsid w:val="00B920A7"/>
    <w:rsid w:val="00D36039"/>
    <w:rsid w:val="00DE5758"/>
    <w:rsid w:val="00F376C0"/>
    <w:rsid w:val="00F57679"/>
    <w:rsid w:val="00FF0C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37A6598"/>
  <w15:docId w15:val="{F2849E4D-ED14-41A1-87AA-0507CFCD3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enumlev1Char">
    <w:name w:val="enumlev1 Char"/>
    <w:basedOn w:val="DefaultParagraphFont"/>
    <w:link w:val="enumlev1"/>
    <w:locked/>
    <w:rsid w:val="00A22F6B"/>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42</TotalTime>
  <Pages>3</Pages>
  <Words>738</Words>
  <Characters>4493</Characters>
  <Application>Microsoft Office Word</Application>
  <DocSecurity>0</DocSecurity>
  <Lines>124</Lines>
  <Paragraphs>70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dc:subject>
  <dc:creator>Composition des Publications</dc:creator>
  <cp:keywords>Folios: 1 -2</cp:keywords>
  <dc:description>Edition 2009:  18.02.2009/DD  (dict. ok)</dc:description>
  <cp:lastModifiedBy>Gachet, Christelle</cp:lastModifiedBy>
  <cp:revision>21</cp:revision>
  <cp:lastPrinted>2017-04-10T08:37:00Z</cp:lastPrinted>
  <dcterms:created xsi:type="dcterms:W3CDTF">2012-08-08T15:17:00Z</dcterms:created>
  <dcterms:modified xsi:type="dcterms:W3CDTF">2020-12-16T12:40:00Z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