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BCD5F" w14:textId="77777777" w:rsidR="002D280A" w:rsidRPr="005A1CDA" w:rsidRDefault="002D280A" w:rsidP="005A1CDA">
      <w:pPr>
        <w:pStyle w:val="Title"/>
        <w:spacing w:before="300" w:after="0"/>
        <w:rPr>
          <w:rFonts w:ascii="Times New Roman Bold" w:hAnsi="Times New Roman Bold"/>
          <w:szCs w:val="40"/>
          <w:rtl/>
        </w:rPr>
      </w:pPr>
      <w:r w:rsidRPr="005A1CDA">
        <w:rPr>
          <w:rFonts w:ascii="Times New Roman Bold" w:hAnsi="Times New Roman Bold" w:cs="Traditional Arabic"/>
          <w:szCs w:val="40"/>
          <w:rtl/>
        </w:rPr>
        <w:t>الجزء</w:t>
      </w:r>
      <w:r w:rsidRPr="005A1CDA">
        <w:rPr>
          <w:rFonts w:ascii="Times New Roman Bold" w:hAnsi="Times New Roman Bold"/>
          <w:szCs w:val="40"/>
          <w:rtl/>
        </w:rPr>
        <w:t xml:space="preserve"> </w:t>
      </w:r>
      <w:r w:rsidRPr="005A1CDA">
        <w:rPr>
          <w:rFonts w:ascii="Times New Roman Bold" w:hAnsi="Times New Roman Bold"/>
          <w:szCs w:val="40"/>
        </w:rPr>
        <w:t>8A</w:t>
      </w:r>
    </w:p>
    <w:p w14:paraId="4ED27D84" w14:textId="77777777" w:rsidR="002D280A" w:rsidRPr="005A1CDA" w:rsidRDefault="002D280A" w:rsidP="005A1CDA">
      <w:pPr>
        <w:pStyle w:val="Title"/>
        <w:spacing w:before="300" w:after="0"/>
        <w:rPr>
          <w:rFonts w:ascii="Times New Roman Bold" w:hAnsi="Times New Roman Bold" w:cs="Traditional Arabic"/>
          <w:szCs w:val="40"/>
          <w:rtl/>
        </w:rPr>
      </w:pPr>
      <w:r w:rsidRPr="005A1CDA">
        <w:rPr>
          <w:rFonts w:ascii="Times New Roman Bold" w:hAnsi="Times New Roman Bold" w:cs="Traditional Arabic"/>
          <w:szCs w:val="40"/>
          <w:rtl/>
        </w:rPr>
        <w:t xml:space="preserve">القواعد المتعلقة بالاتفاق الإقليمي المعني بالخدمة المتنقلة البحرية </w:t>
      </w:r>
      <w:r w:rsidRPr="005A1CDA">
        <w:rPr>
          <w:rFonts w:ascii="Times New Roman Bold" w:hAnsi="Times New Roman Bold" w:cs="Traditional Arabic"/>
          <w:szCs w:val="40"/>
          <w:rtl/>
        </w:rPr>
        <w:br/>
        <w:t xml:space="preserve">وخدمة الملاحة الراديوية للطيران بالموجات الهكتومترية </w:t>
      </w:r>
      <w:r w:rsidRPr="005A1CDA">
        <w:rPr>
          <w:rFonts w:ascii="Times New Roman Bold" w:hAnsi="Times New Roman Bold" w:cs="Traditional Arabic"/>
          <w:szCs w:val="40"/>
        </w:rPr>
        <w:t>(MF)</w:t>
      </w:r>
      <w:r w:rsidRPr="005A1CDA">
        <w:rPr>
          <w:rFonts w:ascii="Times New Roman Bold" w:hAnsi="Times New Roman Bold" w:cs="Traditional Arabic"/>
          <w:szCs w:val="40"/>
          <w:rtl/>
        </w:rPr>
        <w:t xml:space="preserve"> (الإقليم </w:t>
      </w:r>
      <w:r w:rsidRPr="005A1CDA">
        <w:rPr>
          <w:rFonts w:ascii="Times New Roman Bold" w:hAnsi="Times New Roman Bold" w:cs="Traditional Arabic"/>
          <w:szCs w:val="40"/>
        </w:rPr>
        <w:t>(1</w:t>
      </w:r>
      <w:r w:rsidRPr="005A1CDA">
        <w:rPr>
          <w:rFonts w:ascii="Times New Roman Bold" w:hAnsi="Times New Roman Bold" w:cs="Traditional Arabic"/>
          <w:szCs w:val="40"/>
          <w:rtl/>
        </w:rPr>
        <w:br/>
        <w:t xml:space="preserve">(جنيف، </w:t>
      </w:r>
      <w:r w:rsidRPr="005A1CDA">
        <w:rPr>
          <w:rFonts w:ascii="Times New Roman Bold" w:hAnsi="Times New Roman Bold" w:cs="Traditional Arabic"/>
          <w:szCs w:val="40"/>
        </w:rPr>
        <w:t>(1985</w:t>
      </w:r>
      <w:r w:rsidRPr="005A1CDA">
        <w:rPr>
          <w:rFonts w:ascii="Times New Roman Bold" w:hAnsi="Times New Roman Bold" w:cs="Traditional Arabic"/>
          <w:szCs w:val="40"/>
          <w:rtl/>
        </w:rPr>
        <w:t xml:space="preserve"> </w:t>
      </w:r>
      <w:r w:rsidRPr="005A1CDA">
        <w:rPr>
          <w:rFonts w:ascii="Times New Roman Bold" w:hAnsi="Times New Roman Bold" w:cs="Traditional Arabic"/>
          <w:szCs w:val="40"/>
        </w:rPr>
        <w:t>(GE85-MM-R1)</w:t>
      </w:r>
    </w:p>
    <w:p w14:paraId="7C262025" w14:textId="77777777" w:rsidR="002D280A" w:rsidRPr="00CD2416" w:rsidRDefault="008275F6" w:rsidP="00CB0E8C">
      <w:pPr>
        <w:pStyle w:val="Heading1"/>
        <w:tabs>
          <w:tab w:val="clear" w:pos="794"/>
          <w:tab w:val="clear" w:pos="1191"/>
          <w:tab w:val="clear" w:pos="1588"/>
          <w:tab w:val="clear" w:pos="1985"/>
        </w:tabs>
        <w:spacing w:before="480"/>
        <w:ind w:left="-1" w:firstLine="1"/>
        <w:rPr>
          <w:bCs/>
          <w:rtl/>
        </w:rPr>
      </w:pPr>
      <w:r w:rsidRPr="00CD2416">
        <w:rPr>
          <w:bCs/>
        </w:rPr>
        <w:t>1</w:t>
      </w:r>
      <w:r w:rsidR="002D280A" w:rsidRPr="00CD2416">
        <w:rPr>
          <w:bCs/>
          <w:rtl/>
        </w:rPr>
        <w:tab/>
        <w:t>الوضع القانوني للإدارات فيما يتعلق بالاتفاق</w:t>
      </w:r>
    </w:p>
    <w:p w14:paraId="5DAC1A8F" w14:textId="77777777" w:rsidR="002D280A" w:rsidRDefault="008275F6" w:rsidP="00310B40">
      <w:pPr>
        <w:tabs>
          <w:tab w:val="clear" w:pos="794"/>
          <w:tab w:val="clear" w:pos="1191"/>
          <w:tab w:val="clear" w:pos="1588"/>
          <w:tab w:val="clear" w:pos="1985"/>
        </w:tabs>
        <w:spacing w:before="320"/>
        <w:rPr>
          <w:rtl/>
        </w:rPr>
      </w:pPr>
      <w:r>
        <w:t>1.1</w:t>
      </w:r>
      <w:r w:rsidR="002D280A">
        <w:rPr>
          <w:rtl/>
        </w:rPr>
        <w:tab/>
        <w:t>أثناء الفترة الانتقالية الممتدة بين عقد الاتفاق (</w:t>
      </w:r>
      <w:r>
        <w:t>13</w:t>
      </w:r>
      <w:r w:rsidR="002D280A">
        <w:rPr>
          <w:rtl/>
        </w:rPr>
        <w:t xml:space="preserve"> مارس </w:t>
      </w:r>
      <w:r w:rsidR="002D280A">
        <w:t>(1985</w:t>
      </w:r>
      <w:r w:rsidR="002D280A">
        <w:rPr>
          <w:rtl/>
        </w:rPr>
        <w:t xml:space="preserve"> ودخوله حيز التنفيذ (</w:t>
      </w:r>
      <w:r w:rsidR="002D280A">
        <w:t>1</w:t>
      </w:r>
      <w:r w:rsidR="002D280A">
        <w:rPr>
          <w:rtl/>
        </w:rPr>
        <w:t xml:space="preserve"> أبريل </w:t>
      </w:r>
      <w:r w:rsidR="002D280A">
        <w:t>(1992</w:t>
      </w:r>
      <w:r w:rsidR="002D280A">
        <w:rPr>
          <w:rtl/>
        </w:rPr>
        <w:t xml:space="preserve">، وبعد التشاور مع إدارات البلدان التابعة للإقليم </w:t>
      </w:r>
      <w:r w:rsidR="002D280A">
        <w:t>1</w:t>
      </w:r>
      <w:r w:rsidR="002D280A">
        <w:rPr>
          <w:rtl/>
        </w:rPr>
        <w:t xml:space="preserve">، أدخلت اللجنة مفهوم </w:t>
      </w:r>
      <w:r w:rsidR="002D280A" w:rsidRPr="00124EF6">
        <w:rPr>
          <w:i/>
          <w:iCs/>
          <w:rtl/>
        </w:rPr>
        <w:t>"أطراف في الاتفاق"</w:t>
      </w:r>
      <w:r w:rsidR="002D280A">
        <w:rPr>
          <w:rtl/>
        </w:rPr>
        <w:t xml:space="preserve"> واستخدمته لأغراض تطبيق الإجراءات والمعايير التقنية المصاحبة المنصوص عليها في المواد </w:t>
      </w:r>
      <w:r w:rsidR="002D280A">
        <w:t>4</w:t>
      </w:r>
      <w:r w:rsidR="002D280A">
        <w:rPr>
          <w:rtl/>
        </w:rPr>
        <w:t xml:space="preserve"> و</w:t>
      </w:r>
      <w:r w:rsidR="002D280A">
        <w:t>5</w:t>
      </w:r>
      <w:r w:rsidR="002D280A">
        <w:rPr>
          <w:rtl/>
        </w:rPr>
        <w:t xml:space="preserve"> و</w:t>
      </w:r>
      <w:r w:rsidR="002D280A">
        <w:t>6</w:t>
      </w:r>
      <w:r w:rsidR="002D280A">
        <w:rPr>
          <w:rtl/>
        </w:rPr>
        <w:t xml:space="preserve"> من الاتفاق </w:t>
      </w:r>
      <w:r w:rsidR="002D280A">
        <w:t>GE85-MM-R1</w:t>
      </w:r>
      <w:r w:rsidR="002D280A">
        <w:rPr>
          <w:rtl/>
        </w:rPr>
        <w:t xml:space="preserve"> المعني بتعديلات الخطة وبالتبليغ والتفحص وتسجيل بطاقات التبليغ عن تخصيص التردد لمحطات الخدمات المخطط لها (الخدمة المتنقلة البحرية وخدمة الملاحة الراديوية للطيران) أو غير المخطط لها (الخدمة الثابتة والخدمة المتنقلة </w:t>
      </w:r>
      <w:r w:rsidR="00310B40">
        <w:rPr>
          <w:rFonts w:hint="cs"/>
          <w:rtl/>
        </w:rPr>
        <w:t>البرية</w:t>
      </w:r>
      <w:r w:rsidR="002D280A">
        <w:rPr>
          <w:rtl/>
        </w:rPr>
        <w:t>). وتعد جميع الإدارات الت</w:t>
      </w:r>
      <w:r w:rsidR="00310B40">
        <w:rPr>
          <w:rtl/>
        </w:rPr>
        <w:t>ي لها أراض</w:t>
      </w:r>
      <w:r w:rsidR="002D280A">
        <w:rPr>
          <w:rtl/>
        </w:rPr>
        <w:t xml:space="preserve"> واقعة في منطقة التخطيط (أي في الإقليم </w:t>
      </w:r>
      <w:r w:rsidR="002D280A">
        <w:t>(1</w:t>
      </w:r>
      <w:r w:rsidR="002D280A">
        <w:rPr>
          <w:rtl/>
        </w:rPr>
        <w:t xml:space="preserve"> والتي لم تعترض على هذا المفهوم، </w:t>
      </w:r>
      <w:r w:rsidR="002D280A" w:rsidRPr="00124EF6">
        <w:rPr>
          <w:i/>
          <w:iCs/>
          <w:rtl/>
        </w:rPr>
        <w:t xml:space="preserve">"أطرافاً في الاتفاق </w:t>
      </w:r>
      <w:r w:rsidR="002D280A" w:rsidRPr="00124EF6">
        <w:rPr>
          <w:i/>
          <w:iCs/>
        </w:rPr>
        <w:t>GE85-MM-R1</w:t>
      </w:r>
      <w:r w:rsidR="002D280A" w:rsidRPr="00124EF6">
        <w:rPr>
          <w:i/>
          <w:iCs/>
          <w:rtl/>
        </w:rPr>
        <w:t>"</w:t>
      </w:r>
      <w:r w:rsidR="002D280A">
        <w:rPr>
          <w:rtl/>
        </w:rPr>
        <w:t xml:space="preserve">. ولا تعتبر أطرافاً في الاتفاق الإدارات التي أعلنت رسمياً أنها لا ترغب في أن تعتبر </w:t>
      </w:r>
      <w:r w:rsidR="002D280A" w:rsidRPr="00124EF6">
        <w:rPr>
          <w:i/>
          <w:iCs/>
          <w:rtl/>
        </w:rPr>
        <w:t>"أطرافاً في الاتفاق"</w:t>
      </w:r>
      <w:r w:rsidR="002D280A">
        <w:rPr>
          <w:rtl/>
        </w:rPr>
        <w:t xml:space="preserve">، ومعها الإدارات غير المشاركة التي ليست لها أي تخصيصات في الخطة ولم تعلن رسمياً أنها تنوي أن تصبح </w:t>
      </w:r>
      <w:r w:rsidR="002D280A" w:rsidRPr="00124EF6">
        <w:rPr>
          <w:i/>
          <w:iCs/>
          <w:rtl/>
        </w:rPr>
        <w:t>"أطرافاً في الاتفاق"</w:t>
      </w:r>
      <w:r w:rsidR="002D280A">
        <w:rPr>
          <w:rtl/>
        </w:rPr>
        <w:t>.</w:t>
      </w:r>
    </w:p>
    <w:p w14:paraId="2E83C82D" w14:textId="77777777" w:rsidR="002D280A" w:rsidRDefault="008275F6" w:rsidP="00310B40">
      <w:pPr>
        <w:tabs>
          <w:tab w:val="clear" w:pos="794"/>
          <w:tab w:val="clear" w:pos="1191"/>
          <w:tab w:val="clear" w:pos="1588"/>
          <w:tab w:val="clear" w:pos="1985"/>
        </w:tabs>
        <w:spacing w:before="320"/>
        <w:rPr>
          <w:rtl/>
        </w:rPr>
      </w:pPr>
      <w:r>
        <w:t>2.1</w:t>
      </w:r>
      <w:r w:rsidR="002D280A">
        <w:rPr>
          <w:rtl/>
        </w:rPr>
        <w:tab/>
        <w:t xml:space="preserve">قررت اللجنة أن تحتفظ بهذا المفهوم بعد دخول الاتفاق حيز التنفيذ وبانتظار إجراء مشاورات </w:t>
      </w:r>
      <w:r w:rsidR="0093041D">
        <w:rPr>
          <w:rFonts w:hint="cs"/>
          <w:rtl/>
        </w:rPr>
        <w:br/>
      </w:r>
      <w:r w:rsidR="002D280A">
        <w:rPr>
          <w:rtl/>
        </w:rPr>
        <w:t xml:space="preserve">أخرى مع الإدارات المعنية. وبالتالي سيعتبر المكتب أطرافاً في الاتفاق </w:t>
      </w:r>
      <w:r w:rsidR="002D280A">
        <w:t>GE85-MM-R1</w:t>
      </w:r>
      <w:r w:rsidR="002D280A">
        <w:rPr>
          <w:rtl/>
        </w:rPr>
        <w:t xml:space="preserve"> جميع الإدارات التي لها أراضٍ في الإقليم </w:t>
      </w:r>
      <w:r w:rsidR="002D280A">
        <w:t>1</w:t>
      </w:r>
      <w:r w:rsidR="002D280A">
        <w:rPr>
          <w:rtl/>
        </w:rPr>
        <w:t xml:space="preserve"> باستثناء إدارات البلدان التالية: إمارة أندورا وبوركينا فا</w:t>
      </w:r>
      <w:r w:rsidR="00310B40">
        <w:rPr>
          <w:rFonts w:hint="cs"/>
          <w:rtl/>
        </w:rPr>
        <w:t>ص</w:t>
      </w:r>
      <w:r w:rsidR="002D280A">
        <w:rPr>
          <w:rtl/>
        </w:rPr>
        <w:t xml:space="preserve">و وجمهورية إفريقيا الوسطى وجمهورية </w:t>
      </w:r>
      <w:r w:rsidR="0093041D">
        <w:rPr>
          <w:rFonts w:hint="cs"/>
          <w:rtl/>
        </w:rPr>
        <w:br/>
      </w:r>
      <w:r w:rsidR="002D280A">
        <w:rPr>
          <w:rtl/>
        </w:rPr>
        <w:t>غينيا-بيسّاو وليسوتو ولكسمبرغ ومالي ومنغوليا وملاوي والنيجر ورواندا وسوازيلاند وتنزانيا وأوغندا وزامبيا وزيمبابوي</w:t>
      </w:r>
      <w:r w:rsidR="00FC2518">
        <w:rPr>
          <w:rFonts w:hint="cs"/>
          <w:rtl/>
        </w:rPr>
        <w:t>،</w:t>
      </w:r>
      <w:r w:rsidR="002D280A">
        <w:rPr>
          <w:rtl/>
        </w:rPr>
        <w:t xml:space="preserve"> التي لا تعد أطرافاً في الاتفاق إلى أن تنضم رسمياً إلى الاتفاق.</w:t>
      </w:r>
    </w:p>
    <w:p w14:paraId="10A3333A" w14:textId="77777777" w:rsidR="002D280A" w:rsidRPr="00CD2416" w:rsidRDefault="008275F6" w:rsidP="00CD2416">
      <w:pPr>
        <w:pStyle w:val="Heading1"/>
        <w:tabs>
          <w:tab w:val="clear" w:pos="794"/>
          <w:tab w:val="clear" w:pos="1191"/>
          <w:tab w:val="clear" w:pos="1588"/>
          <w:tab w:val="clear" w:pos="1985"/>
        </w:tabs>
        <w:spacing w:before="480"/>
        <w:ind w:left="1134" w:hanging="1134"/>
        <w:jc w:val="left"/>
        <w:rPr>
          <w:bCs/>
          <w:rtl/>
        </w:rPr>
      </w:pPr>
      <w:r w:rsidRPr="00CD2416">
        <w:rPr>
          <w:bCs/>
        </w:rPr>
        <w:t>2</w:t>
      </w:r>
      <w:r w:rsidR="002D280A" w:rsidRPr="00CD2416">
        <w:rPr>
          <w:bCs/>
          <w:rtl/>
        </w:rPr>
        <w:tab/>
        <w:t>معالجة بطاقات التبليغ المتصلة بتعديلات الخطط التي يحكمها الاتفاق</w:t>
      </w:r>
      <w:r w:rsidR="00CD2416">
        <w:rPr>
          <w:rFonts w:hint="cs"/>
          <w:bCs/>
          <w:rtl/>
          <w:lang w:val="en-US" w:bidi="ar-EG"/>
        </w:rPr>
        <w:t xml:space="preserve"> </w:t>
      </w:r>
      <w:r w:rsidR="00CD2416">
        <w:rPr>
          <w:rFonts w:hint="cs"/>
          <w:bCs/>
          <w:rtl/>
          <w:lang w:val="en-US" w:bidi="ar-EG"/>
        </w:rPr>
        <w:br/>
      </w:r>
      <w:r w:rsidR="002D280A" w:rsidRPr="00CD2416">
        <w:rPr>
          <w:bCs/>
        </w:rPr>
        <w:t>GE85-MM-R1</w:t>
      </w:r>
    </w:p>
    <w:p w14:paraId="5FF0F97B" w14:textId="2B2C879A" w:rsidR="002D280A" w:rsidRDefault="008275F6" w:rsidP="00CB0E8C">
      <w:pPr>
        <w:tabs>
          <w:tab w:val="clear" w:pos="794"/>
          <w:tab w:val="clear" w:pos="1191"/>
          <w:tab w:val="clear" w:pos="1588"/>
          <w:tab w:val="clear" w:pos="1985"/>
        </w:tabs>
        <w:spacing w:before="320"/>
        <w:rPr>
          <w:rtl/>
        </w:rPr>
      </w:pPr>
      <w:r>
        <w:t>1.2</w:t>
      </w:r>
      <w:r w:rsidR="002D280A">
        <w:rPr>
          <w:rtl/>
        </w:rPr>
        <w:tab/>
        <w:t>جميع التعديلات التي أدخلتها الإدارات التي ت</w:t>
      </w:r>
      <w:r w:rsidR="00957E83">
        <w:rPr>
          <w:rFonts w:hint="cs"/>
          <w:rtl/>
        </w:rPr>
        <w:t>ُ</w:t>
      </w:r>
      <w:r w:rsidR="002D280A">
        <w:rPr>
          <w:rtl/>
        </w:rPr>
        <w:t>عتبر أطرافاً في الاتفاق على الخطط تعتبر قابلة للاستلام (انظر</w:t>
      </w:r>
      <w:r w:rsidR="00F01292">
        <w:rPr>
          <w:rFonts w:hint="cs"/>
          <w:rtl/>
        </w:rPr>
        <w:t> </w:t>
      </w:r>
      <w:r w:rsidR="002D280A">
        <w:rPr>
          <w:rtl/>
        </w:rPr>
        <w:t xml:space="preserve">الفقرة </w:t>
      </w:r>
      <w:r w:rsidR="002D280A">
        <w:t>2.1</w:t>
      </w:r>
      <w:r w:rsidR="002D280A">
        <w:rPr>
          <w:rtl/>
        </w:rPr>
        <w:t xml:space="preserve"> أعلاه).</w:t>
      </w:r>
    </w:p>
    <w:p w14:paraId="3A9FD37A" w14:textId="77777777" w:rsidR="002D280A" w:rsidRDefault="008275F6" w:rsidP="00CB0E8C">
      <w:pPr>
        <w:tabs>
          <w:tab w:val="clear" w:pos="794"/>
          <w:tab w:val="clear" w:pos="1191"/>
          <w:tab w:val="clear" w:pos="1588"/>
          <w:tab w:val="clear" w:pos="1985"/>
        </w:tabs>
        <w:spacing w:before="320"/>
        <w:rPr>
          <w:rtl/>
        </w:rPr>
      </w:pPr>
      <w:r>
        <w:t>2.2</w:t>
      </w:r>
      <w:r w:rsidR="002D280A">
        <w:rPr>
          <w:rtl/>
        </w:rPr>
        <w:tab/>
      </w:r>
      <w:r w:rsidR="00957E83">
        <w:rPr>
          <w:rFonts w:hint="cs"/>
          <w:rtl/>
        </w:rPr>
        <w:t>تعالج</w:t>
      </w:r>
      <w:r w:rsidR="002D280A">
        <w:rPr>
          <w:rtl/>
        </w:rPr>
        <w:t xml:space="preserve"> بطاقات التبليغ المتصلة بتعديلات خطط تخصيص الترددات وفقاً للإجراءات المنصوص عليها في المادة </w:t>
      </w:r>
      <w:r w:rsidR="002D280A">
        <w:t>4</w:t>
      </w:r>
      <w:r w:rsidR="002D280A">
        <w:rPr>
          <w:rtl/>
        </w:rPr>
        <w:t xml:space="preserve"> من الاتفاق.</w:t>
      </w:r>
    </w:p>
    <w:p w14:paraId="2080C976" w14:textId="77777777" w:rsidR="002D280A" w:rsidRDefault="00FB4DC8" w:rsidP="00C12122">
      <w:pPr>
        <w:tabs>
          <w:tab w:val="clear" w:pos="794"/>
          <w:tab w:val="clear" w:pos="1191"/>
          <w:tab w:val="clear" w:pos="1588"/>
          <w:tab w:val="clear" w:pos="1985"/>
        </w:tabs>
        <w:spacing w:before="0"/>
        <w:rPr>
          <w:rtl/>
        </w:rPr>
      </w:pPr>
      <w:r>
        <w:br w:type="page"/>
      </w:r>
      <w:r w:rsidR="008275F6">
        <w:lastRenderedPageBreak/>
        <w:t>3.2</w:t>
      </w:r>
      <w:r w:rsidR="002D280A">
        <w:rPr>
          <w:rtl/>
        </w:rPr>
        <w:tab/>
        <w:t xml:space="preserve">إن المبادئ التقنية الواجب استخدامها في الإجراء لإدخال التعديلات على خطط تخصيص الترددات هي المبادئ المتضمنة في الملحقات </w:t>
      </w:r>
      <w:r w:rsidR="002D280A">
        <w:t>3</w:t>
      </w:r>
      <w:r w:rsidR="002D280A">
        <w:rPr>
          <w:rtl/>
        </w:rPr>
        <w:t xml:space="preserve"> و</w:t>
      </w:r>
      <w:r w:rsidR="002D280A">
        <w:t>4</w:t>
      </w:r>
      <w:r w:rsidR="002D280A">
        <w:rPr>
          <w:rtl/>
        </w:rPr>
        <w:t xml:space="preserve"> و</w:t>
      </w:r>
      <w:r w:rsidR="002D280A">
        <w:t>5</w:t>
      </w:r>
      <w:r w:rsidR="002D280A">
        <w:rPr>
          <w:rtl/>
        </w:rPr>
        <w:t xml:space="preserve"> بالاتفاق </w:t>
      </w:r>
      <w:r w:rsidR="002D280A">
        <w:t>GE85-MM-R1</w:t>
      </w:r>
      <w:r w:rsidR="002D280A">
        <w:rPr>
          <w:rtl/>
        </w:rPr>
        <w:t xml:space="preserve">. وسوف تستخدم برمجية الحاسوب التي استعملت في المؤتمر </w:t>
      </w:r>
      <w:r w:rsidR="002D280A">
        <w:t>RARC-MM-R1</w:t>
      </w:r>
      <w:r w:rsidR="002D280A">
        <w:rPr>
          <w:rtl/>
        </w:rPr>
        <w:t xml:space="preserve"> لتحقيق هذا الغرض، بعد أن تدخل عليها التعديلات المناسبة لكي تأخذ بالحسبان الخطوط الساحلية المرقمنة.</w:t>
      </w:r>
    </w:p>
    <w:p w14:paraId="07BD7B0E" w14:textId="77777777" w:rsidR="002D280A" w:rsidRDefault="008275F6" w:rsidP="00831AAF">
      <w:pPr>
        <w:tabs>
          <w:tab w:val="clear" w:pos="794"/>
          <w:tab w:val="clear" w:pos="1191"/>
          <w:tab w:val="clear" w:pos="1588"/>
          <w:tab w:val="clear" w:pos="1985"/>
        </w:tabs>
        <w:spacing w:before="200"/>
        <w:rPr>
          <w:rtl/>
        </w:rPr>
      </w:pPr>
      <w:r>
        <w:t>4.2</w:t>
      </w:r>
      <w:r w:rsidR="002D280A">
        <w:rPr>
          <w:rtl/>
        </w:rPr>
        <w:tab/>
        <w:t>سيجري التحقق من العناصر التالية من حيث مطابقتها لمبادئ الاتفاق التقنية:</w:t>
      </w:r>
    </w:p>
    <w:p w14:paraId="0B266AA2" w14:textId="77777777" w:rsidR="002D280A" w:rsidRDefault="008275F6" w:rsidP="00831AAF">
      <w:pPr>
        <w:tabs>
          <w:tab w:val="clear" w:pos="794"/>
          <w:tab w:val="clear" w:pos="1191"/>
          <w:tab w:val="clear" w:pos="1588"/>
          <w:tab w:val="clear" w:pos="1985"/>
        </w:tabs>
        <w:spacing w:before="200"/>
        <w:rPr>
          <w:rtl/>
        </w:rPr>
      </w:pPr>
      <w:r>
        <w:t>1.4.2</w:t>
      </w:r>
      <w:r w:rsidR="002D280A">
        <w:rPr>
          <w:rtl/>
        </w:rPr>
        <w:tab/>
        <w:t xml:space="preserve">مطابقة التردد المخصص (زوج الترددات) لترتيب توزيع القنوات المناسب (يجري التحقق من الجداول من </w:t>
      </w:r>
      <w:r w:rsidR="006F39B0">
        <w:t>1</w:t>
      </w:r>
      <w:r w:rsidR="002D280A">
        <w:rPr>
          <w:rtl/>
        </w:rPr>
        <w:t xml:space="preserve"> إلى </w:t>
      </w:r>
      <w:r>
        <w:t>4</w:t>
      </w:r>
      <w:r w:rsidR="002D280A">
        <w:rPr>
          <w:rtl/>
        </w:rPr>
        <w:t xml:space="preserve"> من الملحق </w:t>
      </w:r>
      <w:r>
        <w:t>3</w:t>
      </w:r>
      <w:r w:rsidR="002D280A">
        <w:rPr>
          <w:rtl/>
        </w:rPr>
        <w:t xml:space="preserve"> بالاتفاق </w:t>
      </w:r>
      <w:r w:rsidR="002D280A">
        <w:t>GE85-MM-R1</w:t>
      </w:r>
      <w:r w:rsidR="002D280A">
        <w:rPr>
          <w:rtl/>
        </w:rPr>
        <w:t>)؛</w:t>
      </w:r>
    </w:p>
    <w:p w14:paraId="5BD57236" w14:textId="77777777" w:rsidR="002D280A" w:rsidRDefault="008275F6" w:rsidP="00831AAF">
      <w:pPr>
        <w:tabs>
          <w:tab w:val="clear" w:pos="794"/>
          <w:tab w:val="clear" w:pos="1191"/>
          <w:tab w:val="clear" w:pos="1588"/>
          <w:tab w:val="clear" w:pos="1985"/>
        </w:tabs>
        <w:spacing w:before="200"/>
        <w:rPr>
          <w:rtl/>
        </w:rPr>
      </w:pPr>
      <w:r>
        <w:t>2.4.2</w:t>
      </w:r>
      <w:r w:rsidR="002D280A">
        <w:rPr>
          <w:rtl/>
        </w:rPr>
        <w:tab/>
        <w:t>مطابقة صنف الإرسال المبلغ عنه لصنف الإرسال المسموح به. تعتبر أصناف الإرسال وعروض النطاق التالية قابلة للاستلام:</w:t>
      </w:r>
    </w:p>
    <w:p w14:paraId="268B65A6" w14:textId="77777777" w:rsidR="002D280A" w:rsidRDefault="002D280A" w:rsidP="00E36E29">
      <w:pPr>
        <w:pStyle w:val="enumlev1"/>
        <w:spacing w:before="240"/>
        <w:rPr>
          <w:rtl/>
        </w:rPr>
      </w:pPr>
      <w:r>
        <w:rPr>
          <w:i/>
          <w:iCs/>
          <w:rtl/>
        </w:rPr>
        <w:t>-</w:t>
      </w:r>
      <w:r>
        <w:rPr>
          <w:i/>
          <w:iCs/>
          <w:rtl/>
        </w:rPr>
        <w:tab/>
        <w:t>فيما يتعلق بمحطات الملاحة الراديوية البرية</w:t>
      </w:r>
      <w:r>
        <w:rPr>
          <w:rtl/>
        </w:rPr>
        <w:t xml:space="preserve"> </w:t>
      </w:r>
      <w:r>
        <w:rPr>
          <w:i/>
          <w:iCs/>
        </w:rPr>
        <w:t>(AL)</w:t>
      </w:r>
      <w:r>
        <w:rPr>
          <w:rtl/>
        </w:rPr>
        <w:t xml:space="preserve">: الأصناف </w:t>
      </w:r>
      <w:r>
        <w:t>100HA1A</w:t>
      </w:r>
      <w:r>
        <w:rPr>
          <w:rtl/>
        </w:rPr>
        <w:t xml:space="preserve"> و</w:t>
      </w:r>
      <w:r>
        <w:t>850HA2A</w:t>
      </w:r>
      <w:r>
        <w:rPr>
          <w:rtl/>
        </w:rPr>
        <w:t xml:space="preserve"> و</w:t>
      </w:r>
      <w:r>
        <w:t>2K14A2A</w:t>
      </w:r>
      <w:r>
        <w:rPr>
          <w:rtl/>
        </w:rPr>
        <w:t xml:space="preserve">؛ إلا أنه فيما يتعلق ببعض القنوات الأخرى، تؤخذ بالحسبان الحدود الواردة في الجدول </w:t>
      </w:r>
      <w:r>
        <w:t>4</w:t>
      </w:r>
      <w:r>
        <w:rPr>
          <w:rtl/>
        </w:rPr>
        <w:t xml:space="preserve"> من الملحق </w:t>
      </w:r>
      <w:r>
        <w:t>3</w:t>
      </w:r>
      <w:r>
        <w:rPr>
          <w:rtl/>
        </w:rPr>
        <w:t xml:space="preserve"> بالاتفاق؛</w:t>
      </w:r>
    </w:p>
    <w:p w14:paraId="4CC75796" w14:textId="77777777" w:rsidR="002D280A" w:rsidRDefault="002D280A" w:rsidP="00E36E29">
      <w:pPr>
        <w:pStyle w:val="enumlev1"/>
        <w:spacing w:before="240"/>
        <w:rPr>
          <w:rtl/>
        </w:rPr>
      </w:pPr>
      <w:r>
        <w:rPr>
          <w:rFonts w:cs="Symbol"/>
          <w:szCs w:val="22"/>
        </w:rPr>
        <w:sym w:font="Symbol" w:char="F02D"/>
      </w:r>
      <w:r>
        <w:rPr>
          <w:rtl/>
        </w:rPr>
        <w:tab/>
      </w:r>
      <w:r w:rsidRPr="00124EF6">
        <w:rPr>
          <w:i/>
          <w:iCs/>
          <w:rtl/>
        </w:rPr>
        <w:t xml:space="preserve">فيما يتعلق بالمحطات الساحلية/على السفن </w:t>
      </w:r>
      <w:r w:rsidRPr="00124EF6">
        <w:rPr>
          <w:i/>
          <w:iCs/>
        </w:rPr>
        <w:t>(FC/MS)</w:t>
      </w:r>
      <w:r w:rsidRPr="00124EF6">
        <w:rPr>
          <w:i/>
          <w:iCs/>
          <w:rtl/>
        </w:rPr>
        <w:t xml:space="preserve"> في النطاقات البالغة حوالي </w:t>
      </w:r>
      <w:r w:rsidRPr="00124EF6">
        <w:rPr>
          <w:i/>
          <w:iCs/>
        </w:rPr>
        <w:t>kHz 500</w:t>
      </w:r>
      <w:r>
        <w:rPr>
          <w:rtl/>
        </w:rPr>
        <w:t xml:space="preserve">: الصنفان </w:t>
      </w:r>
      <w:r>
        <w:t>A1A</w:t>
      </w:r>
      <w:r>
        <w:rPr>
          <w:rtl/>
        </w:rPr>
        <w:t xml:space="preserve"> و</w:t>
      </w:r>
      <w:r>
        <w:t>F1B</w:t>
      </w:r>
      <w:r>
        <w:rPr>
          <w:rtl/>
        </w:rPr>
        <w:t xml:space="preserve">، وعروض النطاق اللازمة التي تصل إلى </w:t>
      </w:r>
      <w:r>
        <w:t>Hz 500</w:t>
      </w:r>
      <w:r w:rsidR="00BB51C2">
        <w:rPr>
          <w:rFonts w:hint="cs"/>
          <w:rtl/>
        </w:rPr>
        <w:t>.</w:t>
      </w:r>
    </w:p>
    <w:p w14:paraId="1677FDDF" w14:textId="1DBAD866" w:rsidR="002D280A" w:rsidRPr="00124EF6" w:rsidRDefault="00E36E29" w:rsidP="00E36E29">
      <w:pPr>
        <w:pStyle w:val="enumlev1"/>
        <w:spacing w:before="240"/>
        <w:rPr>
          <w:spacing w:val="-2"/>
          <w:rtl/>
        </w:rPr>
      </w:pPr>
      <w:r>
        <w:rPr>
          <w:rFonts w:hint="cs"/>
          <w:rtl/>
        </w:rPr>
        <w:tab/>
      </w:r>
      <w:r w:rsidR="002D280A" w:rsidRPr="00124EF6">
        <w:rPr>
          <w:spacing w:val="-2"/>
          <w:rtl/>
        </w:rPr>
        <w:t xml:space="preserve">اعتبرت اللجنة في هذا الشأن أن عرض النطاق البالغ </w:t>
      </w:r>
      <w:r w:rsidR="002D280A" w:rsidRPr="00124EF6">
        <w:rPr>
          <w:spacing w:val="-2"/>
        </w:rPr>
        <w:t>Hz 500</w:t>
      </w:r>
      <w:r w:rsidR="002D280A" w:rsidRPr="00124EF6">
        <w:rPr>
          <w:spacing w:val="-2"/>
          <w:rtl/>
        </w:rPr>
        <w:t xml:space="preserve"> يمثل بالنسبة إلى الإرسالات من الصنف </w:t>
      </w:r>
      <w:r w:rsidR="002D280A" w:rsidRPr="00124EF6">
        <w:rPr>
          <w:spacing w:val="-2"/>
        </w:rPr>
        <w:t>A1A</w:t>
      </w:r>
      <w:r w:rsidR="002D280A" w:rsidRPr="00124EF6">
        <w:rPr>
          <w:spacing w:val="-2"/>
          <w:rtl/>
        </w:rPr>
        <w:t xml:space="preserve">، سرعة تبلغ </w:t>
      </w:r>
      <w:r w:rsidR="002D280A" w:rsidRPr="00124EF6">
        <w:rPr>
          <w:spacing w:val="-2"/>
        </w:rPr>
        <w:t>100</w:t>
      </w:r>
      <w:r w:rsidR="002D280A" w:rsidRPr="00124EF6">
        <w:rPr>
          <w:spacing w:val="-2"/>
          <w:rtl/>
        </w:rPr>
        <w:t xml:space="preserve"> كلمة في الدقيقة، وهي سرعة أكثر من </w:t>
      </w:r>
      <w:r w:rsidR="00FC2518" w:rsidRPr="00124EF6">
        <w:rPr>
          <w:rFonts w:hint="cs"/>
          <w:spacing w:val="-2"/>
          <w:rtl/>
        </w:rPr>
        <w:t>كافية</w:t>
      </w:r>
      <w:r w:rsidR="002D280A" w:rsidRPr="00124EF6">
        <w:rPr>
          <w:spacing w:val="-2"/>
          <w:rtl/>
        </w:rPr>
        <w:t xml:space="preserve"> لما يحتاج إليه الإبراق اليدوي. وفيما يخص الإرسالات من الصنف </w:t>
      </w:r>
      <w:r w:rsidR="002D280A" w:rsidRPr="00124EF6">
        <w:rPr>
          <w:spacing w:val="-2"/>
        </w:rPr>
        <w:t>F1B</w:t>
      </w:r>
      <w:r w:rsidR="002D280A" w:rsidRPr="00124EF6">
        <w:rPr>
          <w:spacing w:val="-2"/>
          <w:rtl/>
        </w:rPr>
        <w:t xml:space="preserve">، يغطي هذا الحد عرض النطاق المعياري البالغ </w:t>
      </w:r>
      <w:r w:rsidR="002D280A" w:rsidRPr="00124EF6">
        <w:rPr>
          <w:spacing w:val="-2"/>
        </w:rPr>
        <w:t>Hz 304</w:t>
      </w:r>
      <w:r w:rsidR="002D280A" w:rsidRPr="00124EF6">
        <w:rPr>
          <w:spacing w:val="-2"/>
          <w:rtl/>
        </w:rPr>
        <w:t xml:space="preserve"> (التوصيات</w:t>
      </w:r>
      <w:r w:rsidR="00954A92" w:rsidRPr="00124EF6">
        <w:rPr>
          <w:rFonts w:hint="cs"/>
          <w:spacing w:val="-2"/>
          <w:rtl/>
          <w:lang w:bidi="ar-EG"/>
        </w:rPr>
        <w:t xml:space="preserve"> </w:t>
      </w:r>
      <w:r w:rsidR="002D280A" w:rsidRPr="00124EF6">
        <w:rPr>
          <w:spacing w:val="-2"/>
        </w:rPr>
        <w:t>ITU-R M.476-5</w:t>
      </w:r>
      <w:r w:rsidR="002D280A" w:rsidRPr="00124EF6">
        <w:rPr>
          <w:spacing w:val="-2"/>
          <w:rtl/>
        </w:rPr>
        <w:t xml:space="preserve"> </w:t>
      </w:r>
      <w:r w:rsidR="00124EF6">
        <w:rPr>
          <w:spacing w:val="-2"/>
        </w:rPr>
        <w:br/>
      </w:r>
      <w:r w:rsidR="002D280A" w:rsidRPr="00124EF6">
        <w:rPr>
          <w:spacing w:val="-2"/>
          <w:rtl/>
        </w:rPr>
        <w:t>و</w:t>
      </w:r>
      <w:r w:rsidR="002D280A" w:rsidRPr="00124EF6">
        <w:rPr>
          <w:spacing w:val="-2"/>
        </w:rPr>
        <w:t>ITU-R M.493-</w:t>
      </w:r>
      <w:r w:rsidR="005D7396">
        <w:rPr>
          <w:spacing w:val="-2"/>
        </w:rPr>
        <w:t>15</w:t>
      </w:r>
      <w:r w:rsidR="00124EF6">
        <w:rPr>
          <w:rFonts w:hint="cs"/>
          <w:spacing w:val="-2"/>
          <w:rtl/>
        </w:rPr>
        <w:t xml:space="preserve"> </w:t>
      </w:r>
      <w:r w:rsidR="002D280A" w:rsidRPr="00124EF6">
        <w:rPr>
          <w:spacing w:val="-2"/>
          <w:rtl/>
        </w:rPr>
        <w:t>و</w:t>
      </w:r>
      <w:r w:rsidR="002D280A" w:rsidRPr="00124EF6">
        <w:rPr>
          <w:spacing w:val="-2"/>
        </w:rPr>
        <w:t>ITU-R M.625-</w:t>
      </w:r>
      <w:r w:rsidR="005D7396">
        <w:rPr>
          <w:spacing w:val="-2"/>
        </w:rPr>
        <w:t>4</w:t>
      </w:r>
      <w:r w:rsidR="002D280A" w:rsidRPr="00124EF6">
        <w:rPr>
          <w:spacing w:val="-2"/>
          <w:rtl/>
        </w:rPr>
        <w:t xml:space="preserve"> و</w:t>
      </w:r>
      <w:r w:rsidR="002D280A" w:rsidRPr="00124EF6">
        <w:rPr>
          <w:spacing w:val="-2"/>
        </w:rPr>
        <w:t>(ITU-R SM.1138</w:t>
      </w:r>
      <w:r w:rsidR="005D7396">
        <w:rPr>
          <w:spacing w:val="-2"/>
        </w:rPr>
        <w:t>-3</w:t>
      </w:r>
      <w:r w:rsidR="00310B40" w:rsidRPr="00124EF6">
        <w:rPr>
          <w:rFonts w:hint="cs"/>
          <w:spacing w:val="-2"/>
          <w:rtl/>
        </w:rPr>
        <w:t>؛</w:t>
      </w:r>
    </w:p>
    <w:p w14:paraId="14530877" w14:textId="77777777" w:rsidR="002D280A" w:rsidRDefault="002D280A" w:rsidP="00E36E29">
      <w:pPr>
        <w:pStyle w:val="enumlev1"/>
        <w:spacing w:before="240"/>
        <w:rPr>
          <w:rtl/>
        </w:rPr>
      </w:pPr>
      <w:r>
        <w:rPr>
          <w:rtl/>
        </w:rPr>
        <w:t>-</w:t>
      </w:r>
      <w:r>
        <w:rPr>
          <w:rtl/>
        </w:rPr>
        <w:tab/>
      </w:r>
      <w:r>
        <w:rPr>
          <w:i/>
          <w:iCs/>
          <w:rtl/>
        </w:rPr>
        <w:t xml:space="preserve">فيما يتعلق بالمحطات الساحلية/على السفن </w:t>
      </w:r>
      <w:r>
        <w:rPr>
          <w:i/>
          <w:iCs/>
        </w:rPr>
        <w:t>(FC/MS)</w:t>
      </w:r>
      <w:r>
        <w:rPr>
          <w:i/>
          <w:iCs/>
          <w:rtl/>
        </w:rPr>
        <w:t xml:space="preserve"> في النطاقات البالغة حوالي </w:t>
      </w:r>
      <w:r>
        <w:rPr>
          <w:i/>
          <w:iCs/>
        </w:rPr>
        <w:t>MHz 2</w:t>
      </w:r>
      <w:r>
        <w:rPr>
          <w:rtl/>
        </w:rPr>
        <w:t xml:space="preserve">: الصنفان </w:t>
      </w:r>
      <w:r>
        <w:t>F1B</w:t>
      </w:r>
      <w:r>
        <w:rPr>
          <w:rtl/>
        </w:rPr>
        <w:t xml:space="preserve"> و</w:t>
      </w:r>
      <w:r>
        <w:t>J3E</w:t>
      </w:r>
      <w:r>
        <w:rPr>
          <w:rtl/>
        </w:rPr>
        <w:t>؛ يجب ألا</w:t>
      </w:r>
      <w:r w:rsidR="00CC6D6D">
        <w:rPr>
          <w:rFonts w:hint="cs"/>
          <w:rtl/>
        </w:rPr>
        <w:t>ّ</w:t>
      </w:r>
      <w:r>
        <w:rPr>
          <w:rtl/>
        </w:rPr>
        <w:t xml:space="preserve"> يتجاوز عرض النطاق اللازم </w:t>
      </w:r>
      <w:r>
        <w:t>Hz 500</w:t>
      </w:r>
      <w:r>
        <w:rPr>
          <w:rtl/>
        </w:rPr>
        <w:t xml:space="preserve"> فيما يخص الإرسالات من الصنف </w:t>
      </w:r>
      <w:r>
        <w:t>F1B</w:t>
      </w:r>
      <w:r>
        <w:rPr>
          <w:rtl/>
        </w:rPr>
        <w:t xml:space="preserve">، وفيما يخص الإرسال من الصنف </w:t>
      </w:r>
      <w:r>
        <w:t>J3E</w:t>
      </w:r>
      <w:r>
        <w:rPr>
          <w:rtl/>
        </w:rPr>
        <w:t xml:space="preserve">، يجب ألا يتجاوز عرض النطاق اللازم </w:t>
      </w:r>
      <w:r>
        <w:t>Hz 2800</w:t>
      </w:r>
      <w:r>
        <w:rPr>
          <w:rtl/>
        </w:rPr>
        <w:t xml:space="preserve"> (يشير الرقم </w:t>
      </w:r>
      <w:r>
        <w:rPr>
          <w:b/>
          <w:bCs/>
        </w:rPr>
        <w:t>177</w:t>
      </w:r>
      <w:r w:rsidR="00066880">
        <w:rPr>
          <w:b/>
          <w:bCs/>
        </w:rPr>
        <w:t>.52</w:t>
      </w:r>
      <w:r>
        <w:rPr>
          <w:b/>
          <w:bCs/>
          <w:rtl/>
        </w:rPr>
        <w:t xml:space="preserve"> </w:t>
      </w:r>
      <w:r>
        <w:rPr>
          <w:rtl/>
        </w:rPr>
        <w:t>إلى هذه الحالة الأخيرة)؛</w:t>
      </w:r>
    </w:p>
    <w:p w14:paraId="50787666" w14:textId="77777777" w:rsidR="002D280A" w:rsidRDefault="008275F6" w:rsidP="00310B40">
      <w:pPr>
        <w:tabs>
          <w:tab w:val="clear" w:pos="794"/>
          <w:tab w:val="clear" w:pos="1191"/>
          <w:tab w:val="clear" w:pos="1588"/>
          <w:tab w:val="clear" w:pos="1985"/>
        </w:tabs>
        <w:spacing w:before="200"/>
        <w:rPr>
          <w:rtl/>
        </w:rPr>
      </w:pPr>
      <w:r>
        <w:t>3.4.2</w:t>
      </w:r>
      <w:r w:rsidR="002D280A">
        <w:rPr>
          <w:rtl/>
        </w:rPr>
        <w:tab/>
        <w:t>مطابقة مدى الخدمة المبلغ عنها للحدود التي وضعها المؤتمر</w:t>
      </w:r>
      <w:r w:rsidR="00310B40">
        <w:rPr>
          <w:rFonts w:hint="cs"/>
          <w:rtl/>
        </w:rPr>
        <w:t>:</w:t>
      </w:r>
    </w:p>
    <w:p w14:paraId="38631799" w14:textId="77777777" w:rsidR="002D280A" w:rsidRDefault="002D280A" w:rsidP="00831AAF">
      <w:pPr>
        <w:tabs>
          <w:tab w:val="clear" w:pos="794"/>
          <w:tab w:val="clear" w:pos="1191"/>
          <w:tab w:val="clear" w:pos="1588"/>
          <w:tab w:val="clear" w:pos="1985"/>
        </w:tabs>
        <w:spacing w:before="200"/>
        <w:ind w:left="849" w:hanging="849"/>
        <w:rPr>
          <w:rtl/>
        </w:rPr>
      </w:pPr>
      <w:r>
        <w:rPr>
          <w:rtl/>
        </w:rPr>
        <w:tab/>
        <w:t>يجب على الإدارات أن تبلغ فقط عن مدى الخدمة المطلوب الذي شكل أساساً لتحديد قيمة القدرة اللازمة لضمان شدة المجال الدنيا عند حافة منطقة الخدمة. وفيما يتعلق بالمحطات الساحلية، يجب عدم تجاوز حدود مدى الخدمة التالية:</w:t>
      </w:r>
    </w:p>
    <w:p w14:paraId="4C8D1BAD" w14:textId="77777777" w:rsidR="002D280A" w:rsidRDefault="002D280A" w:rsidP="00831AAF">
      <w:pPr>
        <w:tabs>
          <w:tab w:val="clear" w:pos="794"/>
          <w:tab w:val="clear" w:pos="1191"/>
          <w:tab w:val="clear" w:pos="1588"/>
          <w:tab w:val="clear" w:pos="1985"/>
        </w:tabs>
        <w:spacing w:before="200"/>
        <w:ind w:left="849"/>
        <w:rPr>
          <w:rtl/>
        </w:rPr>
      </w:pPr>
      <w:r>
        <w:rPr>
          <w:rFonts w:cs="Symbol"/>
          <w:szCs w:val="22"/>
        </w:rPr>
        <w:sym w:font="Symbol" w:char="F02D"/>
      </w:r>
      <w:r>
        <w:rPr>
          <w:rtl/>
        </w:rPr>
        <w:tab/>
      </w:r>
      <w:r>
        <w:t>km 500</w:t>
      </w:r>
      <w:r>
        <w:rPr>
          <w:rtl/>
        </w:rPr>
        <w:t xml:space="preserve"> من أجل النطاق </w:t>
      </w:r>
      <w:r>
        <w:t>kHz 526,5-415</w:t>
      </w:r>
    </w:p>
    <w:p w14:paraId="5C6BA68B" w14:textId="77777777" w:rsidR="002D280A" w:rsidRDefault="002D280A" w:rsidP="00831AAF">
      <w:pPr>
        <w:tabs>
          <w:tab w:val="clear" w:pos="794"/>
          <w:tab w:val="clear" w:pos="1191"/>
          <w:tab w:val="clear" w:pos="1588"/>
          <w:tab w:val="clear" w:pos="1985"/>
        </w:tabs>
        <w:spacing w:before="200"/>
        <w:ind w:left="849"/>
        <w:rPr>
          <w:rtl/>
        </w:rPr>
      </w:pPr>
      <w:r>
        <w:rPr>
          <w:rFonts w:cs="Symbol"/>
          <w:szCs w:val="22"/>
        </w:rPr>
        <w:sym w:font="Symbol" w:char="F02D"/>
      </w:r>
      <w:r>
        <w:rPr>
          <w:rtl/>
        </w:rPr>
        <w:tab/>
      </w:r>
      <w:r>
        <w:t>km 400</w:t>
      </w:r>
      <w:r>
        <w:rPr>
          <w:rtl/>
        </w:rPr>
        <w:t xml:space="preserve"> من أجل النطاق </w:t>
      </w:r>
      <w:r>
        <w:t>kHz 2160-1606,5</w:t>
      </w:r>
      <w:r>
        <w:rPr>
          <w:rtl/>
        </w:rPr>
        <w:t>.</w:t>
      </w:r>
    </w:p>
    <w:p w14:paraId="28E11583" w14:textId="1CFEAF12" w:rsidR="002D280A" w:rsidRDefault="002D280A" w:rsidP="00831AAF">
      <w:pPr>
        <w:tabs>
          <w:tab w:val="clear" w:pos="794"/>
          <w:tab w:val="clear" w:pos="1191"/>
          <w:tab w:val="clear" w:pos="1588"/>
          <w:tab w:val="clear" w:pos="1985"/>
        </w:tabs>
        <w:spacing w:before="200"/>
        <w:ind w:left="849"/>
        <w:rPr>
          <w:rtl/>
        </w:rPr>
      </w:pPr>
      <w:r>
        <w:rPr>
          <w:rtl/>
        </w:rPr>
        <w:t xml:space="preserve">يستخدم المكتب القيم ذاتها التي وضعها المؤتمر </w:t>
      </w:r>
      <w:r>
        <w:t>RARC-MM-R1</w:t>
      </w:r>
      <w:r>
        <w:rPr>
          <w:rtl/>
        </w:rPr>
        <w:t xml:space="preserve"> استناداً إلى اعتبارات التخطيط (انظر الوثيقة</w:t>
      </w:r>
      <w:r w:rsidR="00124EF6">
        <w:rPr>
          <w:rFonts w:hint="cs"/>
          <w:rtl/>
        </w:rPr>
        <w:t> </w:t>
      </w:r>
      <w:r>
        <w:t>63</w:t>
      </w:r>
      <w:r>
        <w:rPr>
          <w:rtl/>
        </w:rPr>
        <w:t xml:space="preserve"> الصادرة عن المؤتمر </w:t>
      </w:r>
      <w:r>
        <w:t>RARC-MM-R1</w:t>
      </w:r>
      <w:r>
        <w:rPr>
          <w:rtl/>
        </w:rPr>
        <w:t xml:space="preserve">). إلا أن هذه القيم تمثل في الوقت ذاته حدوداً تقنية لاستعمال أسلوب انتشار الموجة الأرضية طالما أن المركبة الأرضية عند الحدود المذكورة أعلاه، لا تتجاوز المركبة الأيونوسفيرية إلا بمقدار </w:t>
      </w:r>
      <w:r>
        <w:t>dB 3</w:t>
      </w:r>
      <w:r>
        <w:rPr>
          <w:rtl/>
        </w:rPr>
        <w:t xml:space="preserve"> فقط.</w:t>
      </w:r>
    </w:p>
    <w:p w14:paraId="5E031576" w14:textId="77777777" w:rsidR="002D280A" w:rsidRDefault="00FB4DC8" w:rsidP="002723C3">
      <w:pPr>
        <w:tabs>
          <w:tab w:val="clear" w:pos="794"/>
          <w:tab w:val="clear" w:pos="1191"/>
          <w:tab w:val="clear" w:pos="1588"/>
          <w:tab w:val="clear" w:pos="1985"/>
        </w:tabs>
        <w:rPr>
          <w:rtl/>
        </w:rPr>
      </w:pPr>
      <w:r>
        <w:br w:type="page"/>
      </w:r>
      <w:r w:rsidR="008275F6">
        <w:lastRenderedPageBreak/>
        <w:t>5.2</w:t>
      </w:r>
      <w:r w:rsidR="002D280A">
        <w:rPr>
          <w:rtl/>
        </w:rPr>
        <w:tab/>
        <w:t xml:space="preserve">فيما يتعلق بالمحطات الساحلية </w:t>
      </w:r>
      <w:r w:rsidR="002D280A">
        <w:t>(FC)</w:t>
      </w:r>
      <w:r w:rsidR="002D280A">
        <w:rPr>
          <w:rtl/>
        </w:rPr>
        <w:t xml:space="preserve"> داخل النطاقات التي تبلغ حوالي </w:t>
      </w:r>
      <w:r w:rsidR="002D280A">
        <w:t>kHz 500</w:t>
      </w:r>
      <w:r w:rsidR="002D280A">
        <w:rPr>
          <w:rtl/>
        </w:rPr>
        <w:t xml:space="preserve">، يقبل استلام تخصيص واحد فقط من الصنف </w:t>
      </w:r>
      <w:r w:rsidR="002D280A">
        <w:t>A1A</w:t>
      </w:r>
      <w:r w:rsidR="002D280A">
        <w:rPr>
          <w:rtl/>
        </w:rPr>
        <w:t xml:space="preserve"> لكل محطة ساحلية؛ ومع ذلك، تحاط الإدارة المعنية علماً بأنها تستطيع أن تستعمل الإرسالات من الصنف </w:t>
      </w:r>
      <w:r w:rsidR="002D280A">
        <w:t>A1A</w:t>
      </w:r>
      <w:r w:rsidR="002D280A">
        <w:rPr>
          <w:rtl/>
        </w:rPr>
        <w:t xml:space="preserve"> لتخصيصات الصنف </w:t>
      </w:r>
      <w:r w:rsidR="002D280A">
        <w:t>F1B</w:t>
      </w:r>
      <w:r w:rsidR="002D280A">
        <w:rPr>
          <w:rtl/>
        </w:rPr>
        <w:t xml:space="preserve"> والعكس بالعكس:</w:t>
      </w:r>
    </w:p>
    <w:p w14:paraId="375B25A9" w14:textId="77777777" w:rsidR="002D280A" w:rsidRDefault="002D280A" w:rsidP="00831AAF">
      <w:pPr>
        <w:tabs>
          <w:tab w:val="clear" w:pos="794"/>
          <w:tab w:val="clear" w:pos="1191"/>
          <w:tab w:val="clear" w:pos="1588"/>
          <w:tab w:val="clear" w:pos="1985"/>
        </w:tabs>
        <w:spacing w:before="200"/>
        <w:ind w:left="849"/>
        <w:rPr>
          <w:rtl/>
        </w:rPr>
      </w:pPr>
      <w:r>
        <w:rPr>
          <w:rtl/>
        </w:rPr>
        <w:t xml:space="preserve">يستخدم المكتب نفس الطريقة التي استعملت عند وضع الخطة أثناء المؤتمر </w:t>
      </w:r>
      <w:r>
        <w:t>RARC-MM-R1</w:t>
      </w:r>
      <w:r>
        <w:rPr>
          <w:rtl/>
        </w:rPr>
        <w:t xml:space="preserve">، مع مراعاة الملاحظة الواردة في الصفحة </w:t>
      </w:r>
      <w:r>
        <w:t>14</w:t>
      </w:r>
      <w:r>
        <w:rPr>
          <w:rtl/>
        </w:rPr>
        <w:t xml:space="preserve"> من الوثائق الختامية للمؤتمر </w:t>
      </w:r>
      <w:r>
        <w:t>RARC-MM-R1</w:t>
      </w:r>
      <w:r>
        <w:rPr>
          <w:rtl/>
        </w:rPr>
        <w:t xml:space="preserve"> التي تنص على </w:t>
      </w:r>
      <w:r w:rsidRPr="00124EF6">
        <w:rPr>
          <w:i/>
          <w:iCs/>
          <w:rtl/>
        </w:rPr>
        <w:t xml:space="preserve">"أنه يمكن استعمال الإرسالات من الصنف </w:t>
      </w:r>
      <w:r w:rsidRPr="00124EF6">
        <w:rPr>
          <w:i/>
          <w:iCs/>
        </w:rPr>
        <w:t>A1A</w:t>
      </w:r>
      <w:r w:rsidRPr="00124EF6">
        <w:rPr>
          <w:i/>
          <w:iCs/>
          <w:rtl/>
        </w:rPr>
        <w:t xml:space="preserve"> لتخصيصات من الصنف </w:t>
      </w:r>
      <w:r w:rsidRPr="00124EF6">
        <w:rPr>
          <w:i/>
          <w:iCs/>
        </w:rPr>
        <w:t>F1B</w:t>
      </w:r>
      <w:r w:rsidRPr="00124EF6">
        <w:rPr>
          <w:i/>
          <w:iCs/>
          <w:rtl/>
        </w:rPr>
        <w:t xml:space="preserve"> والعكس بالعكس داخل نطاقات التردد المحصورة بين </w:t>
      </w:r>
      <w:r w:rsidRPr="00124EF6">
        <w:rPr>
          <w:i/>
          <w:iCs/>
        </w:rPr>
        <w:t>415</w:t>
      </w:r>
      <w:r w:rsidRPr="00124EF6">
        <w:rPr>
          <w:i/>
          <w:iCs/>
          <w:rtl/>
        </w:rPr>
        <w:t xml:space="preserve"> و</w:t>
      </w:r>
      <w:r w:rsidRPr="00124EF6">
        <w:rPr>
          <w:i/>
          <w:iCs/>
        </w:rPr>
        <w:t>kHz 526,5</w:t>
      </w:r>
      <w:r w:rsidRPr="00124EF6">
        <w:rPr>
          <w:i/>
          <w:iCs/>
          <w:rtl/>
        </w:rPr>
        <w:t>"</w:t>
      </w:r>
      <w:r>
        <w:rPr>
          <w:rtl/>
        </w:rPr>
        <w:t>.</w:t>
      </w:r>
    </w:p>
    <w:p w14:paraId="3EC09D69" w14:textId="77777777" w:rsidR="002D280A" w:rsidRPr="00FB4DC8" w:rsidRDefault="008275F6" w:rsidP="00AC0A0C">
      <w:pPr>
        <w:pStyle w:val="Heading1"/>
        <w:tabs>
          <w:tab w:val="clear" w:pos="794"/>
          <w:tab w:val="clear" w:pos="1191"/>
          <w:tab w:val="clear" w:pos="1588"/>
          <w:tab w:val="clear" w:pos="1985"/>
        </w:tabs>
        <w:spacing w:before="480"/>
        <w:ind w:left="1134" w:hanging="1134"/>
        <w:rPr>
          <w:bCs/>
          <w:rtl/>
        </w:rPr>
      </w:pPr>
      <w:r w:rsidRPr="00FB4DC8">
        <w:rPr>
          <w:bCs/>
        </w:rPr>
        <w:t>3</w:t>
      </w:r>
      <w:r w:rsidR="002D280A" w:rsidRPr="00FB4DC8">
        <w:rPr>
          <w:bCs/>
          <w:rtl/>
        </w:rPr>
        <w:tab/>
        <w:t xml:space="preserve">معالجة بطاقات التبليغ عن تخصيصات التردد لمحطات الإرسال والاستقبال في </w:t>
      </w:r>
      <w:r w:rsidR="00FB4DC8">
        <w:rPr>
          <w:rFonts w:hint="cs"/>
          <w:bCs/>
          <w:rtl/>
        </w:rPr>
        <w:br/>
      </w:r>
      <w:r w:rsidR="002D280A" w:rsidRPr="00FB4DC8">
        <w:rPr>
          <w:bCs/>
          <w:rtl/>
        </w:rPr>
        <w:t xml:space="preserve">النطاقات التي يحكمها الاتفاق </w:t>
      </w:r>
      <w:r w:rsidR="002D280A" w:rsidRPr="00AC0A0C">
        <w:rPr>
          <w:bCs/>
        </w:rPr>
        <w:t>GE85-MM-R1</w:t>
      </w:r>
      <w:r w:rsidR="002D280A" w:rsidRPr="00FB4DC8">
        <w:rPr>
          <w:bCs/>
          <w:rtl/>
        </w:rPr>
        <w:t xml:space="preserve"> (فيما يتعلق بالإدارات التي تعتبر أطرافاً في الاتفاق)</w:t>
      </w:r>
    </w:p>
    <w:p w14:paraId="7E6396E3" w14:textId="77777777" w:rsidR="002D280A" w:rsidRPr="00AC0A0C" w:rsidRDefault="008275F6" w:rsidP="00AC0A0C">
      <w:pPr>
        <w:pStyle w:val="Heading1"/>
        <w:tabs>
          <w:tab w:val="clear" w:pos="794"/>
          <w:tab w:val="clear" w:pos="1191"/>
          <w:tab w:val="clear" w:pos="1588"/>
          <w:tab w:val="clear" w:pos="1985"/>
        </w:tabs>
        <w:spacing w:before="480"/>
        <w:ind w:left="1134" w:hanging="1134"/>
        <w:rPr>
          <w:bCs/>
          <w:sz w:val="24"/>
          <w:szCs w:val="32"/>
          <w:rtl/>
        </w:rPr>
      </w:pPr>
      <w:r w:rsidRPr="00AC0A0C">
        <w:rPr>
          <w:bCs/>
          <w:sz w:val="24"/>
          <w:szCs w:val="32"/>
        </w:rPr>
        <w:t>1.3</w:t>
      </w:r>
      <w:r w:rsidR="002D280A" w:rsidRPr="00AC0A0C">
        <w:rPr>
          <w:bCs/>
          <w:sz w:val="24"/>
          <w:szCs w:val="32"/>
          <w:rtl/>
        </w:rPr>
        <w:tab/>
        <w:t>معالجة بطاقات التبليغ عن تخصيصات التردد لمحطات الإرسال والاستقبال التابعة للخدمات المخطط لها في النطاقات المقصودة في خطط تخصيص الترددات</w:t>
      </w:r>
    </w:p>
    <w:p w14:paraId="4DA0892F" w14:textId="77777777" w:rsidR="002D280A" w:rsidRDefault="008275F6" w:rsidP="00E36E29">
      <w:pPr>
        <w:tabs>
          <w:tab w:val="clear" w:pos="794"/>
          <w:tab w:val="clear" w:pos="1191"/>
          <w:tab w:val="clear" w:pos="1588"/>
          <w:tab w:val="clear" w:pos="1985"/>
        </w:tabs>
        <w:spacing w:before="240"/>
        <w:rPr>
          <w:rtl/>
        </w:rPr>
      </w:pPr>
      <w:r>
        <w:t>1.1.3</w:t>
      </w:r>
      <w:r w:rsidR="002D280A">
        <w:rPr>
          <w:rtl/>
        </w:rPr>
        <w:tab/>
        <w:t xml:space="preserve">إن معالجة بطاقات التبليغ عن تخصيصات التردد لمحطات الإرسال والاستقبال التابعة للخدمات المخطط لها في نطاقات التردد المقصودة في خطط تخصيص الترددات (وهي النطاقات </w:t>
      </w:r>
      <w:r w:rsidR="002D280A">
        <w:t>kHz 435-415</w:t>
      </w:r>
      <w:r w:rsidR="002D280A">
        <w:rPr>
          <w:rtl/>
        </w:rPr>
        <w:t xml:space="preserve"> و</w:t>
      </w:r>
      <w:r w:rsidR="002D280A">
        <w:t>kHz 453-435</w:t>
      </w:r>
      <w:r w:rsidR="002D280A">
        <w:rPr>
          <w:rtl/>
        </w:rPr>
        <w:t xml:space="preserve"> </w:t>
      </w:r>
      <w:r w:rsidR="002D280A">
        <w:rPr>
          <w:rtl/>
        </w:rPr>
        <w:br/>
        <w:t>و</w:t>
      </w:r>
      <w:r w:rsidR="002D280A">
        <w:t>kHz 495-460,5</w:t>
      </w:r>
      <w:r w:rsidR="002D280A">
        <w:rPr>
          <w:rtl/>
        </w:rPr>
        <w:t xml:space="preserve"> و</w:t>
      </w:r>
      <w:r w:rsidR="002D280A">
        <w:t>kHz 526,5-505</w:t>
      </w:r>
      <w:r w:rsidR="002D280A">
        <w:rPr>
          <w:rtl/>
        </w:rPr>
        <w:t xml:space="preserve"> و</w:t>
      </w:r>
      <w:r w:rsidR="002D280A">
        <w:t xml:space="preserve"> kHz 1 621-1 606,5</w:t>
      </w:r>
      <w:r w:rsidR="002D280A">
        <w:rPr>
          <w:rtl/>
        </w:rPr>
        <w:t>و</w:t>
      </w:r>
      <w:r w:rsidR="002D280A">
        <w:t>kHz 1 800-1 635</w:t>
      </w:r>
      <w:r w:rsidR="002D280A">
        <w:rPr>
          <w:rtl/>
        </w:rPr>
        <w:t xml:space="preserve"> و</w:t>
      </w:r>
      <w:r w:rsidR="002D280A">
        <w:t>(kHz 2 156-2 060</w:t>
      </w:r>
      <w:r w:rsidR="002D280A">
        <w:rPr>
          <w:rtl/>
        </w:rPr>
        <w:t xml:space="preserve">، والتي بلغت عنها الإدارات التي تعتبر أطرافاً في الاتفاق، تتم وفقاً للإجراء الوارد في المادة </w:t>
      </w:r>
      <w:r w:rsidR="002D280A">
        <w:t>5</w:t>
      </w:r>
      <w:r w:rsidR="002D280A">
        <w:rPr>
          <w:rtl/>
        </w:rPr>
        <w:t xml:space="preserve"> من الاتفاق.</w:t>
      </w:r>
    </w:p>
    <w:p w14:paraId="22BBC0B2" w14:textId="42C2A252" w:rsidR="002D280A" w:rsidRDefault="008275F6" w:rsidP="00E36E29">
      <w:pPr>
        <w:tabs>
          <w:tab w:val="clear" w:pos="794"/>
          <w:tab w:val="clear" w:pos="1191"/>
          <w:tab w:val="clear" w:pos="1588"/>
          <w:tab w:val="clear" w:pos="1985"/>
        </w:tabs>
        <w:spacing w:before="240"/>
        <w:rPr>
          <w:rtl/>
        </w:rPr>
      </w:pPr>
      <w:r>
        <w:t>2.1.3</w:t>
      </w:r>
      <w:r w:rsidR="002D280A">
        <w:rPr>
          <w:rtl/>
        </w:rPr>
        <w:tab/>
        <w:t xml:space="preserve">يتمثل التفحص التنظيمي من بطاقات التبليغ هذه في التحقق من مطابقتها لجدول توزيع نطاقات التردد ولأحكام الأرقام </w:t>
      </w:r>
      <w:r w:rsidR="002D280A">
        <w:rPr>
          <w:b/>
          <w:bCs/>
        </w:rPr>
        <w:t>10</w:t>
      </w:r>
      <w:r w:rsidR="00066880">
        <w:rPr>
          <w:b/>
          <w:bCs/>
        </w:rPr>
        <w:t>.52</w:t>
      </w:r>
      <w:r w:rsidR="002D280A">
        <w:rPr>
          <w:rtl/>
        </w:rPr>
        <w:t xml:space="preserve"> و</w:t>
      </w:r>
      <w:r w:rsidR="002D280A">
        <w:rPr>
          <w:b/>
          <w:bCs/>
        </w:rPr>
        <w:t>177</w:t>
      </w:r>
      <w:r w:rsidR="00066880">
        <w:rPr>
          <w:b/>
          <w:bCs/>
        </w:rPr>
        <w:t>.52</w:t>
      </w:r>
      <w:r w:rsidR="002D280A">
        <w:rPr>
          <w:b/>
          <w:bCs/>
          <w:rtl/>
        </w:rPr>
        <w:t xml:space="preserve"> </w:t>
      </w:r>
      <w:r w:rsidR="002D280A">
        <w:rPr>
          <w:rtl/>
        </w:rPr>
        <w:t>و</w:t>
      </w:r>
      <w:r w:rsidR="002D280A">
        <w:rPr>
          <w:b/>
          <w:bCs/>
        </w:rPr>
        <w:t>183</w:t>
      </w:r>
      <w:r w:rsidR="00066880">
        <w:rPr>
          <w:b/>
          <w:bCs/>
        </w:rPr>
        <w:t>.52</w:t>
      </w:r>
      <w:r w:rsidR="002D280A">
        <w:rPr>
          <w:rtl/>
        </w:rPr>
        <w:t xml:space="preserve"> ومن </w:t>
      </w:r>
      <w:r w:rsidR="002D280A">
        <w:rPr>
          <w:b/>
          <w:bCs/>
        </w:rPr>
        <w:t>184</w:t>
      </w:r>
      <w:r w:rsidR="00066880">
        <w:rPr>
          <w:b/>
          <w:bCs/>
        </w:rPr>
        <w:t>.52</w:t>
      </w:r>
      <w:r w:rsidR="002D280A">
        <w:rPr>
          <w:b/>
          <w:bCs/>
          <w:rtl/>
        </w:rPr>
        <w:t xml:space="preserve"> </w:t>
      </w:r>
      <w:r w:rsidR="002D280A">
        <w:rPr>
          <w:rtl/>
        </w:rPr>
        <w:t xml:space="preserve">إلى </w:t>
      </w:r>
      <w:r w:rsidR="002D280A">
        <w:t xml:space="preserve"> </w:t>
      </w:r>
      <w:r w:rsidR="002D280A">
        <w:rPr>
          <w:b/>
          <w:bCs/>
        </w:rPr>
        <w:t>186</w:t>
      </w:r>
      <w:r w:rsidR="00066880">
        <w:rPr>
          <w:b/>
          <w:bCs/>
        </w:rPr>
        <w:t>.52</w:t>
      </w:r>
      <w:r w:rsidR="002D280A">
        <w:rPr>
          <w:rtl/>
        </w:rPr>
        <w:t xml:space="preserve">والرقم </w:t>
      </w:r>
      <w:r w:rsidR="002D280A">
        <w:rPr>
          <w:b/>
          <w:bCs/>
        </w:rPr>
        <w:t>202</w:t>
      </w:r>
      <w:r w:rsidR="00066880">
        <w:rPr>
          <w:b/>
          <w:bCs/>
        </w:rPr>
        <w:t>.52</w:t>
      </w:r>
      <w:r w:rsidR="002D280A">
        <w:rPr>
          <w:rtl/>
        </w:rPr>
        <w:t xml:space="preserve">. وتبقى أحكام الرقم </w:t>
      </w:r>
      <w:r w:rsidR="002D280A">
        <w:rPr>
          <w:b/>
          <w:bCs/>
        </w:rPr>
        <w:t>81</w:t>
      </w:r>
      <w:r w:rsidR="00066880">
        <w:rPr>
          <w:b/>
          <w:bCs/>
        </w:rPr>
        <w:t>.5</w:t>
      </w:r>
      <w:r w:rsidR="002D280A">
        <w:rPr>
          <w:rtl/>
        </w:rPr>
        <w:t xml:space="preserve"> والفقرة</w:t>
      </w:r>
      <w:r w:rsidR="00124EF6">
        <w:rPr>
          <w:rFonts w:hint="cs"/>
          <w:rtl/>
        </w:rPr>
        <w:t> </w:t>
      </w:r>
      <w:r w:rsidR="002D280A">
        <w:t>(1 15</w:t>
      </w:r>
      <w:r w:rsidR="002D280A">
        <w:rPr>
          <w:rtl/>
        </w:rPr>
        <w:t xml:space="preserve"> من الجزء </w:t>
      </w:r>
      <w:r w:rsidR="002D280A">
        <w:t>A2</w:t>
      </w:r>
      <w:r w:rsidR="002D280A">
        <w:rPr>
          <w:rtl/>
        </w:rPr>
        <w:t xml:space="preserve"> من التذييل </w:t>
      </w:r>
      <w:r w:rsidR="002D280A">
        <w:rPr>
          <w:b/>
          <w:bCs/>
        </w:rPr>
        <w:t>13</w:t>
      </w:r>
      <w:r w:rsidR="002D280A">
        <w:rPr>
          <w:rtl/>
        </w:rPr>
        <w:t xml:space="preserve"> تراعى حتى </w:t>
      </w:r>
      <w:r w:rsidR="002D280A">
        <w:t>1</w:t>
      </w:r>
      <w:r w:rsidR="002D280A">
        <w:rPr>
          <w:rtl/>
        </w:rPr>
        <w:t xml:space="preserve"> فبراير </w:t>
      </w:r>
      <w:r w:rsidR="002D280A">
        <w:t>1999</w:t>
      </w:r>
      <w:r w:rsidR="002D280A">
        <w:rPr>
          <w:rtl/>
        </w:rPr>
        <w:t>.</w:t>
      </w:r>
    </w:p>
    <w:p w14:paraId="17DC205E" w14:textId="77777777" w:rsidR="002D280A" w:rsidRDefault="008275F6" w:rsidP="00E36E29">
      <w:pPr>
        <w:tabs>
          <w:tab w:val="clear" w:pos="794"/>
          <w:tab w:val="clear" w:pos="1191"/>
          <w:tab w:val="clear" w:pos="1588"/>
          <w:tab w:val="clear" w:pos="1985"/>
        </w:tabs>
        <w:spacing w:before="240"/>
        <w:rPr>
          <w:rtl/>
        </w:rPr>
      </w:pPr>
      <w:r>
        <w:t>3.1.3</w:t>
      </w:r>
      <w:r w:rsidR="002D280A">
        <w:rPr>
          <w:rtl/>
        </w:rPr>
        <w:tab/>
        <w:t>يقوم تفحص مطابقة التخصيصات للخطة على التحقق من جميع المعطيات الواردة في خطة تخصيصات التردد المناسبة والنقاط الإضافية التالية:</w:t>
      </w:r>
    </w:p>
    <w:p w14:paraId="72D2765C" w14:textId="77777777" w:rsidR="002D280A" w:rsidRDefault="008275F6" w:rsidP="00E36E29">
      <w:pPr>
        <w:tabs>
          <w:tab w:val="clear" w:pos="794"/>
          <w:tab w:val="clear" w:pos="1191"/>
          <w:tab w:val="clear" w:pos="1588"/>
          <w:tab w:val="clear" w:pos="1985"/>
        </w:tabs>
        <w:spacing w:before="240"/>
        <w:rPr>
          <w:rtl/>
        </w:rPr>
      </w:pPr>
      <w:r>
        <w:t>1.3.1.3</w:t>
      </w:r>
      <w:r w:rsidR="002D280A">
        <w:rPr>
          <w:rtl/>
        </w:rPr>
        <w:tab/>
        <w:t xml:space="preserve">لما كانت خطط المحطات </w:t>
      </w:r>
      <w:r w:rsidR="002D280A">
        <w:t>FC/MS</w:t>
      </w:r>
      <w:r w:rsidR="002D280A">
        <w:rPr>
          <w:rtl/>
        </w:rPr>
        <w:t xml:space="preserve"> لا تشمل أية قيمة تتعلق بعروض النطاق اللازمة، تستعمل القيم التالية للتحقق من مطابقة التخصيصات المبلغ عنها للخطة:</w:t>
      </w:r>
    </w:p>
    <w:p w14:paraId="0F139AD1" w14:textId="77777777" w:rsidR="002D280A" w:rsidRDefault="002D280A" w:rsidP="00E36E29">
      <w:pPr>
        <w:tabs>
          <w:tab w:val="clear" w:pos="794"/>
          <w:tab w:val="clear" w:pos="1191"/>
          <w:tab w:val="clear" w:pos="1588"/>
          <w:tab w:val="clear" w:pos="1985"/>
          <w:tab w:val="left" w:pos="424"/>
        </w:tabs>
        <w:spacing w:before="240"/>
        <w:rPr>
          <w:rtl/>
        </w:rPr>
      </w:pPr>
      <w:r>
        <w:rPr>
          <w:i/>
          <w:iCs/>
          <w:rtl/>
        </w:rPr>
        <w:tab/>
      </w:r>
      <w:r>
        <w:rPr>
          <w:rFonts w:cs="Symbol"/>
          <w:i/>
          <w:iCs/>
          <w:szCs w:val="22"/>
        </w:rPr>
        <w:sym w:font="Symbol" w:char="F02D"/>
      </w:r>
      <w:r>
        <w:rPr>
          <w:i/>
          <w:iCs/>
          <w:rtl/>
        </w:rPr>
        <w:tab/>
        <w:t>فيما يتعلق بالصنفين</w:t>
      </w:r>
      <w:r>
        <w:rPr>
          <w:rtl/>
        </w:rPr>
        <w:t xml:space="preserve"> </w:t>
      </w:r>
      <w:r>
        <w:rPr>
          <w:i/>
          <w:iCs/>
        </w:rPr>
        <w:t>A1A</w:t>
      </w:r>
      <w:r>
        <w:rPr>
          <w:rtl/>
        </w:rPr>
        <w:t xml:space="preserve"> و</w:t>
      </w:r>
      <w:r>
        <w:rPr>
          <w:i/>
          <w:iCs/>
        </w:rPr>
        <w:t>F1B</w:t>
      </w:r>
      <w:r>
        <w:rPr>
          <w:rtl/>
        </w:rPr>
        <w:t xml:space="preserve">: </w:t>
      </w:r>
      <w:r>
        <w:t>Hz 500</w:t>
      </w:r>
      <w:r>
        <w:rPr>
          <w:rtl/>
        </w:rPr>
        <w:t>.</w:t>
      </w:r>
    </w:p>
    <w:p w14:paraId="7E26ECE8" w14:textId="0E8E83AF" w:rsidR="002D280A" w:rsidRDefault="002D280A" w:rsidP="00E36E29">
      <w:pPr>
        <w:numPr>
          <w:ilvl w:val="12"/>
          <w:numId w:val="0"/>
        </w:numPr>
        <w:tabs>
          <w:tab w:val="clear" w:pos="794"/>
          <w:tab w:val="clear" w:pos="1191"/>
          <w:tab w:val="clear" w:pos="1588"/>
          <w:tab w:val="clear" w:pos="1985"/>
        </w:tabs>
        <w:spacing w:before="240"/>
        <w:ind w:left="1133"/>
        <w:rPr>
          <w:rtl/>
        </w:rPr>
      </w:pPr>
      <w:r>
        <w:rPr>
          <w:rtl/>
        </w:rPr>
        <w:t xml:space="preserve">اعتبرت اللجنة بهذا الصدد أن عرض النطاق البالغ </w:t>
      </w:r>
      <w:r>
        <w:t>Hz 500</w:t>
      </w:r>
      <w:r>
        <w:rPr>
          <w:rtl/>
        </w:rPr>
        <w:t xml:space="preserve"> يمثل سرعة تبلغ </w:t>
      </w:r>
      <w:r>
        <w:t>100</w:t>
      </w:r>
      <w:r>
        <w:rPr>
          <w:rtl/>
        </w:rPr>
        <w:t xml:space="preserve"> كلمة في الدقيقة فيما يتعلق بالإرسالات من الصنف </w:t>
      </w:r>
      <w:r>
        <w:t>A1A</w:t>
      </w:r>
      <w:r>
        <w:rPr>
          <w:rtl/>
        </w:rPr>
        <w:t xml:space="preserve">، وهي سرعة أكثر من </w:t>
      </w:r>
      <w:r w:rsidR="00CC6D6D">
        <w:rPr>
          <w:rFonts w:hint="cs"/>
          <w:rtl/>
        </w:rPr>
        <w:t>كافية</w:t>
      </w:r>
      <w:r>
        <w:rPr>
          <w:rtl/>
        </w:rPr>
        <w:t xml:space="preserve"> لما يحتاج إليه الإبراق اليدوي. وفيما يتعلق بالإرسالات من الصنف </w:t>
      </w:r>
      <w:r>
        <w:t>F1B</w:t>
      </w:r>
      <w:r>
        <w:rPr>
          <w:rtl/>
        </w:rPr>
        <w:t xml:space="preserve">، يغطي هذا الحد عرض النطاق المعياري البالغ </w:t>
      </w:r>
      <w:r>
        <w:t>Hz 304</w:t>
      </w:r>
      <w:r>
        <w:rPr>
          <w:rtl/>
        </w:rPr>
        <w:t xml:space="preserve"> (التوصيات</w:t>
      </w:r>
      <w:r w:rsidR="00124EF6">
        <w:rPr>
          <w:rFonts w:hint="cs"/>
          <w:rtl/>
        </w:rPr>
        <w:t> </w:t>
      </w:r>
      <w:r>
        <w:t>ITU-R M.476-5</w:t>
      </w:r>
      <w:r>
        <w:rPr>
          <w:rtl/>
        </w:rPr>
        <w:t xml:space="preserve"> و</w:t>
      </w:r>
      <w:r>
        <w:t>ITU-R M.493-</w:t>
      </w:r>
      <w:r w:rsidR="005D7396">
        <w:t>15</w:t>
      </w:r>
      <w:r>
        <w:rPr>
          <w:rtl/>
        </w:rPr>
        <w:t xml:space="preserve"> و</w:t>
      </w:r>
      <w:r>
        <w:t>ITU-R M.625-</w:t>
      </w:r>
      <w:r w:rsidR="005D7396">
        <w:t>4</w:t>
      </w:r>
      <w:r>
        <w:rPr>
          <w:rtl/>
        </w:rPr>
        <w:t xml:space="preserve"> و</w:t>
      </w:r>
      <w:r>
        <w:t>(ITU-R SM.1138</w:t>
      </w:r>
      <w:r w:rsidR="005D7396">
        <w:t>-3</w:t>
      </w:r>
      <w:r>
        <w:rPr>
          <w:rtl/>
        </w:rPr>
        <w:t>.</w:t>
      </w:r>
    </w:p>
    <w:p w14:paraId="365B8E32" w14:textId="77777777" w:rsidR="002D280A" w:rsidRDefault="002D280A" w:rsidP="00E36E29">
      <w:pPr>
        <w:tabs>
          <w:tab w:val="clear" w:pos="794"/>
          <w:tab w:val="clear" w:pos="1191"/>
          <w:tab w:val="clear" w:pos="1588"/>
          <w:tab w:val="clear" w:pos="1985"/>
          <w:tab w:val="left" w:pos="424"/>
        </w:tabs>
        <w:spacing w:before="240"/>
        <w:rPr>
          <w:rtl/>
        </w:rPr>
      </w:pPr>
      <w:r>
        <w:rPr>
          <w:i/>
          <w:iCs/>
          <w:rtl/>
        </w:rPr>
        <w:tab/>
      </w:r>
      <w:r>
        <w:rPr>
          <w:rFonts w:cs="Symbol"/>
          <w:i/>
          <w:iCs/>
          <w:szCs w:val="22"/>
        </w:rPr>
        <w:sym w:font="Symbol" w:char="F02D"/>
      </w:r>
      <w:r>
        <w:rPr>
          <w:i/>
          <w:iCs/>
          <w:rtl/>
        </w:rPr>
        <w:tab/>
        <w:t xml:space="preserve">فيما يتعلق بالصنف </w:t>
      </w:r>
      <w:r>
        <w:rPr>
          <w:i/>
          <w:iCs/>
        </w:rPr>
        <w:t>J3E</w:t>
      </w:r>
      <w:r>
        <w:rPr>
          <w:rtl/>
        </w:rPr>
        <w:t xml:space="preserve">: </w:t>
      </w:r>
      <w:r>
        <w:t>Hz 2800</w:t>
      </w:r>
      <w:r>
        <w:rPr>
          <w:rtl/>
        </w:rPr>
        <w:t xml:space="preserve">، وفقاً للرقم </w:t>
      </w:r>
      <w:r>
        <w:rPr>
          <w:b/>
          <w:bCs/>
        </w:rPr>
        <w:t>177</w:t>
      </w:r>
      <w:r w:rsidR="00066880">
        <w:rPr>
          <w:b/>
          <w:bCs/>
        </w:rPr>
        <w:t>.52</w:t>
      </w:r>
      <w:r>
        <w:rPr>
          <w:rtl/>
        </w:rPr>
        <w:t>.</w:t>
      </w:r>
    </w:p>
    <w:p w14:paraId="716AEF33" w14:textId="77777777" w:rsidR="002D280A" w:rsidRDefault="00AC0A0C" w:rsidP="002723C3">
      <w:pPr>
        <w:tabs>
          <w:tab w:val="clear" w:pos="794"/>
          <w:tab w:val="clear" w:pos="1191"/>
          <w:tab w:val="clear" w:pos="1588"/>
          <w:tab w:val="clear" w:pos="1985"/>
        </w:tabs>
        <w:rPr>
          <w:rtl/>
        </w:rPr>
      </w:pPr>
      <w:r>
        <w:br w:type="page"/>
      </w:r>
      <w:r w:rsidR="008275F6">
        <w:lastRenderedPageBreak/>
        <w:t>2.3.1.3</w:t>
      </w:r>
      <w:r w:rsidR="002D280A">
        <w:rPr>
          <w:rtl/>
        </w:rPr>
        <w:tab/>
        <w:t>يتم التحقق من عرض النطاق المبل</w:t>
      </w:r>
      <w:r w:rsidR="00CC6D6D">
        <w:rPr>
          <w:rFonts w:hint="cs"/>
          <w:rtl/>
        </w:rPr>
        <w:t>ّ</w:t>
      </w:r>
      <w:r w:rsidR="002D280A">
        <w:rPr>
          <w:rtl/>
        </w:rPr>
        <w:t xml:space="preserve">غ عنه فيما يتعلق بالتخصيصات </w:t>
      </w:r>
      <w:r w:rsidR="002D280A">
        <w:t>ALRC</w:t>
      </w:r>
      <w:r w:rsidR="00D01190">
        <w:rPr>
          <w:rtl/>
        </w:rPr>
        <w:t xml:space="preserve"> بالنسبة إلى القيم الواردة </w:t>
      </w:r>
      <w:r w:rsidR="002D280A">
        <w:rPr>
          <w:rtl/>
        </w:rPr>
        <w:t>في الخطة.</w:t>
      </w:r>
    </w:p>
    <w:p w14:paraId="2E676BF8" w14:textId="77777777" w:rsidR="002D280A" w:rsidRDefault="008275F6" w:rsidP="005A1CDA">
      <w:pPr>
        <w:tabs>
          <w:tab w:val="clear" w:pos="794"/>
          <w:tab w:val="clear" w:pos="1191"/>
          <w:tab w:val="clear" w:pos="1588"/>
          <w:tab w:val="clear" w:pos="1985"/>
        </w:tabs>
        <w:spacing w:before="360"/>
        <w:rPr>
          <w:rtl/>
        </w:rPr>
      </w:pPr>
      <w:r>
        <w:t>4.1.3</w:t>
      </w:r>
      <w:r w:rsidR="002D280A">
        <w:rPr>
          <w:rtl/>
        </w:rPr>
        <w:tab/>
        <w:t xml:space="preserve">أجرت اللجنة وفقاً للقرار </w:t>
      </w:r>
      <w:r w:rsidR="002D280A">
        <w:t>(MM)</w:t>
      </w:r>
      <w:r w:rsidR="005A1CDA">
        <w:rPr>
          <w:rFonts w:hint="cs"/>
          <w:rtl/>
        </w:rPr>
        <w:t> </w:t>
      </w:r>
      <w:r w:rsidR="00CC6D6D">
        <w:t>3</w:t>
      </w:r>
      <w:r w:rsidR="002D280A">
        <w:rPr>
          <w:rtl/>
        </w:rPr>
        <w:t xml:space="preserve">، تحليلاً للمواءمة داخل النطاقات </w:t>
      </w:r>
      <w:r w:rsidR="002D280A">
        <w:t>kHz 1625-1606,5</w:t>
      </w:r>
      <w:r w:rsidR="002D280A">
        <w:rPr>
          <w:rtl/>
        </w:rPr>
        <w:br/>
        <w:t>و</w:t>
      </w:r>
      <w:r w:rsidR="002D280A">
        <w:t xml:space="preserve"> kHz 1800-1635</w:t>
      </w:r>
      <w:r w:rsidR="002D280A">
        <w:rPr>
          <w:rtl/>
        </w:rPr>
        <w:t xml:space="preserve"> و</w:t>
      </w:r>
      <w:r w:rsidR="002D280A">
        <w:t>kHz 2160-2045</w:t>
      </w:r>
      <w:r w:rsidR="002D280A">
        <w:rPr>
          <w:rtl/>
        </w:rPr>
        <w:t xml:space="preserve">، مع مراعاة الخدمات غير المخطط لها (انظر الرسالتين المعممتين رقم </w:t>
      </w:r>
      <w:r w:rsidR="002D280A">
        <w:t>762</w:t>
      </w:r>
      <w:r w:rsidR="002D280A">
        <w:rPr>
          <w:rtl/>
        </w:rPr>
        <w:t xml:space="preserve"> و</w:t>
      </w:r>
      <w:r w:rsidR="002D280A">
        <w:t>890</w:t>
      </w:r>
      <w:r w:rsidR="002D280A">
        <w:rPr>
          <w:rtl/>
        </w:rPr>
        <w:t xml:space="preserve"> الصادرتين عن اللجنة </w:t>
      </w:r>
      <w:r w:rsidR="002D280A">
        <w:t>IFRB</w:t>
      </w:r>
      <w:r w:rsidR="002D280A">
        <w:rPr>
          <w:rtl/>
        </w:rPr>
        <w:t xml:space="preserve"> </w:t>
      </w:r>
      <w:r w:rsidR="001E7124">
        <w:rPr>
          <w:rFonts w:hint="cs"/>
          <w:rtl/>
        </w:rPr>
        <w:t xml:space="preserve">السابقة </w:t>
      </w:r>
      <w:r w:rsidR="002D280A">
        <w:rPr>
          <w:rtl/>
        </w:rPr>
        <w:t xml:space="preserve">بتاريخ </w:t>
      </w:r>
      <w:r w:rsidR="002D280A">
        <w:t>20</w:t>
      </w:r>
      <w:r w:rsidR="002D280A">
        <w:rPr>
          <w:rtl/>
        </w:rPr>
        <w:t xml:space="preserve"> أكتوبر </w:t>
      </w:r>
      <w:r w:rsidR="002D280A">
        <w:t>1988</w:t>
      </w:r>
      <w:r w:rsidR="002D280A">
        <w:rPr>
          <w:rtl/>
        </w:rPr>
        <w:t xml:space="preserve"> و</w:t>
      </w:r>
      <w:r w:rsidR="002D280A">
        <w:t>19</w:t>
      </w:r>
      <w:r w:rsidR="002D280A">
        <w:rPr>
          <w:rtl/>
        </w:rPr>
        <w:t xml:space="preserve"> ديسمبر </w:t>
      </w:r>
      <w:r w:rsidR="002D280A">
        <w:t>1991</w:t>
      </w:r>
      <w:r w:rsidR="002D280A">
        <w:rPr>
          <w:rtl/>
        </w:rPr>
        <w:t xml:space="preserve"> على التوالي). وينبغي أن تؤخذ نتائج تحليل المواءمة بعين الاعتبار.</w:t>
      </w:r>
    </w:p>
    <w:p w14:paraId="50A5C70F" w14:textId="77777777" w:rsidR="002D280A" w:rsidRPr="00AC0A0C" w:rsidRDefault="008275F6" w:rsidP="00AC0A0C">
      <w:pPr>
        <w:pStyle w:val="Heading1"/>
        <w:tabs>
          <w:tab w:val="clear" w:pos="794"/>
          <w:tab w:val="clear" w:pos="1191"/>
          <w:tab w:val="clear" w:pos="1588"/>
          <w:tab w:val="clear" w:pos="1985"/>
        </w:tabs>
        <w:spacing w:before="480"/>
        <w:ind w:left="1134" w:hanging="1134"/>
        <w:rPr>
          <w:bCs/>
          <w:sz w:val="24"/>
          <w:szCs w:val="32"/>
          <w:rtl/>
        </w:rPr>
      </w:pPr>
      <w:r w:rsidRPr="00AC0A0C">
        <w:rPr>
          <w:bCs/>
          <w:sz w:val="24"/>
          <w:szCs w:val="32"/>
        </w:rPr>
        <w:t>2.3</w:t>
      </w:r>
      <w:r w:rsidR="002D280A" w:rsidRPr="00AC0A0C">
        <w:rPr>
          <w:bCs/>
          <w:sz w:val="24"/>
          <w:szCs w:val="32"/>
          <w:rtl/>
        </w:rPr>
        <w:tab/>
        <w:t>معالجة بطاقات التبليغ عن تخصيص</w:t>
      </w:r>
      <w:r w:rsidR="00EB5AB7" w:rsidRPr="00AC0A0C">
        <w:rPr>
          <w:rFonts w:hint="cs"/>
          <w:bCs/>
          <w:sz w:val="24"/>
          <w:szCs w:val="32"/>
          <w:rtl/>
        </w:rPr>
        <w:t>ات</w:t>
      </w:r>
      <w:r w:rsidR="002D280A" w:rsidRPr="00AC0A0C">
        <w:rPr>
          <w:bCs/>
          <w:sz w:val="24"/>
          <w:szCs w:val="32"/>
          <w:rtl/>
        </w:rPr>
        <w:t xml:space="preserve"> التردد لمحطات الإرسال والاستقبال التابعة للخدمات المخطط لها في النطاقات المقصودة في خطط تعيين الترددات</w:t>
      </w:r>
    </w:p>
    <w:p w14:paraId="02D26C9C" w14:textId="77777777" w:rsidR="002D280A" w:rsidRDefault="002D280A" w:rsidP="00CB0E8C">
      <w:pPr>
        <w:tabs>
          <w:tab w:val="clear" w:pos="794"/>
          <w:tab w:val="clear" w:pos="1191"/>
          <w:tab w:val="clear" w:pos="1588"/>
          <w:tab w:val="clear" w:pos="1985"/>
        </w:tabs>
        <w:spacing w:before="360"/>
        <w:rPr>
          <w:rtl/>
        </w:rPr>
      </w:pPr>
      <w:r>
        <w:rPr>
          <w:rtl/>
        </w:rPr>
        <w:t xml:space="preserve">إن معالجة بطاقات التبليغ عن تخصيصات التردد لمحطات الإرسال والاستقبال التابعة للخدمات المخطط لها في نطاقات التردد المقصودة في خطط تعيين الترددات (وهي النطاقات </w:t>
      </w:r>
      <w:r>
        <w:t>kHz 457-456</w:t>
      </w:r>
      <w:r>
        <w:rPr>
          <w:rtl/>
        </w:rPr>
        <w:t xml:space="preserve"> و</w:t>
      </w:r>
      <w:r>
        <w:t>kHz 460-459</w:t>
      </w:r>
      <w:r>
        <w:rPr>
          <w:rtl/>
        </w:rPr>
        <w:t xml:space="preserve"> و</w:t>
      </w:r>
      <w:r>
        <w:t xml:space="preserve"> kHz 1</w:t>
      </w:r>
      <w:r w:rsidR="00954A92">
        <w:rPr>
          <w:lang w:val="en-US"/>
        </w:rPr>
        <w:t> </w:t>
      </w:r>
      <w:r>
        <w:t>625-1</w:t>
      </w:r>
      <w:r w:rsidR="00954A92">
        <w:rPr>
          <w:lang w:val="en-US"/>
        </w:rPr>
        <w:t> </w:t>
      </w:r>
      <w:r>
        <w:t>621</w:t>
      </w:r>
      <w:r>
        <w:rPr>
          <w:rtl/>
        </w:rPr>
        <w:br/>
        <w:t>و</w:t>
      </w:r>
      <w:r>
        <w:t>kHz 2</w:t>
      </w:r>
      <w:r w:rsidR="00954A92">
        <w:rPr>
          <w:lang w:val="en-US"/>
        </w:rPr>
        <w:t> </w:t>
      </w:r>
      <w:r>
        <w:t>160-2</w:t>
      </w:r>
      <w:r w:rsidR="00954A92">
        <w:rPr>
          <w:lang w:val="en-US"/>
        </w:rPr>
        <w:t> </w:t>
      </w:r>
      <w:r>
        <w:t>156</w:t>
      </w:r>
      <w:r>
        <w:rPr>
          <w:rtl/>
        </w:rPr>
        <w:t xml:space="preserve">)، التي بلغت عنها الإدارات التي تعتبر أطرافاً في الاتفاق، تخضع لتفحص المطابقة مع خطة التعيين كما هي واردة في الملحق </w:t>
      </w:r>
      <w:r>
        <w:t>1</w:t>
      </w:r>
      <w:r>
        <w:rPr>
          <w:rtl/>
        </w:rPr>
        <w:t xml:space="preserve"> بالقرار  </w:t>
      </w:r>
      <w:r>
        <w:t>(MM)</w:t>
      </w:r>
      <w:r>
        <w:rPr>
          <w:rtl/>
        </w:rPr>
        <w:t xml:space="preserve"> </w:t>
      </w:r>
      <w:r w:rsidR="00CC6D6D">
        <w:t>5</w:t>
      </w:r>
      <w:r>
        <w:rPr>
          <w:rtl/>
        </w:rPr>
        <w:t>، مع مراعاة المعايير التالية:</w:t>
      </w:r>
    </w:p>
    <w:p w14:paraId="5D9D4E33" w14:textId="77777777" w:rsidR="002D280A" w:rsidRDefault="002D280A" w:rsidP="00712AC3">
      <w:pPr>
        <w:pStyle w:val="enumlev1"/>
        <w:spacing w:before="240"/>
        <w:rPr>
          <w:rtl/>
        </w:rPr>
      </w:pPr>
      <w:r>
        <w:rPr>
          <w:rFonts w:cs="Symbol"/>
          <w:szCs w:val="22"/>
        </w:rPr>
        <w:sym w:font="Symbol" w:char="F02D"/>
      </w:r>
      <w:r>
        <w:rPr>
          <w:rtl/>
        </w:rPr>
        <w:tab/>
        <w:t xml:space="preserve">يجب أن تتطابق أزواج الترددات المخصصة مع أزواج ترددات خطط التعيين الواردة في الملحقات بالقرار </w:t>
      </w:r>
      <w:r w:rsidR="005A1CDA">
        <w:rPr>
          <w:lang w:val="en-US"/>
        </w:rPr>
        <w:t>5 </w:t>
      </w:r>
      <w:r>
        <w:t>(MM)</w:t>
      </w:r>
      <w:r>
        <w:rPr>
          <w:rtl/>
        </w:rPr>
        <w:t>؛</w:t>
      </w:r>
    </w:p>
    <w:p w14:paraId="76CDD6D7" w14:textId="77777777" w:rsidR="002D280A" w:rsidRDefault="002D280A" w:rsidP="00712AC3">
      <w:pPr>
        <w:pStyle w:val="enumlev1"/>
        <w:spacing w:before="240"/>
        <w:rPr>
          <w:rtl/>
        </w:rPr>
      </w:pPr>
      <w:r>
        <w:rPr>
          <w:rFonts w:cs="Symbol"/>
          <w:szCs w:val="22"/>
        </w:rPr>
        <w:sym w:font="Symbol" w:char="F02D"/>
      </w:r>
      <w:r>
        <w:rPr>
          <w:rtl/>
        </w:rPr>
        <w:tab/>
        <w:t>يجب أن تقع الإحداثيات الجغرافية لمحطة الإرسال/الاستقبال في البلد المعني؛</w:t>
      </w:r>
    </w:p>
    <w:p w14:paraId="51B7DE8E" w14:textId="77777777" w:rsidR="002D280A" w:rsidRDefault="002D280A" w:rsidP="00712AC3">
      <w:pPr>
        <w:pStyle w:val="enumlev1"/>
        <w:spacing w:before="240"/>
        <w:rPr>
          <w:rtl/>
        </w:rPr>
      </w:pPr>
      <w:r>
        <w:rPr>
          <w:rFonts w:cs="Symbol"/>
          <w:szCs w:val="22"/>
        </w:rPr>
        <w:sym w:font="Symbol" w:char="F02D"/>
      </w:r>
      <w:r>
        <w:rPr>
          <w:rtl/>
        </w:rPr>
        <w:tab/>
        <w:t>يجب ألا</w:t>
      </w:r>
      <w:r w:rsidR="00CB0E8C">
        <w:rPr>
          <w:rFonts w:hint="cs"/>
          <w:rtl/>
        </w:rPr>
        <w:t>ّ</w:t>
      </w:r>
      <w:r>
        <w:rPr>
          <w:rtl/>
        </w:rPr>
        <w:t xml:space="preserve"> يتجاوز مدى الخدمة المبلغ عنه الحدود البالغة </w:t>
      </w:r>
      <w:r>
        <w:t>km 500</w:t>
      </w:r>
      <w:r>
        <w:rPr>
          <w:rtl/>
        </w:rPr>
        <w:t xml:space="preserve"> فيما يتعلق بالنطاق </w:t>
      </w:r>
      <w:r>
        <w:t>kHz 526,5</w:t>
      </w:r>
      <w:r>
        <w:rPr>
          <w:rFonts w:cs="Symbol"/>
          <w:szCs w:val="22"/>
        </w:rPr>
        <w:sym w:font="Symbol" w:char="F02D"/>
      </w:r>
      <w:r>
        <w:t>435</w:t>
      </w:r>
      <w:r w:rsidR="00CB0E8C">
        <w:rPr>
          <w:rFonts w:hint="cs"/>
          <w:rtl/>
        </w:rPr>
        <w:t>،</w:t>
      </w:r>
      <w:r>
        <w:rPr>
          <w:rtl/>
        </w:rPr>
        <w:t xml:space="preserve"> </w:t>
      </w:r>
      <w:r>
        <w:rPr>
          <w:rtl/>
        </w:rPr>
        <w:br/>
        <w:t>و</w:t>
      </w:r>
      <w:r>
        <w:t>km 400</w:t>
      </w:r>
      <w:r>
        <w:rPr>
          <w:rtl/>
        </w:rPr>
        <w:t xml:space="preserve"> فيما يتعلق بالنطاق </w:t>
      </w:r>
      <w:r>
        <w:t>kHz 2160</w:t>
      </w:r>
      <w:r>
        <w:rPr>
          <w:rFonts w:cs="Symbol"/>
          <w:szCs w:val="22"/>
        </w:rPr>
        <w:sym w:font="Symbol" w:char="F02D"/>
      </w:r>
      <w:r>
        <w:t>1606,5</w:t>
      </w:r>
      <w:r>
        <w:rPr>
          <w:rtl/>
        </w:rPr>
        <w:t xml:space="preserve"> (استعملت هذه الحدود أثناء وضع خطط تخصيصات التردد)؛</w:t>
      </w:r>
    </w:p>
    <w:p w14:paraId="15E1CF85" w14:textId="77777777" w:rsidR="002D280A" w:rsidRDefault="002D280A" w:rsidP="00712AC3">
      <w:pPr>
        <w:pStyle w:val="enumlev1"/>
        <w:spacing w:before="240"/>
        <w:rPr>
          <w:rtl/>
        </w:rPr>
      </w:pPr>
      <w:r>
        <w:rPr>
          <w:rFonts w:cs="Symbol"/>
          <w:szCs w:val="22"/>
        </w:rPr>
        <w:sym w:font="Symbol" w:char="F02D"/>
      </w:r>
      <w:r>
        <w:rPr>
          <w:rtl/>
        </w:rPr>
        <w:tab/>
        <w:t>يجب أن تكون طبيعة الخدمة المبل</w:t>
      </w:r>
      <w:r w:rsidR="00CB0E8C">
        <w:rPr>
          <w:rFonts w:hint="cs"/>
          <w:rtl/>
        </w:rPr>
        <w:t>ّ</w:t>
      </w:r>
      <w:r>
        <w:rPr>
          <w:rtl/>
        </w:rPr>
        <w:t xml:space="preserve">غ عنها </w:t>
      </w:r>
      <w:r>
        <w:t>CP</w:t>
      </w:r>
      <w:r>
        <w:rPr>
          <w:rtl/>
        </w:rPr>
        <w:t>؛</w:t>
      </w:r>
    </w:p>
    <w:p w14:paraId="12E2E44E" w14:textId="77777777" w:rsidR="002D280A" w:rsidRDefault="002D280A" w:rsidP="00712AC3">
      <w:pPr>
        <w:pStyle w:val="enumlev1"/>
        <w:spacing w:before="240"/>
        <w:rPr>
          <w:rtl/>
        </w:rPr>
      </w:pPr>
      <w:r>
        <w:rPr>
          <w:rFonts w:cs="Symbol"/>
          <w:szCs w:val="22"/>
        </w:rPr>
        <w:sym w:font="Symbol" w:char="F02D"/>
      </w:r>
      <w:r>
        <w:rPr>
          <w:rtl/>
        </w:rPr>
        <w:tab/>
        <w:t xml:space="preserve">يجب أن يكون صنف الإرسال المبلغ عنه </w:t>
      </w:r>
      <w:r>
        <w:t>F1B</w:t>
      </w:r>
      <w:r>
        <w:rPr>
          <w:rtl/>
        </w:rPr>
        <w:t xml:space="preserve"> أو </w:t>
      </w:r>
      <w:r>
        <w:t>J2B</w:t>
      </w:r>
      <w:r>
        <w:rPr>
          <w:rtl/>
        </w:rPr>
        <w:t>، ويجب أ</w:t>
      </w:r>
      <w:r w:rsidR="00D01190">
        <w:rPr>
          <w:rtl/>
        </w:rPr>
        <w:t>لا</w:t>
      </w:r>
      <w:r w:rsidR="00CB0E8C">
        <w:rPr>
          <w:rFonts w:hint="cs"/>
          <w:rtl/>
        </w:rPr>
        <w:t>ّ</w:t>
      </w:r>
      <w:r w:rsidR="00D01190">
        <w:rPr>
          <w:rtl/>
        </w:rPr>
        <w:t xml:space="preserve"> يتجاوز عرض النطاق المبلغ عنه</w:t>
      </w:r>
      <w:r w:rsidR="00D01190">
        <w:rPr>
          <w:rFonts w:hint="cs"/>
          <w:rtl/>
        </w:rPr>
        <w:t xml:space="preserve"> </w:t>
      </w:r>
      <w:r>
        <w:t>Hz 304</w:t>
      </w:r>
      <w:r>
        <w:rPr>
          <w:rtl/>
        </w:rPr>
        <w:t>.</w:t>
      </w:r>
    </w:p>
    <w:p w14:paraId="255D46A6" w14:textId="77777777" w:rsidR="002D280A" w:rsidRPr="00AC0A0C" w:rsidRDefault="008275F6" w:rsidP="00AC0A0C">
      <w:pPr>
        <w:pStyle w:val="Heading1"/>
        <w:tabs>
          <w:tab w:val="clear" w:pos="794"/>
          <w:tab w:val="clear" w:pos="1191"/>
          <w:tab w:val="clear" w:pos="1588"/>
          <w:tab w:val="clear" w:pos="1985"/>
        </w:tabs>
        <w:spacing w:before="480"/>
        <w:ind w:left="1134" w:hanging="1134"/>
        <w:rPr>
          <w:bCs/>
          <w:sz w:val="24"/>
          <w:szCs w:val="32"/>
          <w:rtl/>
        </w:rPr>
      </w:pPr>
      <w:r w:rsidRPr="00AC0A0C">
        <w:rPr>
          <w:bCs/>
          <w:sz w:val="24"/>
          <w:szCs w:val="32"/>
        </w:rPr>
        <w:t>3.3</w:t>
      </w:r>
      <w:r w:rsidR="002D280A" w:rsidRPr="00AC0A0C">
        <w:rPr>
          <w:bCs/>
          <w:sz w:val="24"/>
          <w:szCs w:val="32"/>
          <w:rtl/>
        </w:rPr>
        <w:tab/>
        <w:t>معالجة بطاقات التبليغ عن تخصيص التردد لمحطات الإرسال والاستقبال في الخدمات غير المخطط لها</w:t>
      </w:r>
    </w:p>
    <w:p w14:paraId="066C1EA2" w14:textId="77777777" w:rsidR="002D280A" w:rsidRDefault="002D280A" w:rsidP="00CB0E8C">
      <w:pPr>
        <w:tabs>
          <w:tab w:val="clear" w:pos="794"/>
          <w:tab w:val="clear" w:pos="1191"/>
          <w:tab w:val="clear" w:pos="1588"/>
          <w:tab w:val="clear" w:pos="1985"/>
        </w:tabs>
        <w:spacing w:before="360"/>
        <w:rPr>
          <w:rtl/>
        </w:rPr>
      </w:pPr>
      <w:r>
        <w:rPr>
          <w:rtl/>
        </w:rPr>
        <w:t xml:space="preserve">إن معالجة الإدارات التي تعتبر أطرافاً في الاتفاق لبطاقات التبليغ عن تخصيصات التردد لمحطات الإرسال والاستقبال </w:t>
      </w:r>
      <w:r w:rsidR="0093041D">
        <w:rPr>
          <w:rFonts w:hint="cs"/>
          <w:rtl/>
        </w:rPr>
        <w:br/>
      </w:r>
      <w:r>
        <w:rPr>
          <w:rtl/>
        </w:rPr>
        <w:t xml:space="preserve">في الخدمات غير المخطط لها، تتم وفقاً للإجراء الوارد في المادة </w:t>
      </w:r>
      <w:r>
        <w:t>6</w:t>
      </w:r>
      <w:r>
        <w:rPr>
          <w:rtl/>
        </w:rPr>
        <w:t xml:space="preserve"> من الاتفاق. وعند تحليل نتائج التفحص التقني </w:t>
      </w:r>
      <w:r w:rsidR="0093041D">
        <w:rPr>
          <w:rFonts w:hint="cs"/>
          <w:rtl/>
        </w:rPr>
        <w:br/>
      </w:r>
      <w:r>
        <w:rPr>
          <w:rtl/>
        </w:rPr>
        <w:t>المتعلق ببطاقات التبليغ الخاصة بالإدارات التي تعتبر أطرافاً في الاتفاق، تؤخذ في الاعتبار النتائج النهارية فقط (تستبعد الموجة الأيونوسفيرية).</w:t>
      </w:r>
    </w:p>
    <w:p w14:paraId="7CDFD589" w14:textId="77777777" w:rsidR="00727CEA" w:rsidRDefault="002D280A" w:rsidP="00712AC3">
      <w:pPr>
        <w:tabs>
          <w:tab w:val="clear" w:pos="794"/>
          <w:tab w:val="clear" w:pos="1191"/>
          <w:tab w:val="clear" w:pos="1588"/>
          <w:tab w:val="clear" w:pos="1985"/>
        </w:tabs>
        <w:spacing w:before="360"/>
        <w:jc w:val="center"/>
      </w:pPr>
      <w:r>
        <w:rPr>
          <w:rtl/>
        </w:rPr>
        <w:t>______________</w:t>
      </w:r>
    </w:p>
    <w:p w14:paraId="320FDAD0" w14:textId="77777777" w:rsidR="00576C1C" w:rsidRPr="002D280A" w:rsidRDefault="00576C1C" w:rsidP="00712AC3">
      <w:pPr>
        <w:tabs>
          <w:tab w:val="clear" w:pos="794"/>
          <w:tab w:val="clear" w:pos="1191"/>
          <w:tab w:val="clear" w:pos="1588"/>
          <w:tab w:val="clear" w:pos="1985"/>
        </w:tabs>
        <w:spacing w:before="360"/>
        <w:jc w:val="center"/>
        <w:rPr>
          <w:szCs w:val="22"/>
          <w:rtl/>
        </w:rPr>
      </w:pPr>
    </w:p>
    <w:sectPr w:rsidR="00576C1C" w:rsidRPr="002D280A" w:rsidSect="00727CEA">
      <w:headerReference w:type="even" r:id="rId7"/>
      <w:headerReference w:type="default" r:id="rId8"/>
      <w:footerReference w:type="first" r:id="rId9"/>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2DC8F3" w14:textId="77777777" w:rsidR="00AC0A0C" w:rsidRDefault="00AC0A0C">
      <w:r>
        <w:separator/>
      </w:r>
    </w:p>
  </w:endnote>
  <w:endnote w:type="continuationSeparator" w:id="0">
    <w:p w14:paraId="473CD68B" w14:textId="77777777" w:rsidR="00AC0A0C" w:rsidRDefault="00AC0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4DFF2" w14:textId="36C83EED" w:rsidR="00AC0A0C" w:rsidRDefault="007E58E9">
    <w:pPr>
      <w:pStyle w:val="Footer"/>
    </w:pPr>
    <w:r>
      <w:fldChar w:fldCharType="begin"/>
    </w:r>
    <w:r>
      <w:rPr>
        <w:rtl/>
      </w:rPr>
      <w:instrText xml:space="preserve"> </w:instrText>
    </w:r>
    <w:r>
      <w:instrText>FILENAME \p \* MERGEFORMAT</w:instrText>
    </w:r>
    <w:r>
      <w:rPr>
        <w:rtl/>
      </w:rPr>
      <w:instrText xml:space="preserve"> </w:instrText>
    </w:r>
    <w:r>
      <w:fldChar w:fldCharType="separate"/>
    </w:r>
    <w:r>
      <w:t>M:\COMP_PROD\ITU-R\2021\Publications\Regl_proc\Publication_Edition_2021_20-00968\A\word\35-A8-GE85-R1-a.docx</w:t>
    </w:r>
    <w:r>
      <w:fldChar w:fldCharType="end"/>
    </w:r>
    <w:r w:rsidR="00AC0A0C">
      <w:tab/>
    </w:r>
    <w:r w:rsidR="00AC0A0C">
      <w:fldChar w:fldCharType="begin"/>
    </w:r>
    <w:r w:rsidR="00AC0A0C">
      <w:instrText xml:space="preserve"> savedate \@ dd.MM.yy </w:instrText>
    </w:r>
    <w:r w:rsidR="00AC0A0C">
      <w:fldChar w:fldCharType="separate"/>
    </w:r>
    <w:r>
      <w:rPr>
        <w:rtl/>
      </w:rPr>
      <w:t>18.05.21</w:t>
    </w:r>
    <w:r w:rsidR="00AC0A0C">
      <w:fldChar w:fldCharType="end"/>
    </w:r>
    <w:r w:rsidR="00AC0A0C">
      <w:tab/>
    </w:r>
    <w:r w:rsidR="00AC0A0C">
      <w:fldChar w:fldCharType="begin"/>
    </w:r>
    <w:r w:rsidR="00AC0A0C">
      <w:instrText xml:space="preserve"> printdate \@ dd.MM.yy </w:instrText>
    </w:r>
    <w:r w:rsidR="00AC0A0C">
      <w:fldChar w:fldCharType="separate"/>
    </w:r>
    <w:r>
      <w:rPr>
        <w:rtl/>
      </w:rPr>
      <w:t>18.05.21</w:t>
    </w:r>
    <w:r w:rsidR="00AC0A0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4A22B9" w14:textId="77777777" w:rsidR="00AC0A0C" w:rsidRDefault="00AC0A0C">
      <w:r>
        <w:t>____________________</w:t>
      </w:r>
    </w:p>
  </w:footnote>
  <w:footnote w:type="continuationSeparator" w:id="0">
    <w:p w14:paraId="5CEFEDEC" w14:textId="77777777" w:rsidR="00AC0A0C" w:rsidRDefault="00AC0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AC0A0C" w:rsidRPr="00D01190" w14:paraId="53CAD7BE" w14:textId="77777777">
      <w:tc>
        <w:tcPr>
          <w:tcW w:w="1701" w:type="dxa"/>
        </w:tcPr>
        <w:p w14:paraId="7B6A1433" w14:textId="77777777" w:rsidR="00AC0A0C" w:rsidRPr="00913BF7" w:rsidRDefault="00AC0A0C" w:rsidP="0093125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8A</w:t>
          </w:r>
        </w:p>
      </w:tc>
      <w:tc>
        <w:tcPr>
          <w:tcW w:w="1701" w:type="dxa"/>
        </w:tcPr>
        <w:p w14:paraId="2F95EE20" w14:textId="77777777" w:rsidR="00AC0A0C" w:rsidRPr="00D01190" w:rsidRDefault="00AC0A0C" w:rsidP="00931252">
          <w:pPr>
            <w:pStyle w:val="Header"/>
            <w:spacing w:before="40" w:after="40" w:line="280" w:lineRule="exact"/>
            <w:jc w:val="left"/>
            <w:rPr>
              <w:sz w:val="21"/>
              <w:szCs w:val="28"/>
              <w:lang w:val="en-US"/>
            </w:rPr>
          </w:pPr>
          <w:r>
            <w:rPr>
              <w:sz w:val="21"/>
              <w:szCs w:val="28"/>
              <w:lang w:val="en-US"/>
            </w:rPr>
            <w:t>GE85-R1</w:t>
          </w:r>
        </w:p>
      </w:tc>
      <w:tc>
        <w:tcPr>
          <w:tcW w:w="1701" w:type="dxa"/>
        </w:tcPr>
        <w:p w14:paraId="25DD165F" w14:textId="77777777" w:rsidR="00AC0A0C" w:rsidRPr="000F2A0B" w:rsidRDefault="00AC0A0C" w:rsidP="0093125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573759">
            <w:rPr>
              <w:rStyle w:val="PageNumber"/>
              <w:noProof/>
              <w:sz w:val="21"/>
              <w:szCs w:val="21"/>
              <w:rtl/>
            </w:rPr>
            <w:t>2</w:t>
          </w:r>
          <w:r w:rsidRPr="000F2A0B">
            <w:rPr>
              <w:rStyle w:val="PageNumber"/>
              <w:sz w:val="21"/>
              <w:szCs w:val="21"/>
            </w:rPr>
            <w:fldChar w:fldCharType="end"/>
          </w:r>
        </w:p>
      </w:tc>
      <w:tc>
        <w:tcPr>
          <w:tcW w:w="1701" w:type="dxa"/>
        </w:tcPr>
        <w:p w14:paraId="2DAFFEB3" w14:textId="77777777" w:rsidR="00AC0A0C" w:rsidRPr="000F2A0B" w:rsidRDefault="00AC0A0C" w:rsidP="00931252">
          <w:pPr>
            <w:pStyle w:val="Header"/>
            <w:spacing w:before="40" w:after="40" w:line="280" w:lineRule="exact"/>
            <w:jc w:val="left"/>
            <w:rPr>
              <w:sz w:val="21"/>
              <w:szCs w:val="28"/>
              <w:rtl/>
            </w:rPr>
          </w:pPr>
          <w:r w:rsidRPr="000F2A0B">
            <w:rPr>
              <w:rFonts w:hint="cs"/>
              <w:sz w:val="21"/>
              <w:szCs w:val="28"/>
              <w:rtl/>
            </w:rPr>
            <w:t>المراجعة -</w:t>
          </w:r>
        </w:p>
      </w:tc>
    </w:tr>
  </w:tbl>
  <w:p w14:paraId="27C36F23" w14:textId="77777777" w:rsidR="00AC0A0C" w:rsidRPr="007358FA" w:rsidRDefault="00AC0A0C"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AC0A0C" w:rsidRPr="000F2A0B" w14:paraId="21A75F38" w14:textId="77777777">
      <w:trPr>
        <w:jc w:val="right"/>
      </w:trPr>
      <w:tc>
        <w:tcPr>
          <w:tcW w:w="1701" w:type="dxa"/>
        </w:tcPr>
        <w:p w14:paraId="71F20088" w14:textId="77777777" w:rsidR="00AC0A0C" w:rsidRPr="00913BF7" w:rsidRDefault="00AC0A0C" w:rsidP="0093125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8A</w:t>
          </w:r>
        </w:p>
      </w:tc>
      <w:tc>
        <w:tcPr>
          <w:tcW w:w="1701" w:type="dxa"/>
        </w:tcPr>
        <w:p w14:paraId="6C0B5C5C" w14:textId="77777777" w:rsidR="00AC0A0C" w:rsidRPr="00D01190" w:rsidRDefault="00AC0A0C" w:rsidP="00931252">
          <w:pPr>
            <w:pStyle w:val="Header"/>
            <w:spacing w:before="40" w:after="40" w:line="280" w:lineRule="exact"/>
            <w:jc w:val="left"/>
            <w:rPr>
              <w:sz w:val="21"/>
              <w:szCs w:val="28"/>
              <w:lang w:val="en-US"/>
            </w:rPr>
          </w:pPr>
          <w:r>
            <w:rPr>
              <w:sz w:val="21"/>
              <w:szCs w:val="28"/>
              <w:lang w:val="en-US"/>
            </w:rPr>
            <w:t>GE85-R1</w:t>
          </w:r>
        </w:p>
      </w:tc>
      <w:tc>
        <w:tcPr>
          <w:tcW w:w="1701" w:type="dxa"/>
        </w:tcPr>
        <w:p w14:paraId="0AE3387A" w14:textId="77777777" w:rsidR="00AC0A0C" w:rsidRPr="000F2A0B" w:rsidRDefault="00AC0A0C" w:rsidP="0093125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573759">
            <w:rPr>
              <w:rStyle w:val="PageNumber"/>
              <w:noProof/>
              <w:sz w:val="21"/>
              <w:szCs w:val="21"/>
              <w:rtl/>
            </w:rPr>
            <w:t>1</w:t>
          </w:r>
          <w:r w:rsidRPr="000F2A0B">
            <w:rPr>
              <w:rStyle w:val="PageNumber"/>
              <w:sz w:val="21"/>
              <w:szCs w:val="21"/>
            </w:rPr>
            <w:fldChar w:fldCharType="end"/>
          </w:r>
        </w:p>
      </w:tc>
      <w:tc>
        <w:tcPr>
          <w:tcW w:w="1701" w:type="dxa"/>
        </w:tcPr>
        <w:p w14:paraId="49FA47F5" w14:textId="77777777" w:rsidR="00AC0A0C" w:rsidRPr="000F2A0B" w:rsidRDefault="00AC0A0C" w:rsidP="00931252">
          <w:pPr>
            <w:pStyle w:val="Header"/>
            <w:spacing w:before="40" w:after="40" w:line="280" w:lineRule="exact"/>
            <w:jc w:val="left"/>
            <w:rPr>
              <w:sz w:val="21"/>
              <w:szCs w:val="28"/>
              <w:rtl/>
            </w:rPr>
          </w:pPr>
          <w:r w:rsidRPr="000F2A0B">
            <w:rPr>
              <w:rFonts w:hint="cs"/>
              <w:sz w:val="21"/>
              <w:szCs w:val="28"/>
              <w:rtl/>
            </w:rPr>
            <w:t>المراجعة -</w:t>
          </w:r>
        </w:p>
      </w:tc>
    </w:tr>
  </w:tbl>
  <w:p w14:paraId="2CFC9953" w14:textId="77777777" w:rsidR="00AC0A0C" w:rsidRPr="007358FA" w:rsidRDefault="00AC0A0C">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33A5E"/>
    <w:rsid w:val="00041E07"/>
    <w:rsid w:val="00066880"/>
    <w:rsid w:val="00090FA0"/>
    <w:rsid w:val="000F2A0B"/>
    <w:rsid w:val="001139B6"/>
    <w:rsid w:val="001147B6"/>
    <w:rsid w:val="00124EF6"/>
    <w:rsid w:val="00130C60"/>
    <w:rsid w:val="001655FE"/>
    <w:rsid w:val="001C60B3"/>
    <w:rsid w:val="001E7124"/>
    <w:rsid w:val="0020710C"/>
    <w:rsid w:val="0022401E"/>
    <w:rsid w:val="002301AE"/>
    <w:rsid w:val="002466FF"/>
    <w:rsid w:val="002631B1"/>
    <w:rsid w:val="002723C3"/>
    <w:rsid w:val="002C0904"/>
    <w:rsid w:val="002C4B8F"/>
    <w:rsid w:val="002C55F4"/>
    <w:rsid w:val="002D280A"/>
    <w:rsid w:val="002D6D41"/>
    <w:rsid w:val="00310B40"/>
    <w:rsid w:val="00342F79"/>
    <w:rsid w:val="00360881"/>
    <w:rsid w:val="004036A6"/>
    <w:rsid w:val="00433E7A"/>
    <w:rsid w:val="0044702B"/>
    <w:rsid w:val="004562AB"/>
    <w:rsid w:val="00463414"/>
    <w:rsid w:val="00510FF7"/>
    <w:rsid w:val="0055056E"/>
    <w:rsid w:val="00573759"/>
    <w:rsid w:val="00576C1C"/>
    <w:rsid w:val="0058398B"/>
    <w:rsid w:val="005A1CDA"/>
    <w:rsid w:val="005D7396"/>
    <w:rsid w:val="0066056C"/>
    <w:rsid w:val="006A69F5"/>
    <w:rsid w:val="006B3E33"/>
    <w:rsid w:val="006B42DC"/>
    <w:rsid w:val="006B5D10"/>
    <w:rsid w:val="006C1EF7"/>
    <w:rsid w:val="006F39B0"/>
    <w:rsid w:val="00712AC3"/>
    <w:rsid w:val="00727CEA"/>
    <w:rsid w:val="007358FA"/>
    <w:rsid w:val="007460F7"/>
    <w:rsid w:val="00770B96"/>
    <w:rsid w:val="0078123B"/>
    <w:rsid w:val="007C0E4E"/>
    <w:rsid w:val="007E58E9"/>
    <w:rsid w:val="008275F6"/>
    <w:rsid w:val="00831AAF"/>
    <w:rsid w:val="00867AB1"/>
    <w:rsid w:val="00885EC1"/>
    <w:rsid w:val="008B0B84"/>
    <w:rsid w:val="008B631A"/>
    <w:rsid w:val="008E220B"/>
    <w:rsid w:val="00913BF7"/>
    <w:rsid w:val="009158D2"/>
    <w:rsid w:val="0093041D"/>
    <w:rsid w:val="00931252"/>
    <w:rsid w:val="00945265"/>
    <w:rsid w:val="00954A92"/>
    <w:rsid w:val="00957E83"/>
    <w:rsid w:val="00993C1C"/>
    <w:rsid w:val="009D72F4"/>
    <w:rsid w:val="009F171D"/>
    <w:rsid w:val="00A0604B"/>
    <w:rsid w:val="00A56547"/>
    <w:rsid w:val="00A64B91"/>
    <w:rsid w:val="00A7482F"/>
    <w:rsid w:val="00AC0A0C"/>
    <w:rsid w:val="00AC41A3"/>
    <w:rsid w:val="00AD269C"/>
    <w:rsid w:val="00AF44BC"/>
    <w:rsid w:val="00B0263D"/>
    <w:rsid w:val="00B10079"/>
    <w:rsid w:val="00B765E7"/>
    <w:rsid w:val="00BB51C2"/>
    <w:rsid w:val="00BE0D0E"/>
    <w:rsid w:val="00BE6F91"/>
    <w:rsid w:val="00BF3BC8"/>
    <w:rsid w:val="00C12122"/>
    <w:rsid w:val="00CA31BF"/>
    <w:rsid w:val="00CA4B7C"/>
    <w:rsid w:val="00CB0E8C"/>
    <w:rsid w:val="00CC6D6D"/>
    <w:rsid w:val="00CD2416"/>
    <w:rsid w:val="00CD2902"/>
    <w:rsid w:val="00D01190"/>
    <w:rsid w:val="00DA2E52"/>
    <w:rsid w:val="00DE66AC"/>
    <w:rsid w:val="00DE6CD7"/>
    <w:rsid w:val="00DF5487"/>
    <w:rsid w:val="00E003AC"/>
    <w:rsid w:val="00E03822"/>
    <w:rsid w:val="00E36E29"/>
    <w:rsid w:val="00E40169"/>
    <w:rsid w:val="00E7261D"/>
    <w:rsid w:val="00EB4871"/>
    <w:rsid w:val="00EB5AB7"/>
    <w:rsid w:val="00EB7F8D"/>
    <w:rsid w:val="00EC59CD"/>
    <w:rsid w:val="00F01292"/>
    <w:rsid w:val="00F419C1"/>
    <w:rsid w:val="00F6061F"/>
    <w:rsid w:val="00FB4DC8"/>
    <w:rsid w:val="00FC2518"/>
    <w:rsid w:val="00FE3641"/>
    <w:rsid w:val="00FF0908"/>
    <w:rsid w:val="00FF310D"/>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013F0"/>
  <w15:docId w15:val="{7021B192-5C66-4C68-BC41-254A9B5C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E36E29"/>
    <w:pPr>
      <w:spacing w:before="8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D280A"/>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32</TotalTime>
  <Pages>4</Pages>
  <Words>1244</Words>
  <Characters>7095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19</cp:revision>
  <cp:lastPrinted>2021-05-18T11:42:00Z</cp:lastPrinted>
  <dcterms:created xsi:type="dcterms:W3CDTF">2012-09-07T13:12:00Z</dcterms:created>
  <dcterms:modified xsi:type="dcterms:W3CDTF">2021-05-18T11:43:00Z</dcterms:modified>
</cp:coreProperties>
</file>