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020A2" w14:textId="77777777" w:rsidR="00CC4D22" w:rsidRPr="0004050E" w:rsidRDefault="00CC4D22" w:rsidP="0004050E">
      <w:pPr>
        <w:pStyle w:val="Heading1"/>
        <w:spacing w:before="300"/>
        <w:jc w:val="center"/>
        <w:rPr>
          <w:lang w:val="es-ES_tradnl"/>
        </w:rPr>
      </w:pPr>
      <w:proofErr w:type="gramStart"/>
      <w:r w:rsidRPr="0004050E">
        <w:rPr>
          <w:lang w:val="es-ES_tradnl"/>
        </w:rPr>
        <w:t xml:space="preserve">PARTE  </w:t>
      </w:r>
      <w:r w:rsidRPr="0004050E">
        <w:rPr>
          <w:rStyle w:val="href"/>
          <w:lang w:val="es-ES_tradnl"/>
        </w:rPr>
        <w:t>A</w:t>
      </w:r>
      <w:proofErr w:type="gramEnd"/>
      <w:r w:rsidRPr="0004050E">
        <w:rPr>
          <w:rStyle w:val="href"/>
          <w:lang w:val="es-ES_tradnl"/>
        </w:rPr>
        <w:t>9</w:t>
      </w:r>
    </w:p>
    <w:p w14:paraId="34A0C842" w14:textId="6D77EE7B" w:rsidR="00CC4D22" w:rsidRPr="0004050E" w:rsidRDefault="00CC4D22" w:rsidP="0004050E">
      <w:pPr>
        <w:pStyle w:val="Heading1"/>
        <w:ind w:left="0" w:firstLine="0"/>
        <w:jc w:val="center"/>
        <w:rPr>
          <w:lang w:val="es-ES_tradnl"/>
        </w:rPr>
      </w:pPr>
      <w:r w:rsidRPr="0004050E">
        <w:rPr>
          <w:lang w:val="es-ES_tradnl"/>
        </w:rPr>
        <w:t>Reglas relativas al Acuerdo Regional para la planificación</w:t>
      </w:r>
      <w:r w:rsidR="000009F2">
        <w:rPr>
          <w:lang w:val="es-ES_tradnl"/>
        </w:rPr>
        <w:br/>
      </w:r>
      <w:r w:rsidRPr="0004050E">
        <w:rPr>
          <w:lang w:val="es-ES_tradnl"/>
        </w:rPr>
        <w:t>del</w:t>
      </w:r>
      <w:r w:rsidR="000009F2">
        <w:rPr>
          <w:lang w:val="es-ES_tradnl"/>
        </w:rPr>
        <w:t xml:space="preserve"> </w:t>
      </w:r>
      <w:r w:rsidRPr="0004050E">
        <w:rPr>
          <w:lang w:val="es-ES_tradnl"/>
        </w:rPr>
        <w:t>servicio</w:t>
      </w:r>
      <w:r w:rsidR="0004050E" w:rsidRPr="0004050E">
        <w:rPr>
          <w:lang w:val="es-ES_tradnl"/>
        </w:rPr>
        <w:t xml:space="preserve"> </w:t>
      </w:r>
      <w:r w:rsidRPr="0004050E">
        <w:rPr>
          <w:lang w:val="es-ES_tradnl"/>
        </w:rPr>
        <w:t>de radionavegación marítima (radiofaros)</w:t>
      </w:r>
      <w:r w:rsidR="000009F2">
        <w:rPr>
          <w:lang w:val="es-ES_tradnl"/>
        </w:rPr>
        <w:br/>
      </w:r>
      <w:r w:rsidRPr="0004050E">
        <w:rPr>
          <w:lang w:val="es-ES_tradnl"/>
        </w:rPr>
        <w:t>en la</w:t>
      </w:r>
      <w:r w:rsidR="000009F2">
        <w:rPr>
          <w:lang w:val="es-ES_tradnl"/>
        </w:rPr>
        <w:t xml:space="preserve"> </w:t>
      </w:r>
      <w:r w:rsidRPr="0004050E">
        <w:rPr>
          <w:lang w:val="es-ES_tradnl"/>
        </w:rPr>
        <w:t>Zona Marítima</w:t>
      </w:r>
      <w:r w:rsidR="0004050E" w:rsidRPr="0004050E">
        <w:rPr>
          <w:lang w:val="es-ES_tradnl"/>
        </w:rPr>
        <w:t xml:space="preserve"> </w:t>
      </w:r>
      <w:r w:rsidRPr="0004050E">
        <w:rPr>
          <w:lang w:val="es-ES_tradnl"/>
        </w:rPr>
        <w:t>Europea</w:t>
      </w:r>
      <w:r w:rsidR="000009F2">
        <w:rPr>
          <w:lang w:val="es-ES_tradnl"/>
        </w:rPr>
        <w:br/>
      </w:r>
      <w:r w:rsidRPr="0004050E">
        <w:rPr>
          <w:lang w:val="es-ES_tradnl"/>
        </w:rPr>
        <w:t>(Ginebra, 1985) (</w:t>
      </w:r>
      <w:r w:rsidRPr="0004050E">
        <w:rPr>
          <w:rStyle w:val="href2"/>
          <w:lang w:val="es-ES_tradnl"/>
        </w:rPr>
        <w:t>GE85-EMA</w:t>
      </w:r>
      <w:r w:rsidRPr="0004050E">
        <w:rPr>
          <w:lang w:val="es-ES_tradnl"/>
        </w:rPr>
        <w:t>)</w:t>
      </w:r>
    </w:p>
    <w:p w14:paraId="172F6AEA" w14:textId="77777777" w:rsidR="00CC4D22" w:rsidRPr="0004050E" w:rsidRDefault="00CC4D22">
      <w:pPr>
        <w:pStyle w:val="Heading1"/>
        <w:rPr>
          <w:lang w:val="es-ES_tradnl"/>
        </w:rPr>
      </w:pPr>
      <w:r w:rsidRPr="0004050E">
        <w:rPr>
          <w:lang w:val="es-ES_tradnl"/>
        </w:rPr>
        <w:t>1</w:t>
      </w:r>
      <w:r w:rsidRPr="0004050E">
        <w:rPr>
          <w:lang w:val="es-ES_tradnl"/>
        </w:rPr>
        <w:tab/>
      </w:r>
      <w:proofErr w:type="gramStart"/>
      <w:r w:rsidRPr="0004050E">
        <w:rPr>
          <w:lang w:val="es-ES_tradnl"/>
        </w:rPr>
        <w:t>Situación</w:t>
      </w:r>
      <w:proofErr w:type="gramEnd"/>
      <w:r w:rsidRPr="0004050E">
        <w:rPr>
          <w:lang w:val="es-ES_tradnl"/>
        </w:rPr>
        <w:t xml:space="preserve"> de las administraciones con respecto al Acuerdo</w:t>
      </w:r>
    </w:p>
    <w:p w14:paraId="11254BCF" w14:textId="77777777" w:rsidR="00CC4D22" w:rsidRPr="0004050E" w:rsidRDefault="00CC4D22" w:rsidP="0004050E">
      <w:pPr>
        <w:rPr>
          <w:lang w:val="es-ES_tradnl"/>
        </w:rPr>
      </w:pPr>
      <w:r w:rsidRPr="0004050E">
        <w:rPr>
          <w:lang w:val="es-ES_tradnl"/>
        </w:rPr>
        <w:t>1.1</w:t>
      </w:r>
      <w:r w:rsidRPr="0004050E">
        <w:rPr>
          <w:lang w:val="es-ES_tradnl"/>
        </w:rPr>
        <w:tab/>
        <w:t>En el periodo de transición que medió entre el establecimiento del Acuerdo (13 de marzo de 1985) y su entrada en vigor (1 de abril de 1992), y tras consultar a las admi</w:t>
      </w:r>
      <w:r w:rsidR="0004050E" w:rsidRPr="0004050E">
        <w:rPr>
          <w:lang w:val="es-ES_tradnl"/>
        </w:rPr>
        <w:softHyphen/>
      </w:r>
      <w:r w:rsidRPr="0004050E">
        <w:rPr>
          <w:lang w:val="es-ES_tradnl"/>
        </w:rPr>
        <w:t xml:space="preserve">nistraciones de los países situados en la Zona Marítima Europea, la Junta introdujo y utilizó el concepto de </w:t>
      </w:r>
      <w:r w:rsidRPr="00337A98">
        <w:rPr>
          <w:i/>
          <w:iCs/>
          <w:lang w:val="es-ES_tradnl"/>
        </w:rPr>
        <w:t>«Partes en el Acuerdo»</w:t>
      </w:r>
      <w:r w:rsidRPr="0004050E">
        <w:rPr>
          <w:lang w:val="es-ES_tradnl"/>
        </w:rPr>
        <w:t xml:space="preserve"> para los fines de la aplicación de los procedimientos y criterios técnicos conexos establecidos en los Artículos 4, 5 y 6 del Acuerdo GE85-EMA, que rigen toda modificación al Plan y la notificación, el examen y el registro de notificaciones de asignación de frecuencia a estaciones en los servicios planificados (radionavegación marítima) o no planificados (radionavegación aeronáutica). Se consideró que las </w:t>
      </w:r>
      <w:r w:rsidRPr="00337A98">
        <w:rPr>
          <w:i/>
          <w:iCs/>
          <w:lang w:val="es-ES_tradnl"/>
        </w:rPr>
        <w:t>«Partes en el Acuerdo</w:t>
      </w:r>
      <w:r w:rsidR="0004050E" w:rsidRPr="00337A98">
        <w:rPr>
          <w:i/>
          <w:iCs/>
          <w:lang w:val="es-ES_tradnl"/>
        </w:rPr>
        <w:t xml:space="preserve"> </w:t>
      </w:r>
      <w:r w:rsidRPr="00337A98">
        <w:rPr>
          <w:i/>
          <w:iCs/>
          <w:lang w:val="es-ES_tradnl"/>
        </w:rPr>
        <w:t>GE85-EMA»</w:t>
      </w:r>
      <w:r w:rsidRPr="0004050E">
        <w:rPr>
          <w:lang w:val="es-ES_tradnl"/>
        </w:rPr>
        <w:t xml:space="preserve"> eran todas las administraciones que tienen territorios en la zona de planificación (es decir, la Zona Marítima Europea) que no se oponían a este concepto. Las no partes en el Acuerdo eran aquellas administraciones que declararon oficialmente que no deseaban ser consideradas </w:t>
      </w:r>
      <w:r w:rsidRPr="00337A98">
        <w:rPr>
          <w:i/>
          <w:iCs/>
          <w:lang w:val="es-ES_tradnl"/>
        </w:rPr>
        <w:t>«Partes en el Acuerdo»</w:t>
      </w:r>
      <w:r w:rsidRPr="0004050E">
        <w:rPr>
          <w:lang w:val="es-ES_tradnl"/>
        </w:rPr>
        <w:t xml:space="preserve"> así como las administraciones no partici</w:t>
      </w:r>
      <w:r w:rsidR="0004050E" w:rsidRPr="0004050E">
        <w:rPr>
          <w:lang w:val="es-ES_tradnl"/>
        </w:rPr>
        <w:softHyphen/>
      </w:r>
      <w:r w:rsidRPr="0004050E">
        <w:rPr>
          <w:lang w:val="es-ES_tradnl"/>
        </w:rPr>
        <w:t xml:space="preserve">pantes sin asignaciones en el Plan que no habían declarado oficialmente su intención de convertirse en </w:t>
      </w:r>
      <w:r w:rsidRPr="00337A98">
        <w:rPr>
          <w:i/>
          <w:iCs/>
          <w:lang w:val="es-ES_tradnl"/>
        </w:rPr>
        <w:t>«Partes en el Acuerdo»</w:t>
      </w:r>
      <w:r w:rsidRPr="0004050E">
        <w:rPr>
          <w:lang w:val="es-ES_tradnl"/>
        </w:rPr>
        <w:t>.</w:t>
      </w:r>
    </w:p>
    <w:p w14:paraId="5ED9EB89" w14:textId="77777777" w:rsidR="00CC4D22" w:rsidRPr="0004050E" w:rsidRDefault="00CC4D22">
      <w:pPr>
        <w:rPr>
          <w:lang w:val="es-ES_tradnl"/>
        </w:rPr>
      </w:pPr>
      <w:r w:rsidRPr="0004050E">
        <w:rPr>
          <w:lang w:val="es-ES_tradnl"/>
        </w:rPr>
        <w:t>1.2</w:t>
      </w:r>
      <w:r w:rsidRPr="0004050E">
        <w:rPr>
          <w:lang w:val="es-ES_tradnl"/>
        </w:rPr>
        <w:tab/>
        <w:t>Tras la entrada en vigor del Acuerdo, y a la espera de nuevas consultas con las administraciones interesadas, la Junta decidió mantener este concepto. Por consiguiente, la Oficina considerará partes en el Acuerdo GE85-EMA a todas las administraciones que tienen territorios dentro de la Zona Marítima Europea, excepto las siguientes: AND, BIH, BLR, CVA, IRQ, ISL, LIE, LUX, MDA, MKD, SMR, SUI y SVN, que se considerarán no partes en el Acuerdo hasta que se adhieran oficialmente al mismo.</w:t>
      </w:r>
    </w:p>
    <w:p w14:paraId="692DCE78" w14:textId="77777777" w:rsidR="00CC4D22" w:rsidRPr="0004050E" w:rsidRDefault="00CC4D22" w:rsidP="00A144D1">
      <w:pPr>
        <w:pStyle w:val="Heading1"/>
        <w:rPr>
          <w:smallCaps/>
          <w:lang w:val="es-ES_tradnl"/>
        </w:rPr>
      </w:pPr>
      <w:r w:rsidRPr="0004050E">
        <w:rPr>
          <w:lang w:val="es-ES_tradnl"/>
        </w:rPr>
        <w:t>2</w:t>
      </w:r>
      <w:r w:rsidRPr="0004050E">
        <w:rPr>
          <w:lang w:val="es-ES_tradnl"/>
        </w:rPr>
        <w:tab/>
      </w:r>
      <w:proofErr w:type="gramStart"/>
      <w:r w:rsidRPr="0004050E">
        <w:rPr>
          <w:lang w:val="es-ES_tradnl"/>
        </w:rPr>
        <w:t>Aplicación</w:t>
      </w:r>
      <w:proofErr w:type="gramEnd"/>
      <w:r w:rsidRPr="0004050E">
        <w:rPr>
          <w:lang w:val="es-ES_tradnl"/>
        </w:rPr>
        <w:t xml:space="preserve"> del número </w:t>
      </w:r>
      <w:r w:rsidRPr="0004050E">
        <w:rPr>
          <w:rStyle w:val="Artref"/>
          <w:color w:val="000000"/>
          <w:lang w:val="es-ES_tradnl"/>
        </w:rPr>
        <w:t>5.73</w:t>
      </w:r>
      <w:r w:rsidRPr="0004050E">
        <w:rPr>
          <w:lang w:val="es-ES_tradnl"/>
        </w:rPr>
        <w:t xml:space="preserve"> y de la Resolución </w:t>
      </w:r>
      <w:r w:rsidRPr="0004050E">
        <w:rPr>
          <w:rStyle w:val="Resref"/>
          <w:color w:val="000000"/>
          <w:lang w:val="es-ES_tradnl"/>
        </w:rPr>
        <w:t>602 (Mob-87)</w:t>
      </w:r>
      <w:r w:rsidR="00D8634D">
        <w:rPr>
          <w:rStyle w:val="FootnoteReference"/>
          <w:color w:val="000000"/>
          <w:lang w:val="es-ES_tradnl"/>
        </w:rPr>
        <w:footnoteReference w:id="1"/>
      </w:r>
      <w:r w:rsidRPr="0004050E">
        <w:rPr>
          <w:lang w:val="es-ES_tradnl"/>
        </w:rPr>
        <w:t xml:space="preserve"> en el contexto del Acuerdo GE85-EMA</w:t>
      </w:r>
    </w:p>
    <w:p w14:paraId="1D56BA6C" w14:textId="40688C1D" w:rsidR="00CC4D22" w:rsidRDefault="00CC4D22" w:rsidP="0004050E">
      <w:pPr>
        <w:rPr>
          <w:lang w:val="es-ES_tradnl"/>
        </w:rPr>
      </w:pPr>
      <w:r w:rsidRPr="0004050E">
        <w:rPr>
          <w:lang w:val="es-ES_tradnl"/>
        </w:rPr>
        <w:t>2.1</w:t>
      </w:r>
      <w:r w:rsidRPr="0004050E">
        <w:rPr>
          <w:lang w:val="es-ES_tradnl"/>
        </w:rPr>
        <w:tab/>
        <w:t xml:space="preserve">De acuerdo con las decisiones de la Conferencia Administrativa Regional para la planificación del servicio de radionavegación marítima (radiofaros) en la Zona Marítima Europea (Ginebra, 1985) (en adelante CARR GE85-EMA, Ginebra, 1985), y a fin de poder tratar las notificaciones sometidas con arreglo a la Resolución 1 de dicha Conferencia, la Junta preparó la Regla de Procedimiento provisional </w:t>
      </w:r>
      <w:proofErr w:type="spellStart"/>
      <w:r w:rsidRPr="0004050E">
        <w:rPr>
          <w:lang w:val="es-ES_tradnl"/>
        </w:rPr>
        <w:t>N.°</w:t>
      </w:r>
      <w:proofErr w:type="spellEnd"/>
      <w:r w:rsidRPr="0004050E">
        <w:rPr>
          <w:lang w:val="es-ES_tradnl"/>
        </w:rPr>
        <w:t> H42 sobre la aplicación por las administraciones que son partes en el Acuerdo y por la ex IFRB del procedimiento transitorio establecido en el Anexo a la Resolución 1 (EMA) durante el periodo previo a la entrada en vigor del Acuerdo (1</w:t>
      </w:r>
      <w:r w:rsidR="0004050E" w:rsidRPr="0004050E">
        <w:rPr>
          <w:lang w:val="es-ES_tradnl"/>
        </w:rPr>
        <w:t> </w:t>
      </w:r>
      <w:r w:rsidRPr="0004050E">
        <w:rPr>
          <w:lang w:val="es-ES_tradnl"/>
        </w:rPr>
        <w:t>de abril de</w:t>
      </w:r>
      <w:r w:rsidR="0004050E" w:rsidRPr="0004050E">
        <w:rPr>
          <w:lang w:val="es-ES_tradnl"/>
        </w:rPr>
        <w:t> </w:t>
      </w:r>
      <w:r w:rsidRPr="0004050E">
        <w:rPr>
          <w:lang w:val="es-ES_tradnl"/>
        </w:rPr>
        <w:t>1992).</w:t>
      </w:r>
    </w:p>
    <w:p w14:paraId="233A7922" w14:textId="6BB08ACD" w:rsidR="00CC4D22" w:rsidRPr="0004050E" w:rsidRDefault="00CC4D22" w:rsidP="0004050E">
      <w:pPr>
        <w:rPr>
          <w:lang w:val="es-ES_tradnl"/>
        </w:rPr>
      </w:pPr>
      <w:r w:rsidRPr="0004050E">
        <w:rPr>
          <w:lang w:val="es-ES_tradnl"/>
        </w:rPr>
        <w:lastRenderedPageBreak/>
        <w:t>2.2</w:t>
      </w:r>
      <w:r w:rsidRPr="0004050E">
        <w:rPr>
          <w:lang w:val="es-ES_tradnl"/>
        </w:rPr>
        <w:tab/>
        <w:t xml:space="preserve">Tras la publicación de la Regla </w:t>
      </w:r>
      <w:proofErr w:type="spellStart"/>
      <w:r w:rsidRPr="0004050E">
        <w:rPr>
          <w:lang w:val="es-ES_tradnl"/>
        </w:rPr>
        <w:t>N.°</w:t>
      </w:r>
      <w:proofErr w:type="spellEnd"/>
      <w:r w:rsidR="000009F2">
        <w:rPr>
          <w:lang w:val="es-ES_tradnl"/>
        </w:rPr>
        <w:t> </w:t>
      </w:r>
      <w:r w:rsidRPr="0004050E">
        <w:rPr>
          <w:lang w:val="es-ES_tradnl"/>
        </w:rPr>
        <w:t>H42 (véase la Carta circular N</w:t>
      </w:r>
      <w:r w:rsidR="0004050E" w:rsidRPr="0004050E">
        <w:rPr>
          <w:lang w:val="es-ES_tradnl"/>
        </w:rPr>
        <w:t>.</w:t>
      </w:r>
      <w:r w:rsidR="0004050E" w:rsidRPr="0004050E">
        <w:rPr>
          <w:rFonts w:ascii="Symbol" w:hAnsi="Symbol"/>
          <w:lang w:val="es-ES_tradnl"/>
        </w:rPr>
        <w:t></w:t>
      </w:r>
      <w:r w:rsidR="0004050E" w:rsidRPr="0004050E">
        <w:rPr>
          <w:lang w:val="es-ES_tradnl"/>
        </w:rPr>
        <w:t> </w:t>
      </w:r>
      <w:r w:rsidRPr="0004050E">
        <w:rPr>
          <w:lang w:val="es-ES_tradnl"/>
        </w:rPr>
        <w:t>828 de la ex IFRB del 5</w:t>
      </w:r>
      <w:r w:rsidR="0004050E" w:rsidRPr="0004050E">
        <w:rPr>
          <w:lang w:val="es-ES_tradnl"/>
        </w:rPr>
        <w:t xml:space="preserve"> </w:t>
      </w:r>
      <w:r w:rsidRPr="0004050E">
        <w:rPr>
          <w:lang w:val="es-ES_tradnl"/>
        </w:rPr>
        <w:t>de julio de 1990), varias administraciones indicaron que proyectaban utilizar los radiofaros marítimos en esta banda para la transmisión de datos náuticos suplementarios a los barcos, incluidas las correcciones diferenciales de otros sistemas de radionavegación (por ejemplo, Omega, GPS, Loran</w:t>
      </w:r>
      <w:r w:rsidR="0004050E" w:rsidRPr="0004050E">
        <w:rPr>
          <w:lang w:val="es-ES_tradnl"/>
        </w:rPr>
        <w:noBreakHyphen/>
      </w:r>
      <w:r w:rsidRPr="0004050E">
        <w:rPr>
          <w:lang w:val="es-ES_tradnl"/>
        </w:rPr>
        <w:t>C).</w:t>
      </w:r>
    </w:p>
    <w:p w14:paraId="1545D429" w14:textId="77777777" w:rsidR="00CC4D22" w:rsidRPr="0004050E" w:rsidRDefault="00CC4D22" w:rsidP="00D8634D">
      <w:pPr>
        <w:rPr>
          <w:lang w:val="es-ES_tradnl"/>
        </w:rPr>
      </w:pPr>
      <w:r w:rsidRPr="0004050E">
        <w:rPr>
          <w:lang w:val="es-ES_tradnl"/>
        </w:rPr>
        <w:t>2.3</w:t>
      </w:r>
      <w:r w:rsidRPr="0004050E">
        <w:rPr>
          <w:lang w:val="es-ES_tradnl"/>
        </w:rPr>
        <w:tab/>
        <w:t>La Junta reexaminó el asunto teniendo particularmente presente las disposiciones del número</w:t>
      </w:r>
      <w:r w:rsidR="0004050E" w:rsidRPr="0004050E">
        <w:rPr>
          <w:lang w:val="es-ES_tradnl"/>
        </w:rPr>
        <w:t xml:space="preserve"> </w:t>
      </w:r>
      <w:r w:rsidRPr="0004050E">
        <w:rPr>
          <w:rStyle w:val="Artref"/>
          <w:b/>
          <w:bCs/>
          <w:color w:val="000000"/>
          <w:lang w:val="es-ES_tradnl"/>
        </w:rPr>
        <w:t>5.73</w:t>
      </w:r>
      <w:r w:rsidRPr="0004050E">
        <w:rPr>
          <w:rStyle w:val="Artref0"/>
          <w:b/>
          <w:lang w:val="es-ES_tradnl"/>
        </w:rPr>
        <w:t xml:space="preserve"> </w:t>
      </w:r>
      <w:r w:rsidRPr="0004050E">
        <w:rPr>
          <w:rStyle w:val="Artref0"/>
          <w:lang w:val="es-ES_tradnl"/>
        </w:rPr>
        <w:t>del RR</w:t>
      </w:r>
      <w:r w:rsidRPr="0004050E">
        <w:rPr>
          <w:lang w:val="es-ES_tradnl"/>
        </w:rPr>
        <w:t xml:space="preserve">, la Resolución </w:t>
      </w:r>
      <w:r w:rsidRPr="0004050E">
        <w:rPr>
          <w:rStyle w:val="Resref"/>
          <w:b/>
          <w:bCs/>
          <w:color w:val="000000"/>
          <w:lang w:val="es-ES_tradnl"/>
        </w:rPr>
        <w:t>602 (Mob-87)</w:t>
      </w:r>
      <w:r w:rsidR="00D8634D">
        <w:rPr>
          <w:rStyle w:val="FootnoteReference"/>
        </w:rPr>
        <w:footnoteRef/>
      </w:r>
      <w:r w:rsidRPr="0004050E">
        <w:rPr>
          <w:lang w:val="es-ES_tradnl"/>
        </w:rPr>
        <w:t xml:space="preserve">, y la </w:t>
      </w:r>
      <w:r w:rsidRPr="0004050E">
        <w:rPr>
          <w:iCs/>
          <w:lang w:val="es-ES_tradnl"/>
        </w:rPr>
        <w:t>Nota</w:t>
      </w:r>
      <w:r w:rsidR="0004050E" w:rsidRPr="0004050E">
        <w:rPr>
          <w:iCs/>
          <w:lang w:val="es-ES_tradnl"/>
        </w:rPr>
        <w:t xml:space="preserve"> </w:t>
      </w:r>
      <w:r w:rsidRPr="0004050E">
        <w:rPr>
          <w:iCs/>
          <w:lang w:val="es-ES_tradnl"/>
        </w:rPr>
        <w:t>2</w:t>
      </w:r>
      <w:r w:rsidRPr="0004050E">
        <w:rPr>
          <w:lang w:val="es-ES_tradnl"/>
        </w:rPr>
        <w:t xml:space="preserve"> del Anexo 1 al Acuerdo Regional. La Regla N.</w:t>
      </w:r>
      <w:r w:rsidR="0004050E" w:rsidRPr="0004050E">
        <w:rPr>
          <w:rFonts w:ascii="Symbol" w:hAnsi="Symbol"/>
          <w:lang w:val="es-ES_tradnl"/>
        </w:rPr>
        <w:t></w:t>
      </w:r>
      <w:r w:rsidR="0004050E" w:rsidRPr="0004050E">
        <w:rPr>
          <w:lang w:val="es-ES_tradnl"/>
        </w:rPr>
        <w:t> </w:t>
      </w:r>
      <w:r w:rsidRPr="0004050E">
        <w:rPr>
          <w:lang w:val="es-ES_tradnl"/>
        </w:rPr>
        <w:t>H42(Rev.) fue publicada en la Carta circular N.</w:t>
      </w:r>
      <w:r w:rsidR="0004050E" w:rsidRPr="0004050E">
        <w:rPr>
          <w:rFonts w:ascii="Symbol" w:hAnsi="Symbol"/>
          <w:lang w:val="es-ES_tradnl"/>
        </w:rPr>
        <w:t></w:t>
      </w:r>
      <w:r w:rsidR="0004050E" w:rsidRPr="0004050E">
        <w:rPr>
          <w:lang w:val="es-ES_tradnl"/>
        </w:rPr>
        <w:t> </w:t>
      </w:r>
      <w:r w:rsidRPr="0004050E">
        <w:rPr>
          <w:lang w:val="es-ES_tradnl"/>
        </w:rPr>
        <w:t>913 de la ex</w:t>
      </w:r>
      <w:r w:rsidR="0004050E" w:rsidRPr="0004050E">
        <w:rPr>
          <w:lang w:val="es-ES_tradnl"/>
        </w:rPr>
        <w:t> </w:t>
      </w:r>
      <w:r w:rsidRPr="0004050E">
        <w:rPr>
          <w:lang w:val="es-ES_tradnl"/>
        </w:rPr>
        <w:t>IFRB de</w:t>
      </w:r>
      <w:r w:rsidR="0004050E" w:rsidRPr="0004050E">
        <w:rPr>
          <w:lang w:val="es-ES_tradnl"/>
        </w:rPr>
        <w:t>l</w:t>
      </w:r>
      <w:r w:rsidRPr="0004050E">
        <w:rPr>
          <w:lang w:val="es-ES_tradnl"/>
        </w:rPr>
        <w:t xml:space="preserve"> 30</w:t>
      </w:r>
      <w:r w:rsidR="0004050E" w:rsidRPr="0004050E">
        <w:rPr>
          <w:lang w:val="es-ES_tradnl"/>
        </w:rPr>
        <w:t xml:space="preserve"> </w:t>
      </w:r>
      <w:r w:rsidRPr="0004050E">
        <w:rPr>
          <w:lang w:val="es-ES_tradnl"/>
        </w:rPr>
        <w:t>de</w:t>
      </w:r>
      <w:r w:rsidR="0004050E" w:rsidRPr="0004050E">
        <w:rPr>
          <w:lang w:val="es-ES_tradnl"/>
        </w:rPr>
        <w:t xml:space="preserve"> </w:t>
      </w:r>
      <w:r w:rsidRPr="0004050E">
        <w:rPr>
          <w:lang w:val="es-ES_tradnl"/>
        </w:rPr>
        <w:t>septiembre de 1992 sobre esta cuestión. No hubo oposición al enfoque propuesto, por lo que la Junta decidió mantenerlo (véase también la Parte A1 de las Reglas de Proce</w:t>
      </w:r>
      <w:r w:rsidR="0004050E" w:rsidRPr="0004050E">
        <w:rPr>
          <w:lang w:val="es-ES_tradnl"/>
        </w:rPr>
        <w:softHyphen/>
      </w:r>
      <w:r w:rsidRPr="0004050E">
        <w:rPr>
          <w:lang w:val="es-ES_tradnl"/>
        </w:rPr>
        <w:t>dimiento sobre la aplicación del número </w:t>
      </w:r>
      <w:r w:rsidRPr="0004050E">
        <w:rPr>
          <w:rStyle w:val="Artref"/>
          <w:b/>
          <w:bCs/>
          <w:color w:val="000000"/>
          <w:lang w:val="es-ES_tradnl"/>
        </w:rPr>
        <w:t>5.73</w:t>
      </w:r>
      <w:r w:rsidRPr="0004050E">
        <w:rPr>
          <w:lang w:val="es-ES_tradnl"/>
        </w:rPr>
        <w:t>).</w:t>
      </w:r>
      <w:r w:rsidR="00D8634D" w:rsidRPr="00D8634D">
        <w:rPr>
          <w:rStyle w:val="FootnoteReference"/>
          <w:b/>
          <w:bCs/>
          <w:color w:val="FFFFFF" w:themeColor="background1"/>
          <w:lang w:val="es-ES_tradnl"/>
        </w:rPr>
        <w:footnoteReference w:id="2"/>
      </w:r>
    </w:p>
    <w:p w14:paraId="32E8F553" w14:textId="77777777" w:rsidR="00CC4D22" w:rsidRPr="0004050E" w:rsidRDefault="00CC4D22" w:rsidP="0004050E">
      <w:pPr>
        <w:pStyle w:val="Heading1"/>
        <w:rPr>
          <w:lang w:val="es-ES_tradnl"/>
        </w:rPr>
      </w:pPr>
      <w:r w:rsidRPr="0004050E">
        <w:rPr>
          <w:lang w:val="es-ES_tradnl"/>
        </w:rPr>
        <w:t>3</w:t>
      </w:r>
      <w:r w:rsidRPr="0004050E">
        <w:rPr>
          <w:lang w:val="es-ES_tradnl"/>
        </w:rPr>
        <w:tab/>
      </w:r>
      <w:proofErr w:type="gramStart"/>
      <w:r w:rsidRPr="0004050E">
        <w:rPr>
          <w:lang w:val="es-ES_tradnl"/>
        </w:rPr>
        <w:t>Tramitación</w:t>
      </w:r>
      <w:proofErr w:type="gramEnd"/>
      <w:r w:rsidRPr="0004050E">
        <w:rPr>
          <w:lang w:val="es-ES_tradnl"/>
        </w:rPr>
        <w:t xml:space="preserve"> de las notificaciones de asignaciones de frecuencia relativas a estaciones de radiofaro en el servicio de radionave</w:t>
      </w:r>
      <w:r w:rsidRPr="0004050E">
        <w:rPr>
          <w:lang w:val="es-ES_tradnl"/>
        </w:rPr>
        <w:softHyphen/>
        <w:t>gación marítima procedentes de administraciones consideradas Partes en el Acuerdo (Artículo 5 del Acuerdo)</w:t>
      </w:r>
    </w:p>
    <w:p w14:paraId="2E182F1F" w14:textId="4B1DCC31" w:rsidR="00CC4D22" w:rsidRPr="0004050E" w:rsidRDefault="00CC4D22">
      <w:pPr>
        <w:rPr>
          <w:lang w:val="es-ES_tradnl"/>
        </w:rPr>
      </w:pPr>
      <w:r w:rsidRPr="0004050E">
        <w:rPr>
          <w:lang w:val="es-ES_tradnl"/>
        </w:rPr>
        <w:t>Las notificaciones de asignaciones de frecuencia relativas a estaciones de radiofaro en el servicio de radionavegación marítima en la banda de frecuencias 283,5-315</w:t>
      </w:r>
      <w:r w:rsidR="000009F2">
        <w:rPr>
          <w:lang w:val="es-ES_tradnl"/>
        </w:rPr>
        <w:t> </w:t>
      </w:r>
      <w:r w:rsidRPr="0004050E">
        <w:rPr>
          <w:lang w:val="es-ES_tradnl"/>
        </w:rPr>
        <w:t>kHz, situadas en la Zona Marítima Europea y notificadas por administraciones consideradas partes en el Acuerdo, serán sometidas a los siguientes exámenes:</w:t>
      </w:r>
    </w:p>
    <w:p w14:paraId="70D4740D" w14:textId="77777777" w:rsidR="00CC4D22" w:rsidRPr="0004050E" w:rsidRDefault="00CC4D22" w:rsidP="0004050E">
      <w:pPr>
        <w:pStyle w:val="Heading2"/>
        <w:rPr>
          <w:lang w:val="es-ES_tradnl"/>
        </w:rPr>
      </w:pPr>
      <w:r w:rsidRPr="0004050E">
        <w:rPr>
          <w:lang w:val="es-ES_tradnl"/>
        </w:rPr>
        <w:t>3.1</w:t>
      </w:r>
      <w:r w:rsidRPr="0004050E">
        <w:rPr>
          <w:lang w:val="es-ES_tradnl"/>
        </w:rPr>
        <w:tab/>
        <w:t>Examen desde el punto de vista reglamentario (número</w:t>
      </w:r>
      <w:r w:rsidR="0004050E" w:rsidRPr="0004050E">
        <w:rPr>
          <w:lang w:val="es-ES_tradnl"/>
        </w:rPr>
        <w:t xml:space="preserve"> </w:t>
      </w:r>
      <w:r w:rsidRPr="0004050E">
        <w:rPr>
          <w:rStyle w:val="Artref0"/>
          <w:lang w:val="es-ES_tradnl"/>
        </w:rPr>
        <w:t>11.31</w:t>
      </w:r>
      <w:r w:rsidRPr="0004050E">
        <w:rPr>
          <w:lang w:val="es-ES_tradnl"/>
        </w:rPr>
        <w:t xml:space="preserve"> y disposiciones conexas)</w:t>
      </w:r>
    </w:p>
    <w:p w14:paraId="217514FB" w14:textId="77777777" w:rsidR="00CC4D22" w:rsidRPr="0004050E" w:rsidRDefault="00CC4D22">
      <w:pPr>
        <w:rPr>
          <w:lang w:val="es-ES_tradnl"/>
        </w:rPr>
      </w:pPr>
      <w:r w:rsidRPr="0004050E">
        <w:rPr>
          <w:lang w:val="es-ES_tradnl"/>
        </w:rPr>
        <w:t>El examen reglamentario de estas notificaciones consistirá en verificar su conformidad con el Cuadro de atribución de bandas de frecuencias, incluida la verificación de si la notificación está relacionada con una estación de radiofaro.</w:t>
      </w:r>
    </w:p>
    <w:p w14:paraId="23B29735" w14:textId="77777777" w:rsidR="00CC4D22" w:rsidRPr="0004050E" w:rsidRDefault="00CC4D22">
      <w:pPr>
        <w:pStyle w:val="Heading2"/>
        <w:rPr>
          <w:lang w:val="es-ES_tradnl"/>
        </w:rPr>
      </w:pPr>
      <w:r w:rsidRPr="0004050E">
        <w:rPr>
          <w:lang w:val="es-ES_tradnl"/>
        </w:rPr>
        <w:t>3.2</w:t>
      </w:r>
      <w:r w:rsidRPr="0004050E">
        <w:rPr>
          <w:lang w:val="es-ES_tradnl"/>
        </w:rPr>
        <w:tab/>
        <w:t>Examen desde el punto de vista de la conformidad con el Acuerdo</w:t>
      </w:r>
    </w:p>
    <w:p w14:paraId="155FA4AC" w14:textId="77777777" w:rsidR="00CC4D22" w:rsidRPr="0004050E" w:rsidRDefault="00CC4D22">
      <w:pPr>
        <w:rPr>
          <w:lang w:val="es-ES_tradnl"/>
        </w:rPr>
      </w:pPr>
      <w:r w:rsidRPr="0004050E">
        <w:rPr>
          <w:lang w:val="es-ES_tradnl"/>
        </w:rPr>
        <w:t>El examen desde el punto de vista de la conformidad con el Plan deberá basarse en una verificación de todos los datos contenidos en el Plan.</w:t>
      </w:r>
    </w:p>
    <w:p w14:paraId="113D1ADA" w14:textId="77777777" w:rsidR="00CC4D22" w:rsidRDefault="00CC4D22" w:rsidP="0004050E">
      <w:pPr>
        <w:tabs>
          <w:tab w:val="left" w:pos="720"/>
          <w:tab w:val="left" w:pos="1440"/>
          <w:tab w:val="left" w:pos="2160"/>
          <w:tab w:val="left" w:pos="2880"/>
          <w:tab w:val="left" w:pos="3600"/>
          <w:tab w:val="left" w:pos="5328"/>
          <w:tab w:val="left" w:pos="7920"/>
        </w:tabs>
        <w:spacing w:before="360"/>
        <w:rPr>
          <w:lang w:val="es-ES_tradnl"/>
        </w:rPr>
      </w:pPr>
      <w:r w:rsidRPr="0004050E">
        <w:rPr>
          <w:lang w:val="es-ES_tradnl"/>
        </w:rPr>
        <w:t xml:space="preserve">Dado que la </w:t>
      </w:r>
      <w:r w:rsidRPr="0004050E">
        <w:rPr>
          <w:iCs/>
          <w:lang w:val="es-ES_tradnl"/>
        </w:rPr>
        <w:t>Nota 2</w:t>
      </w:r>
      <w:r w:rsidRPr="0004050E">
        <w:rPr>
          <w:i/>
          <w:lang w:val="es-ES_tradnl"/>
        </w:rPr>
        <w:t xml:space="preserve"> </w:t>
      </w:r>
      <w:r w:rsidRPr="0004050E">
        <w:rPr>
          <w:lang w:val="es-ES_tradnl"/>
        </w:rPr>
        <w:t xml:space="preserve">del Anexo 1 del Acuerdo GE85-EMA aclara que </w:t>
      </w:r>
      <w:r w:rsidRPr="009D7CEB">
        <w:rPr>
          <w:i/>
          <w:iCs/>
          <w:lang w:val="es-ES_tradnl"/>
        </w:rPr>
        <w:t>«los parámetros técnicos prevén también las emisiones que utilizan A1A y F1B al mismo tiempo»</w:t>
      </w:r>
      <w:r w:rsidRPr="0004050E">
        <w:rPr>
          <w:lang w:val="es-ES_tradnl"/>
        </w:rPr>
        <w:t>, se considerará que la asignación de frecuencia es conforme con el Acuerdo cuando se notifiquen estas dos clases de emisión (por ejemplo, A1A y F1B) y la anchura de banda notificada no exceda de 500</w:t>
      </w:r>
      <w:r w:rsidR="0004050E" w:rsidRPr="0004050E">
        <w:rPr>
          <w:lang w:val="es-ES_tradnl"/>
        </w:rPr>
        <w:t> </w:t>
      </w:r>
      <w:r w:rsidRPr="0004050E">
        <w:rPr>
          <w:lang w:val="es-ES_tradnl"/>
        </w:rPr>
        <w:t>Hz. Además, habida cuenta de los resultados de los estudios efectuados en las Comisiones de Estudio de Radiocomunicaciones de conformidad con la Resolución 3 (EMA), la Junta decidió que la clase de emisión G1D (es decir, la clase de emisión correspondiente a las técnicas de modulación por desplazamiento mínimo (MDM)) será también aceptable.</w:t>
      </w:r>
    </w:p>
    <w:p w14:paraId="703BD1CB" w14:textId="77777777" w:rsidR="00CC4D22" w:rsidRPr="0004050E" w:rsidRDefault="00CC4D22">
      <w:pPr>
        <w:pStyle w:val="Heading1"/>
        <w:rPr>
          <w:lang w:val="es-ES_tradnl"/>
        </w:rPr>
      </w:pPr>
      <w:r w:rsidRPr="0004050E">
        <w:rPr>
          <w:lang w:val="es-ES_tradnl"/>
        </w:rPr>
        <w:lastRenderedPageBreak/>
        <w:t>4</w:t>
      </w:r>
      <w:r w:rsidRPr="0004050E">
        <w:rPr>
          <w:lang w:val="es-ES_tradnl"/>
        </w:rPr>
        <w:tab/>
      </w:r>
      <w:proofErr w:type="gramStart"/>
      <w:r w:rsidRPr="0004050E">
        <w:rPr>
          <w:lang w:val="es-ES_tradnl"/>
        </w:rPr>
        <w:t>Tramitación</w:t>
      </w:r>
      <w:proofErr w:type="gramEnd"/>
      <w:r w:rsidRPr="0004050E">
        <w:rPr>
          <w:lang w:val="es-ES_tradnl"/>
        </w:rPr>
        <w:t xml:space="preserve"> de las notificaciones destinadas a modificaciones del Plan regido por el Acuerdo GE85-EMA (Artículo 4 del Acuerdo)</w:t>
      </w:r>
    </w:p>
    <w:p w14:paraId="41EC4637" w14:textId="77777777" w:rsidR="00CC4D22" w:rsidRPr="0004050E" w:rsidRDefault="00CC4D22">
      <w:pPr>
        <w:rPr>
          <w:lang w:val="es-ES_tradnl"/>
        </w:rPr>
      </w:pPr>
      <w:r w:rsidRPr="0004050E">
        <w:rPr>
          <w:lang w:val="es-ES_tradnl"/>
        </w:rPr>
        <w:t>4.1</w:t>
      </w:r>
      <w:r w:rsidRPr="0004050E">
        <w:rPr>
          <w:lang w:val="es-ES_tradnl"/>
        </w:rPr>
        <w:tab/>
        <w:t>Se considerarán admisibles las modificaciones de Plan procedentes de aquellas administraciones que son partes en el Acuerdo (véase el § 1.2 supra), a condición de que las estaciones de que se trate se encuentren dentro de la Zona Marítima Europea.</w:t>
      </w:r>
    </w:p>
    <w:p w14:paraId="204E945C" w14:textId="77777777" w:rsidR="00CC4D22" w:rsidRPr="0004050E" w:rsidRDefault="00CC4D22">
      <w:pPr>
        <w:rPr>
          <w:lang w:val="es-ES_tradnl"/>
        </w:rPr>
      </w:pPr>
      <w:r w:rsidRPr="0004050E">
        <w:rPr>
          <w:lang w:val="es-ES_tradnl"/>
        </w:rPr>
        <w:t>4.2</w:t>
      </w:r>
      <w:r w:rsidRPr="0004050E">
        <w:rPr>
          <w:lang w:val="es-ES_tradnl"/>
        </w:rPr>
        <w:tab/>
        <w:t>En la tramitación de las notificaciones destinadas a modificar el Plan se seguirán los siguientes procedimientos:</w:t>
      </w:r>
    </w:p>
    <w:p w14:paraId="019E41E0" w14:textId="77777777" w:rsidR="00CC4D22" w:rsidRPr="0004050E" w:rsidRDefault="00CC4D22" w:rsidP="0004050E">
      <w:pPr>
        <w:pStyle w:val="enumlev1"/>
        <w:ind w:left="0" w:firstLine="0"/>
        <w:rPr>
          <w:lang w:val="es-ES_tradnl"/>
        </w:rPr>
      </w:pPr>
      <w:r w:rsidRPr="0004050E">
        <w:rPr>
          <w:lang w:val="es-ES_tradnl"/>
        </w:rPr>
        <w:t>4.2.1</w:t>
      </w:r>
      <w:r w:rsidRPr="0004050E">
        <w:rPr>
          <w:lang w:val="es-ES_tradnl"/>
        </w:rPr>
        <w:tab/>
        <w:t>Los principios técnicos que se utilizarán en el procedimiento para modificar el Plan serán los contenidos en los Anexos 2 y 3 al Acuerdo GE85</w:t>
      </w:r>
      <w:r w:rsidR="0004050E" w:rsidRPr="0004050E">
        <w:rPr>
          <w:lang w:val="es-ES_tradnl"/>
        </w:rPr>
        <w:noBreakHyphen/>
      </w:r>
      <w:r w:rsidRPr="0004050E">
        <w:rPr>
          <w:lang w:val="es-ES_tradnl"/>
        </w:rPr>
        <w:t>EMA. Se usará con tal fin el programa informatizado empleado en la CARR GE85</w:t>
      </w:r>
      <w:r w:rsidR="0004050E" w:rsidRPr="0004050E">
        <w:rPr>
          <w:lang w:val="es-ES_tradnl"/>
        </w:rPr>
        <w:noBreakHyphen/>
      </w:r>
      <w:r w:rsidRPr="0004050E">
        <w:rPr>
          <w:lang w:val="es-ES_tradnl"/>
        </w:rPr>
        <w:t>EMA debidamente modificado para tener en cuenta las líneas costeras digitalizadas.</w:t>
      </w:r>
    </w:p>
    <w:p w14:paraId="2F51E78C" w14:textId="77777777" w:rsidR="00CC4D22" w:rsidRPr="0004050E" w:rsidRDefault="00CC4D22">
      <w:pPr>
        <w:pStyle w:val="enumlev1"/>
        <w:ind w:left="0" w:firstLine="0"/>
        <w:rPr>
          <w:lang w:val="es-ES_tradnl"/>
        </w:rPr>
      </w:pPr>
      <w:r w:rsidRPr="0004050E">
        <w:rPr>
          <w:lang w:val="es-ES_tradnl"/>
        </w:rPr>
        <w:t>4.2.2</w:t>
      </w:r>
      <w:r w:rsidRPr="0004050E">
        <w:rPr>
          <w:lang w:val="es-ES_tradnl"/>
        </w:rPr>
        <w:tab/>
        <w:t>Para determinar la conformidad con los principios técnicos del Acuerdo se verificarán los siguientes puntos:</w:t>
      </w:r>
    </w:p>
    <w:p w14:paraId="742CB009" w14:textId="77777777" w:rsidR="00CC4D22" w:rsidRPr="0004050E" w:rsidRDefault="00CC4D22" w:rsidP="0004050E">
      <w:pPr>
        <w:pStyle w:val="enumlev1"/>
        <w:rPr>
          <w:lang w:val="es-ES_tradnl"/>
        </w:rPr>
      </w:pPr>
      <w:r w:rsidRPr="0004050E">
        <w:rPr>
          <w:lang w:val="es-ES_tradnl"/>
        </w:rPr>
        <w:t>–</w:t>
      </w:r>
      <w:r w:rsidRPr="0004050E">
        <w:rPr>
          <w:lang w:val="es-ES_tradnl"/>
        </w:rPr>
        <w:tab/>
        <w:t>conformidad de la frecuencia asignada con la disposición de canales contenida en el Anexo 2 al Acuerdo GE85</w:t>
      </w:r>
      <w:r w:rsidR="0004050E" w:rsidRPr="0004050E">
        <w:rPr>
          <w:lang w:val="es-ES_tradnl"/>
        </w:rPr>
        <w:noBreakHyphen/>
      </w:r>
      <w:r w:rsidRPr="0004050E">
        <w:rPr>
          <w:lang w:val="es-ES_tradnl"/>
        </w:rPr>
        <w:t>EMA; sin embargo, la Oficina no aplicará las disposiciones de la Nota</w:t>
      </w:r>
      <w:r w:rsidR="0004050E" w:rsidRPr="0004050E">
        <w:rPr>
          <w:lang w:val="es-ES_tradnl"/>
        </w:rPr>
        <w:t> </w:t>
      </w:r>
      <w:r w:rsidRPr="0004050E">
        <w:rPr>
          <w:lang w:val="es-ES_tradnl"/>
        </w:rPr>
        <w:t>1 de ese Anexo;</w:t>
      </w:r>
    </w:p>
    <w:p w14:paraId="716A4E3A" w14:textId="77777777" w:rsidR="00CC4D22" w:rsidRPr="0004050E" w:rsidRDefault="00CC4D22" w:rsidP="0004050E">
      <w:pPr>
        <w:pStyle w:val="enumlev1"/>
        <w:rPr>
          <w:lang w:val="es-ES_tradnl"/>
        </w:rPr>
      </w:pPr>
      <w:r w:rsidRPr="0004050E">
        <w:rPr>
          <w:lang w:val="es-ES_tradnl"/>
        </w:rPr>
        <w:t>–</w:t>
      </w:r>
      <w:r w:rsidRPr="0004050E">
        <w:rPr>
          <w:lang w:val="es-ES_tradnl"/>
        </w:rPr>
        <w:tab/>
        <w:t>conformidad de la clase de emisión y anchura de banda notificadas con los valores admisibles (A1A, F1B, G1D; hasta e incluso 500</w:t>
      </w:r>
      <w:r w:rsidR="0004050E" w:rsidRPr="0004050E">
        <w:rPr>
          <w:lang w:val="es-ES_tradnl"/>
        </w:rPr>
        <w:t> </w:t>
      </w:r>
      <w:r w:rsidRPr="0004050E">
        <w:rPr>
          <w:lang w:val="es-ES_tradnl"/>
        </w:rPr>
        <w:t>Hz);</w:t>
      </w:r>
    </w:p>
    <w:p w14:paraId="16480088" w14:textId="77777777" w:rsidR="00CC4D22" w:rsidRPr="0004050E" w:rsidRDefault="00CC4D22">
      <w:pPr>
        <w:pStyle w:val="enumlev1"/>
        <w:rPr>
          <w:lang w:val="es-ES_tradnl"/>
        </w:rPr>
      </w:pPr>
      <w:r w:rsidRPr="0004050E">
        <w:rPr>
          <w:lang w:val="es-ES_tradnl"/>
        </w:rPr>
        <w:t>–</w:t>
      </w:r>
      <w:r w:rsidRPr="0004050E">
        <w:rPr>
          <w:lang w:val="es-ES_tradnl"/>
        </w:rPr>
        <w:tab/>
        <w:t>conformidad del alcance del servicio notificado con los límites establecidos en la Conferencia.</w:t>
      </w:r>
    </w:p>
    <w:p w14:paraId="634925D0" w14:textId="77777777" w:rsidR="00CC4D22" w:rsidRPr="0004050E" w:rsidRDefault="00CC4D22">
      <w:pPr>
        <w:rPr>
          <w:lang w:val="es-ES_tradnl"/>
        </w:rPr>
      </w:pPr>
      <w:r w:rsidRPr="0004050E">
        <w:rPr>
          <w:lang w:val="es-ES_tradnl"/>
        </w:rPr>
        <w:t>Las administraciones deberán notificar sólo el alcance del servicio requerido, que sirve de base para determinar el valor de potencia necesario para garantizar la mínima intensidad de campo en el borde de la zona de servicio. A la administración que notifique un alcance del servicio superior a 280 km se le pedirá que lo reduzca a un valor inferior a 280 km, puesto que en los criterios de propagación utilizados para preparar el Plan no se tuvo en cuenta la onda ionosférica, que sin embargo se produce durante la noche y puede causar errores de marcación a largas distancias (véase la Nota 1 en el Anexo 1 a las Actas Finales).</w:t>
      </w:r>
    </w:p>
    <w:p w14:paraId="083C968D" w14:textId="77777777" w:rsidR="00CC4D22" w:rsidRPr="0004050E" w:rsidRDefault="00CC4D22">
      <w:pPr>
        <w:rPr>
          <w:lang w:val="es-ES_tradnl"/>
        </w:rPr>
      </w:pPr>
      <w:r w:rsidRPr="0004050E">
        <w:rPr>
          <w:lang w:val="es-ES_tradnl"/>
        </w:rPr>
        <w:t>4.3</w:t>
      </w:r>
      <w:r w:rsidRPr="0004050E">
        <w:rPr>
          <w:lang w:val="es-ES_tradnl"/>
        </w:rPr>
        <w:tab/>
        <w:t>Al realizar los exámenes para identificar las administraciones cuyas asignaciones pueden resultar afectadas por una modificación del Plan, se utilizarán los siguientes criterios:</w:t>
      </w:r>
    </w:p>
    <w:p w14:paraId="1768479D" w14:textId="1792EDD6" w:rsidR="00CC4D22" w:rsidRDefault="00CC4D22" w:rsidP="0004050E">
      <w:pPr>
        <w:rPr>
          <w:lang w:val="es-ES_tradnl"/>
        </w:rPr>
      </w:pPr>
      <w:r w:rsidRPr="0004050E">
        <w:rPr>
          <w:lang w:val="es-ES_tradnl"/>
        </w:rPr>
        <w:t>4.3.1</w:t>
      </w:r>
      <w:r w:rsidRPr="0004050E">
        <w:rPr>
          <w:lang w:val="es-ES_tradnl"/>
        </w:rPr>
        <w:tab/>
        <w:t>Las Normas Técnicas pertinentes contenidas en la Sección B4 de las Reglas de Procedimiento con respecto a las asignaciones de frecuencia a estaciones del servicio de radionavegación aeronáutica, inscritas en el Registro a nombre de las administraciones que son Parte del Acuerdo.</w:t>
      </w:r>
    </w:p>
    <w:p w14:paraId="4A41116D" w14:textId="1FE56B16" w:rsidR="000009F2" w:rsidRDefault="000009F2" w:rsidP="0004050E">
      <w:pPr>
        <w:rPr>
          <w:lang w:val="es-ES_tradnl"/>
        </w:rPr>
      </w:pPr>
      <w:r w:rsidRPr="0004050E">
        <w:rPr>
          <w:lang w:val="es-ES_tradnl"/>
        </w:rPr>
        <w:t>4.3.</w:t>
      </w:r>
      <w:r>
        <w:rPr>
          <w:lang w:val="es-ES_tradnl"/>
        </w:rPr>
        <w:t>2</w:t>
      </w:r>
      <w:r w:rsidRPr="0004050E">
        <w:rPr>
          <w:lang w:val="es-ES_tradnl"/>
        </w:rPr>
        <w:tab/>
        <w:t>Los criterios contenidos en el Anexo 3 al Acuerdo con respecto a las asignaciones que se conforman al Acuerdo, incluidas las modificaciones propuestas del Plan con respecto a las cuales esté en marcha el procedimiento del Artículo 4.</w:t>
      </w:r>
    </w:p>
    <w:p w14:paraId="4D035B4B" w14:textId="524D3FED" w:rsidR="000009F2" w:rsidRDefault="000009F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2DA36A9A" w14:textId="42D37ECE" w:rsidR="00CC4D22" w:rsidRPr="000009F2" w:rsidRDefault="00CC4D22" w:rsidP="000009F2">
      <w:pPr>
        <w:pStyle w:val="Note"/>
        <w:rPr>
          <w:lang w:val="es-ES_tradnl"/>
        </w:rPr>
      </w:pPr>
      <w:r w:rsidRPr="000009F2">
        <w:rPr>
          <w:lang w:val="es-ES_tradnl"/>
        </w:rPr>
        <w:lastRenderedPageBreak/>
        <w:t>NOTA 1 – Las Normas técnicas pertinentes contenidas en la Sección B4 de las Reglas de Procedimiento y los criterios del Anexo</w:t>
      </w:r>
      <w:r w:rsidR="0004050E" w:rsidRPr="000009F2">
        <w:rPr>
          <w:lang w:val="es-ES_tradnl"/>
        </w:rPr>
        <w:t> </w:t>
      </w:r>
      <w:r w:rsidRPr="000009F2">
        <w:rPr>
          <w:lang w:val="es-ES_tradnl"/>
        </w:rPr>
        <w:t>3 al Acuerdo difieren en los siguientes aspectos:</w:t>
      </w:r>
    </w:p>
    <w:p w14:paraId="713D5316" w14:textId="77777777" w:rsidR="00CC4D22" w:rsidRPr="0004050E" w:rsidRDefault="00CC4D22" w:rsidP="0004050E">
      <w:pPr>
        <w:pStyle w:val="Note"/>
        <w:ind w:left="284" w:hanging="284"/>
        <w:rPr>
          <w:lang w:val="es-ES_tradnl"/>
        </w:rPr>
      </w:pPr>
      <w:r w:rsidRPr="0004050E">
        <w:rPr>
          <w:lang w:val="es-ES_tradnl"/>
        </w:rPr>
        <w:t>–</w:t>
      </w:r>
      <w:r w:rsidRPr="0004050E">
        <w:rPr>
          <w:lang w:val="es-ES_tradnl"/>
        </w:rPr>
        <w:tab/>
        <w:t>en las Normas técnicas contenidas en la Sección B4 de las Reglas de Procedimiento se tiene en cuenta la onda ionosférica, mientras que los criterios del Anexo</w:t>
      </w:r>
      <w:r w:rsidR="0004050E" w:rsidRPr="0004050E">
        <w:rPr>
          <w:lang w:val="es-ES_tradnl"/>
        </w:rPr>
        <w:t> </w:t>
      </w:r>
      <w:r w:rsidRPr="0004050E">
        <w:rPr>
          <w:lang w:val="es-ES_tradnl"/>
        </w:rPr>
        <w:t>3, no la tienen en cuenta;</w:t>
      </w:r>
    </w:p>
    <w:p w14:paraId="58A95539" w14:textId="77777777" w:rsidR="00CC4D22" w:rsidRPr="0004050E" w:rsidRDefault="00CC4D22" w:rsidP="0004050E">
      <w:pPr>
        <w:pStyle w:val="Note"/>
        <w:ind w:left="284" w:hanging="284"/>
        <w:rPr>
          <w:lang w:val="es-ES_tradnl"/>
        </w:rPr>
      </w:pPr>
      <w:r w:rsidRPr="0004050E">
        <w:rPr>
          <w:lang w:val="es-ES_tradnl"/>
        </w:rPr>
        <w:t>–</w:t>
      </w:r>
      <w:r w:rsidRPr="0004050E">
        <w:rPr>
          <w:lang w:val="es-ES_tradnl"/>
        </w:rPr>
        <w:tab/>
        <w:t>el § 1.4 del Anexo 3 y la Norma técnica A</w:t>
      </w:r>
      <w:r w:rsidR="0004050E" w:rsidRPr="0004050E">
        <w:rPr>
          <w:lang w:val="es-ES_tradnl"/>
        </w:rPr>
        <w:noBreakHyphen/>
      </w:r>
      <w:r w:rsidRPr="0004050E">
        <w:rPr>
          <w:lang w:val="es-ES_tradnl"/>
        </w:rPr>
        <w:t>3 de las Reglas de Procedimiento contienen valores diferentes con respecto a los factores de discriminación (en lo tocante a las relaciones de protección en canales adyacentes).</w:t>
      </w:r>
    </w:p>
    <w:p w14:paraId="73374AA3" w14:textId="77777777" w:rsidR="00CC4D22" w:rsidRPr="0004050E" w:rsidRDefault="00CC4D22" w:rsidP="0004050E">
      <w:pPr>
        <w:pStyle w:val="Heading1"/>
        <w:rPr>
          <w:lang w:val="es-ES_tradnl"/>
        </w:rPr>
      </w:pPr>
      <w:r w:rsidRPr="0004050E">
        <w:rPr>
          <w:lang w:val="es-ES_tradnl"/>
        </w:rPr>
        <w:t>5</w:t>
      </w:r>
      <w:r w:rsidRPr="0004050E">
        <w:rPr>
          <w:lang w:val="es-ES_tradnl"/>
        </w:rPr>
        <w:tab/>
      </w:r>
      <w:proofErr w:type="gramStart"/>
      <w:r w:rsidRPr="0004050E">
        <w:rPr>
          <w:lang w:val="es-ES_tradnl"/>
        </w:rPr>
        <w:t>Tramitación</w:t>
      </w:r>
      <w:proofErr w:type="gramEnd"/>
      <w:r w:rsidRPr="0004050E">
        <w:rPr>
          <w:lang w:val="es-ES_tradnl"/>
        </w:rPr>
        <w:t xml:space="preserve"> de las notificaciones de asignaciones de frecuencia a estaciones del servicio de radionavegación aeronáutica (Artículo</w:t>
      </w:r>
      <w:r w:rsidR="0004050E" w:rsidRPr="0004050E">
        <w:rPr>
          <w:lang w:val="es-ES_tradnl"/>
        </w:rPr>
        <w:t> </w:t>
      </w:r>
      <w:r w:rsidRPr="0004050E">
        <w:rPr>
          <w:lang w:val="es-ES_tradnl"/>
        </w:rPr>
        <w:t>6 del Acuerdo)</w:t>
      </w:r>
    </w:p>
    <w:p w14:paraId="2B3754BD" w14:textId="77777777" w:rsidR="00CC4D22" w:rsidRPr="0004050E" w:rsidRDefault="00CC4D22">
      <w:pPr>
        <w:rPr>
          <w:lang w:val="es-ES_tradnl"/>
        </w:rPr>
      </w:pPr>
      <w:r w:rsidRPr="0004050E">
        <w:rPr>
          <w:lang w:val="es-ES_tradnl"/>
        </w:rPr>
        <w:t>En la tramitación de las notificaciones de asignaciones de frecuencia a estaciones del servicio de radionavegación aeronáutica procedentes de administraciones consideradas partes en el Acuerdo se seguirá el procedimiento contenido en el Artículo 6 del Acuerdo. En esos exámenes se utilizarán las Normas Técnicas contenidas en la Sección B4 de las Reglas de Procedimiento.</w:t>
      </w:r>
    </w:p>
    <w:p w14:paraId="074604DE" w14:textId="77777777" w:rsidR="00CC4D22" w:rsidRPr="0004050E" w:rsidRDefault="00CC4D22" w:rsidP="0004050E">
      <w:pPr>
        <w:jc w:val="center"/>
        <w:rPr>
          <w:lang w:val="es-ES_tradnl"/>
        </w:rPr>
      </w:pPr>
      <w:r w:rsidRPr="0004050E">
        <w:rPr>
          <w:lang w:val="es-ES_tradnl"/>
        </w:rPr>
        <w:t>____________________</w:t>
      </w:r>
      <w:r w:rsidR="0004050E" w:rsidRPr="0004050E">
        <w:rPr>
          <w:lang w:val="es-ES_tradnl"/>
        </w:rPr>
        <w:t>_</w:t>
      </w:r>
    </w:p>
    <w:p w14:paraId="243572DF" w14:textId="77777777" w:rsidR="00CC4D22" w:rsidRPr="0004050E" w:rsidRDefault="00CC4D22" w:rsidP="0004050E">
      <w:pPr>
        <w:rPr>
          <w:lang w:val="es-ES_tradnl"/>
        </w:rPr>
      </w:pPr>
    </w:p>
    <w:p w14:paraId="31848DA9" w14:textId="77777777" w:rsidR="00CC4D22" w:rsidRPr="0004050E" w:rsidRDefault="00CC4D22" w:rsidP="0004050E">
      <w:pPr>
        <w:rPr>
          <w:lang w:val="es-ES_tradnl"/>
        </w:rPr>
      </w:pPr>
    </w:p>
    <w:p w14:paraId="453B4C29" w14:textId="77777777" w:rsidR="00CC4D22" w:rsidRPr="0004050E" w:rsidRDefault="00CC4D22" w:rsidP="0004050E">
      <w:pPr>
        <w:rPr>
          <w:lang w:val="es-ES_tradnl"/>
        </w:rPr>
      </w:pPr>
    </w:p>
    <w:p w14:paraId="0EE58A7A" w14:textId="77777777" w:rsidR="00CC4D22" w:rsidRPr="0004050E" w:rsidRDefault="00CC4D22" w:rsidP="0004050E">
      <w:pPr>
        <w:rPr>
          <w:lang w:val="es-ES_tradnl"/>
        </w:rPr>
      </w:pPr>
    </w:p>
    <w:p w14:paraId="16FE2C09" w14:textId="77777777" w:rsidR="00CC4D22" w:rsidRPr="0004050E" w:rsidRDefault="00CC4D22" w:rsidP="0004050E">
      <w:pPr>
        <w:rPr>
          <w:lang w:val="es-ES_tradnl"/>
        </w:rPr>
      </w:pPr>
    </w:p>
    <w:p w14:paraId="2FEC1436" w14:textId="77777777" w:rsidR="00CC4D22" w:rsidRPr="0004050E" w:rsidRDefault="00CC4D22" w:rsidP="0004050E">
      <w:pPr>
        <w:rPr>
          <w:lang w:val="es-ES_tradnl"/>
        </w:rPr>
      </w:pPr>
    </w:p>
    <w:p w14:paraId="0ED02546" w14:textId="77777777" w:rsidR="00CC4D22" w:rsidRPr="0004050E" w:rsidRDefault="00CC4D22" w:rsidP="0004050E">
      <w:pPr>
        <w:rPr>
          <w:lang w:val="es-ES_tradnl"/>
        </w:rPr>
      </w:pPr>
    </w:p>
    <w:p w14:paraId="6232B71C" w14:textId="77777777" w:rsidR="00CC4D22" w:rsidRPr="0004050E" w:rsidRDefault="00CC4D22" w:rsidP="0004050E">
      <w:pPr>
        <w:rPr>
          <w:lang w:val="es-ES_tradnl"/>
        </w:rPr>
      </w:pPr>
    </w:p>
    <w:p w14:paraId="4EA78E5A" w14:textId="77777777" w:rsidR="00CC4D22" w:rsidRPr="0004050E" w:rsidRDefault="00CC4D22" w:rsidP="0004050E">
      <w:pPr>
        <w:rPr>
          <w:lang w:val="es-ES_tradnl"/>
        </w:rPr>
      </w:pPr>
    </w:p>
    <w:p w14:paraId="0D0D0317" w14:textId="77777777" w:rsidR="00CC4D22" w:rsidRPr="0004050E" w:rsidRDefault="00CC4D22" w:rsidP="0004050E">
      <w:pPr>
        <w:rPr>
          <w:lang w:val="es-ES_tradnl"/>
        </w:rPr>
      </w:pPr>
    </w:p>
    <w:p w14:paraId="473C4E84" w14:textId="77777777" w:rsidR="00CC4D22" w:rsidRPr="0004050E" w:rsidRDefault="00CC4D22" w:rsidP="0004050E">
      <w:pPr>
        <w:rPr>
          <w:lang w:val="es-ES_tradnl"/>
        </w:rPr>
      </w:pPr>
    </w:p>
    <w:p w14:paraId="6F9CEA87" w14:textId="77777777" w:rsidR="00CC4D22" w:rsidRPr="0004050E" w:rsidRDefault="00CC4D22" w:rsidP="0004050E">
      <w:pPr>
        <w:rPr>
          <w:lang w:val="es-ES_tradnl"/>
        </w:rPr>
      </w:pPr>
    </w:p>
    <w:p w14:paraId="71DE2F4E" w14:textId="77777777" w:rsidR="00CC4D22" w:rsidRPr="0004050E" w:rsidRDefault="00CC4D22" w:rsidP="0004050E">
      <w:pPr>
        <w:rPr>
          <w:lang w:val="es-ES_tradnl"/>
        </w:rPr>
      </w:pPr>
    </w:p>
    <w:p w14:paraId="73C9C3AF" w14:textId="77777777" w:rsidR="00CC4D22" w:rsidRPr="0004050E" w:rsidRDefault="00CC4D22" w:rsidP="0004050E">
      <w:pPr>
        <w:rPr>
          <w:lang w:val="es-ES_tradnl"/>
        </w:rPr>
      </w:pPr>
    </w:p>
    <w:p w14:paraId="1E6516A0" w14:textId="77777777" w:rsidR="00CC4D22" w:rsidRPr="0004050E" w:rsidRDefault="00CC4D22" w:rsidP="0004050E">
      <w:pPr>
        <w:rPr>
          <w:lang w:val="es-ES_tradnl"/>
        </w:rPr>
        <w:sectPr w:rsidR="00CC4D22" w:rsidRPr="0004050E">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2721A9F4" w14:textId="77777777" w:rsidR="00CC4D22" w:rsidRPr="0004050E" w:rsidRDefault="00CC4D22" w:rsidP="0004050E">
      <w:pPr>
        <w:rPr>
          <w:lang w:val="es-ES_tradnl"/>
        </w:rPr>
      </w:pPr>
    </w:p>
    <w:sectPr w:rsidR="00CC4D22" w:rsidRPr="0004050E">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4EA60" w14:textId="77777777" w:rsidR="006F3D1D" w:rsidRDefault="006F3D1D">
      <w:r>
        <w:separator/>
      </w:r>
    </w:p>
  </w:endnote>
  <w:endnote w:type="continuationSeparator" w:id="0">
    <w:p w14:paraId="7DE78B22" w14:textId="77777777" w:rsidR="006F3D1D" w:rsidRDefault="006F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1C776" w14:textId="77777777" w:rsidR="006F3D1D" w:rsidRDefault="006F3D1D">
      <w:r>
        <w:rPr>
          <w:b/>
        </w:rPr>
        <w:t>_______________</w:t>
      </w:r>
    </w:p>
  </w:footnote>
  <w:footnote w:type="continuationSeparator" w:id="0">
    <w:p w14:paraId="47450126" w14:textId="77777777" w:rsidR="006F3D1D" w:rsidRDefault="006F3D1D">
      <w:r>
        <w:continuationSeparator/>
      </w:r>
    </w:p>
  </w:footnote>
  <w:footnote w:id="1">
    <w:p w14:paraId="30F3394E" w14:textId="77777777" w:rsidR="00D8634D" w:rsidRPr="00D8634D" w:rsidRDefault="00D8634D">
      <w:pPr>
        <w:pStyle w:val="FootnoteText"/>
        <w:rPr>
          <w:lang w:val="es-ES_tradnl"/>
        </w:rPr>
      </w:pPr>
      <w:r>
        <w:rPr>
          <w:rStyle w:val="FootnoteReference"/>
        </w:rPr>
        <w:footnoteRef/>
      </w:r>
      <w:r w:rsidRPr="00774973">
        <w:rPr>
          <w:lang w:val="es-ES_tradnl"/>
        </w:rPr>
        <w:t xml:space="preserve"> </w:t>
      </w:r>
      <w:r w:rsidRPr="00774973">
        <w:rPr>
          <w:lang w:val="es-ES_tradnl"/>
        </w:rPr>
        <w:tab/>
      </w:r>
      <w:r>
        <w:rPr>
          <w:i/>
          <w:iCs/>
          <w:lang w:val="es-ES"/>
        </w:rPr>
        <w:t>Nota de la Secretaría:</w:t>
      </w:r>
      <w:r>
        <w:rPr>
          <w:lang w:val="es-ES"/>
        </w:rPr>
        <w:t xml:space="preserve"> Esta Resolución ha sido abrogada por la CMR-03.</w:t>
      </w:r>
    </w:p>
  </w:footnote>
  <w:footnote w:id="2">
    <w:p w14:paraId="7DEA27D5" w14:textId="77777777" w:rsidR="00D8634D" w:rsidRPr="00D8634D" w:rsidRDefault="00D8634D" w:rsidP="00D8634D">
      <w:pPr>
        <w:pStyle w:val="FootnoteText"/>
        <w:rPr>
          <w:lang w:val="es-ES_tradnl"/>
        </w:rPr>
      </w:pPr>
      <w:r w:rsidRPr="00774973">
        <w:rPr>
          <w:rStyle w:val="FootnoteReference"/>
          <w:lang w:val="es-ES_tradnl"/>
        </w:rPr>
        <w:t>*</w:t>
      </w:r>
      <w:r>
        <w:rPr>
          <w:i/>
          <w:iCs/>
          <w:lang w:val="es-ES"/>
        </w:rPr>
        <w:tab/>
        <w:t>Nota de la Secretaría:</w:t>
      </w:r>
      <w:r>
        <w:rPr>
          <w:lang w:val="es-ES"/>
        </w:rPr>
        <w:t xml:space="preserve"> Esta Resolución ha sido abrogada por la CMR-03.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14:paraId="117697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0798DD7" w14:textId="09B7ED85" w:rsidR="00CC4D22" w:rsidRDefault="00CC4D22">
          <w:pPr>
            <w:pStyle w:val="HeaderRegProc"/>
          </w:pPr>
          <w:r>
            <w:t xml:space="preserve">Parte </w:t>
          </w:r>
          <w:r>
            <w:fldChar w:fldCharType="begin"/>
          </w:r>
          <w:r>
            <w:instrText>styleref href</w:instrText>
          </w:r>
          <w:r>
            <w:fldChar w:fldCharType="separate"/>
          </w:r>
          <w:r w:rsidR="009D7CEB">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2434120" w14:textId="0AC40124" w:rsidR="00CC4D22" w:rsidRDefault="00CC4D22">
          <w:pPr>
            <w:pStyle w:val="HeaderRegProc"/>
            <w:rPr>
              <w:lang w:val="fr-FR"/>
            </w:rPr>
          </w:pPr>
          <w:r>
            <w:fldChar w:fldCharType="begin"/>
          </w:r>
          <w:r>
            <w:instrText>styleref href2</w:instrText>
          </w:r>
          <w:r>
            <w:fldChar w:fldCharType="separate"/>
          </w:r>
          <w:r w:rsidR="009D7CEB">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9266888" w14:textId="77777777" w:rsidR="00CC4D22" w:rsidRDefault="00CC4D22">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84DF47" w14:textId="3A229E13" w:rsidR="00CC4D22" w:rsidRDefault="00CC4D22">
          <w:pPr>
            <w:pStyle w:val="HeaderRegProc"/>
            <w:rPr>
              <w:lang w:val="fr-CH"/>
            </w:rPr>
          </w:pPr>
          <w:proofErr w:type="spellStart"/>
          <w:proofErr w:type="gramStart"/>
          <w:r>
            <w:rPr>
              <w:lang w:val="fr-CH"/>
            </w:rPr>
            <w:t>rev</w:t>
          </w:r>
          <w:proofErr w:type="spellEnd"/>
          <w:proofErr w:type="gramEnd"/>
          <w:r>
            <w:rPr>
              <w:lang w:val="fr-CH"/>
            </w:rPr>
            <w:t>.</w:t>
          </w:r>
          <w:r w:rsidR="000009F2">
            <w:rPr>
              <w:lang w:val="fr-CH"/>
            </w:rPr>
            <w:t xml:space="preserve"> </w:t>
          </w:r>
          <w:r>
            <w:fldChar w:fldCharType="begin"/>
          </w:r>
          <w:r>
            <w:rPr>
              <w:lang w:val="fr-CH"/>
            </w:rPr>
            <w:instrText xml:space="preserve"> DOCPROPERTY "Header10" \* MERGEFORMAT </w:instrText>
          </w:r>
          <w:r>
            <w:fldChar w:fldCharType="separate"/>
          </w:r>
          <w:r w:rsidR="00E56636">
            <w:rPr>
              <w:lang w:val="fr-CH"/>
            </w:rPr>
            <w:t>-</w:t>
          </w:r>
          <w:r>
            <w:fldChar w:fldCharType="end"/>
          </w:r>
        </w:p>
      </w:tc>
    </w:tr>
  </w:tbl>
  <w:p w14:paraId="0DA410F9" w14:textId="77777777" w:rsidR="00CC4D22" w:rsidRDefault="00CC4D2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14:paraId="1750988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9350CC" w14:textId="13A1840D" w:rsidR="00CC4D22" w:rsidRDefault="00CC4D22">
          <w:pPr>
            <w:pStyle w:val="HeaderRegProc"/>
          </w:pPr>
          <w:r>
            <w:t xml:space="preserve">Parte </w:t>
          </w:r>
          <w:r>
            <w:fldChar w:fldCharType="begin"/>
          </w:r>
          <w:r>
            <w:instrText>styleref href</w:instrText>
          </w:r>
          <w:r>
            <w:fldChar w:fldCharType="separate"/>
          </w:r>
          <w:r w:rsidR="009D7CEB">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67A5" w14:textId="41327DFC" w:rsidR="00CC4D22" w:rsidRDefault="00CC4D22">
          <w:pPr>
            <w:pStyle w:val="HeaderRegProc"/>
            <w:rPr>
              <w:lang w:val="fr-FR"/>
            </w:rPr>
          </w:pPr>
          <w:r>
            <w:fldChar w:fldCharType="begin"/>
          </w:r>
          <w:r>
            <w:instrText>styleref href2</w:instrText>
          </w:r>
          <w:r>
            <w:fldChar w:fldCharType="separate"/>
          </w:r>
          <w:r w:rsidR="009D7CEB">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E87EDFE" w14:textId="77777777" w:rsidR="00CC4D22" w:rsidRDefault="00CC4D22">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C22D4C" w14:textId="58FF878C" w:rsidR="00CC4D22" w:rsidRDefault="00CC4D22">
          <w:pPr>
            <w:pStyle w:val="HeaderRegProc"/>
            <w:rPr>
              <w:lang w:val="fr-CH"/>
            </w:rPr>
          </w:pPr>
          <w:proofErr w:type="spellStart"/>
          <w:proofErr w:type="gramStart"/>
          <w:r>
            <w:rPr>
              <w:lang w:val="fr-CH"/>
            </w:rPr>
            <w:t>rev</w:t>
          </w:r>
          <w:proofErr w:type="spellEnd"/>
          <w:proofErr w:type="gramEnd"/>
          <w:r>
            <w:rPr>
              <w:lang w:val="fr-CH"/>
            </w:rPr>
            <w:t>.</w:t>
          </w:r>
          <w:r w:rsidR="000009F2">
            <w:rPr>
              <w:lang w:val="fr-CH"/>
            </w:rPr>
            <w:t xml:space="preserve"> </w:t>
          </w:r>
          <w:r>
            <w:fldChar w:fldCharType="begin"/>
          </w:r>
          <w:r>
            <w:rPr>
              <w:lang w:val="fr-CH"/>
            </w:rPr>
            <w:instrText xml:space="preserve"> DOCPROPERTY "Header10" \* MERGEFORMAT </w:instrText>
          </w:r>
          <w:r>
            <w:fldChar w:fldCharType="separate"/>
          </w:r>
          <w:r w:rsidR="00E56636">
            <w:rPr>
              <w:lang w:val="fr-CH"/>
            </w:rPr>
            <w:t>-</w:t>
          </w:r>
          <w:r>
            <w:fldChar w:fldCharType="end"/>
          </w:r>
        </w:p>
      </w:tc>
    </w:tr>
  </w:tbl>
  <w:p w14:paraId="09F907D5" w14:textId="77777777" w:rsidR="00CC4D22" w:rsidRDefault="00CC4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BC987" w14:textId="77777777" w:rsidR="00CC4D22" w:rsidRDefault="00CC4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24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7CC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086B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06CF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54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0F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263E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6C0B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281C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063E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4D22"/>
    <w:rsid w:val="000009F2"/>
    <w:rsid w:val="0004050E"/>
    <w:rsid w:val="00337A98"/>
    <w:rsid w:val="006F3D1D"/>
    <w:rsid w:val="00774973"/>
    <w:rsid w:val="008E1D20"/>
    <w:rsid w:val="009D7CEB"/>
    <w:rsid w:val="00A144D1"/>
    <w:rsid w:val="00CC4D22"/>
    <w:rsid w:val="00D8634D"/>
    <w:rsid w:val="00D9496C"/>
    <w:rsid w:val="00DC45BE"/>
    <w:rsid w:val="00E566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974AF"/>
  <w15:docId w15:val="{92D6E757-1CF4-463F-A30E-1BE372B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CommentTextChar">
    <w:name w:val="Comment Text Char"/>
    <w:basedOn w:val="DefaultParagraphFont"/>
    <w:link w:val="CommentText"/>
    <w:semiHidden/>
    <w:rsid w:val="000009F2"/>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51641-0127-4F9A-AAD1-9202B5EA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TotalTime>
  <Pages>5</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P--107223/DD</Manager>
  <Company>ITU</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GE85-EMA du RR</dc:subject>
  <dc:creator>Composition des Publications</dc:creator>
  <cp:keywords>FOLIOS:  1  -  4</cp:keywords>
  <dc:description>Edition 2009:   16.02.2009/DD (dict. ok)</dc:description>
  <cp:lastModifiedBy>Catalano Moreira, Rossana</cp:lastModifiedBy>
  <cp:revision>11</cp:revision>
  <cp:lastPrinted>2020-12-21T15:07:00Z</cp:lastPrinted>
  <dcterms:created xsi:type="dcterms:W3CDTF">2012-10-03T07:22:00Z</dcterms:created>
  <dcterms:modified xsi:type="dcterms:W3CDTF">2021-05-19T09:04:00Z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