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C9ECC" w14:textId="77777777" w:rsidR="00CE419D" w:rsidRPr="00E331F4" w:rsidRDefault="00CE419D" w:rsidP="00E331F4">
      <w:pPr>
        <w:pStyle w:val="Heading1"/>
        <w:spacing w:before="300"/>
        <w:jc w:val="center"/>
        <w:rPr>
          <w:lang w:val="es-ES_tradnl"/>
        </w:rPr>
      </w:pPr>
      <w:r w:rsidRPr="00E331F4">
        <w:rPr>
          <w:lang w:val="es-ES_tradnl"/>
        </w:rPr>
        <w:t xml:space="preserve">PARTE  </w:t>
      </w:r>
      <w:r w:rsidRPr="00E331F4">
        <w:rPr>
          <w:rStyle w:val="href"/>
          <w:lang w:val="es-ES_tradnl"/>
        </w:rPr>
        <w:t>A7</w:t>
      </w:r>
    </w:p>
    <w:p w14:paraId="6E64D7A4" w14:textId="77777777" w:rsidR="00CE419D" w:rsidRPr="00E331F4" w:rsidRDefault="00CE419D" w:rsidP="00E331F4">
      <w:pPr>
        <w:pStyle w:val="Heading1"/>
        <w:ind w:left="0" w:firstLine="0"/>
        <w:jc w:val="center"/>
        <w:rPr>
          <w:lang w:val="es-ES_tradnl"/>
        </w:rPr>
      </w:pPr>
      <w:r w:rsidRPr="00E331F4">
        <w:rPr>
          <w:lang w:val="es-ES_tradnl"/>
        </w:rPr>
        <w:t>Reglas relativas a la Resolución 1 de la Conferencia</w:t>
      </w:r>
      <w:r w:rsidR="00E331F4" w:rsidRPr="00E331F4">
        <w:rPr>
          <w:lang w:val="es-ES_tradnl"/>
        </w:rPr>
        <w:t xml:space="preserve"> </w:t>
      </w:r>
      <w:r w:rsidRPr="00E331F4">
        <w:rPr>
          <w:lang w:val="es-ES_tradnl"/>
        </w:rPr>
        <w:t>RJ88</w:t>
      </w:r>
      <w:r w:rsidR="00E331F4" w:rsidRPr="00E331F4">
        <w:rPr>
          <w:lang w:val="es-ES_tradnl"/>
        </w:rPr>
        <w:br/>
      </w:r>
      <w:r w:rsidRPr="00E331F4">
        <w:rPr>
          <w:lang w:val="es-ES_tradnl"/>
        </w:rPr>
        <w:t xml:space="preserve">y al Artículo 6 del Acuerdo </w:t>
      </w:r>
      <w:r w:rsidRPr="00E331F4">
        <w:rPr>
          <w:rStyle w:val="href2"/>
          <w:lang w:val="es-ES_tradnl"/>
        </w:rPr>
        <w:t>RJ88</w:t>
      </w:r>
    </w:p>
    <w:p w14:paraId="2DB19F1F" w14:textId="77777777" w:rsidR="00CE419D" w:rsidRPr="00E331F4" w:rsidRDefault="00CE419D">
      <w:pPr>
        <w:pStyle w:val="Heading1"/>
        <w:rPr>
          <w:lang w:val="es-ES_tradnl"/>
        </w:rPr>
      </w:pPr>
      <w:r w:rsidRPr="00E331F4">
        <w:rPr>
          <w:lang w:val="es-ES_tradnl"/>
        </w:rPr>
        <w:t>1</w:t>
      </w:r>
      <w:r w:rsidRPr="00E331F4">
        <w:rPr>
          <w:lang w:val="es-ES_tradnl"/>
        </w:rPr>
        <w:tab/>
        <w:t>Aplicación de la Resolución 1 (RJ88)</w:t>
      </w:r>
    </w:p>
    <w:p w14:paraId="12323B83" w14:textId="172ECF77"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1.1</w:t>
      </w:r>
      <w:r w:rsidRPr="00E331F4">
        <w:rPr>
          <w:lang w:val="es-ES_tradnl"/>
        </w:rPr>
        <w:tab/>
        <w:t xml:space="preserve">En virtud de esta Resolución, se pide a la ex IFRB que evalúe la interferencia causada por las asignaciones de los servicios fijo y móvil en la banda </w:t>
      </w:r>
      <w:r w:rsidRPr="00B41967">
        <w:rPr>
          <w:lang w:val="es-ES"/>
        </w:rPr>
        <w:t>1</w:t>
      </w:r>
      <w:r w:rsidR="00B41967" w:rsidRPr="00B41967">
        <w:rPr>
          <w:lang w:val="es-ES"/>
        </w:rPr>
        <w:t> </w:t>
      </w:r>
      <w:r w:rsidRPr="00B41967">
        <w:rPr>
          <w:lang w:val="es-ES"/>
        </w:rPr>
        <w:t>625</w:t>
      </w:r>
      <w:r w:rsidRPr="00E331F4">
        <w:rPr>
          <w:lang w:val="es-ES_tradnl"/>
        </w:rPr>
        <w:t>-</w:t>
      </w:r>
      <w:r w:rsidRPr="00B41967">
        <w:rPr>
          <w:lang w:val="es-ES"/>
        </w:rPr>
        <w:t>1</w:t>
      </w:r>
      <w:r w:rsidR="00B41967" w:rsidRPr="00B41967">
        <w:rPr>
          <w:lang w:val="es-ES"/>
        </w:rPr>
        <w:t> </w:t>
      </w:r>
      <w:r w:rsidRPr="00B41967">
        <w:rPr>
          <w:lang w:val="es-ES"/>
        </w:rPr>
        <w:t>705</w:t>
      </w:r>
      <w:r w:rsidRPr="00E331F4">
        <w:rPr>
          <w:lang w:val="es-ES_tradnl"/>
        </w:rPr>
        <w:t xml:space="preserve"> kHz notificadas antes del 1 de julio de 1990, fecha de entrada en vigor de las Actas Finales de la Conferencia RJ88 (véase el § 2 del </w:t>
      </w:r>
      <w:r w:rsidRPr="00E331F4">
        <w:rPr>
          <w:i/>
          <w:lang w:val="es-ES_tradnl"/>
        </w:rPr>
        <w:t>resuelve pedir a la IFRB</w:t>
      </w:r>
      <w:r w:rsidRPr="00E331F4">
        <w:rPr>
          <w:lang w:val="es-ES_tradnl"/>
        </w:rPr>
        <w:t>)</w:t>
      </w:r>
      <w:r w:rsidRPr="00E331F4">
        <w:rPr>
          <w:i/>
          <w:lang w:val="es-ES_tradnl"/>
        </w:rPr>
        <w:t xml:space="preserve">. </w:t>
      </w:r>
      <w:r w:rsidRPr="00E331F4">
        <w:rPr>
          <w:lang w:val="es-ES_tradnl"/>
        </w:rPr>
        <w:t>También se pide a la ex IFRB que revise la conclusión relativa a cualquier asignación, inscrita en el Registro, del servicio fijo o móvil que sea incompatible con el Plan de radiodifusión y anote una observación en una columna apropiada del Registro a fin de indicar que dicha conclusión se revisará de nuevo cuando se ponga en servicio una estación de radiodifusión de la adjudicación que ha dado origen a la conclusión desfavorable (véase el §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 xml:space="preserve">3 del </w:t>
      </w:r>
      <w:r w:rsidRPr="00E331F4">
        <w:rPr>
          <w:i/>
          <w:lang w:val="es-ES_tradnl"/>
        </w:rPr>
        <w:t>resuelve pedir a la</w:t>
      </w:r>
      <w:r w:rsidR="00E331F4" w:rsidRPr="00E331F4">
        <w:rPr>
          <w:i/>
          <w:lang w:val="es-ES_tradnl"/>
        </w:rPr>
        <w:t> </w:t>
      </w:r>
      <w:r w:rsidRPr="00E331F4">
        <w:rPr>
          <w:i/>
          <w:lang w:val="es-ES_tradnl"/>
        </w:rPr>
        <w:t>IFRB</w:t>
      </w:r>
      <w:r w:rsidRPr="00E331F4">
        <w:rPr>
          <w:lang w:val="es-ES_tradnl"/>
        </w:rPr>
        <w:t>).</w:t>
      </w:r>
    </w:p>
    <w:p w14:paraId="2C21BC80" w14:textId="35ACDA43"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1.2</w:t>
      </w:r>
      <w:r w:rsidRPr="00E331F4">
        <w:rPr>
          <w:lang w:val="es-ES_tradnl"/>
        </w:rPr>
        <w:tab/>
        <w:t>Con arreglo a esta Resolución y en caso de que una asignación del servicio fijo o móvil fuera incompatible, y por consiguiente que su conclusión fuera desfavorable con respecto a una adjudicación en el Plan de radiodifusión, se debía aplicar el procedimiento del número</w:t>
      </w:r>
      <w:r w:rsidR="00B41967">
        <w:rPr>
          <w:lang w:val="es-ES_tradnl"/>
        </w:rPr>
        <w:t> </w:t>
      </w:r>
      <w:r w:rsidRPr="00E331F4">
        <w:rPr>
          <w:lang w:val="es-ES_tradnl"/>
        </w:rPr>
        <w:t>1255 del Reglamento de Radiocomunicaciones (edición de 1990, revisada en 1994) a la asignación en cuestión del servicio fijo o móvil con la condición de que el periodo de dos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 xml:space="preserve">meses especificado en dicho procedimiento comenzara en la fecha de entrada en servicio de la estación de radiodifusión conforme con la adjudicación correspondiente (véase el § 4 del </w:t>
      </w:r>
      <w:r w:rsidRPr="00E331F4">
        <w:rPr>
          <w:i/>
          <w:lang w:val="es-ES_tradnl"/>
        </w:rPr>
        <w:t>resuelve pedir a la</w:t>
      </w:r>
      <w:r w:rsidR="00E331F4" w:rsidRPr="00E331F4">
        <w:rPr>
          <w:i/>
          <w:lang w:val="es-ES_tradnl"/>
        </w:rPr>
        <w:t> </w:t>
      </w:r>
      <w:r w:rsidRPr="00E331F4">
        <w:rPr>
          <w:i/>
          <w:lang w:val="es-ES_tradnl"/>
        </w:rPr>
        <w:t>IFRB</w:t>
      </w:r>
      <w:r w:rsidRPr="00E331F4">
        <w:rPr>
          <w:lang w:val="es-ES_tradnl"/>
        </w:rPr>
        <w:t>).</w:t>
      </w:r>
    </w:p>
    <w:p w14:paraId="25493EE9" w14:textId="12260709"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1.3</w:t>
      </w:r>
      <w:r w:rsidRPr="00E331F4">
        <w:rPr>
          <w:lang w:val="es-ES_tradnl"/>
        </w:rPr>
        <w:tab/>
        <w:t xml:space="preserve">La Junta tomó nota de las disposiciones del número </w:t>
      </w:r>
      <w:r w:rsidRPr="00E331F4">
        <w:rPr>
          <w:rStyle w:val="Artref"/>
          <w:b/>
          <w:bCs/>
          <w:color w:val="000000"/>
          <w:lang w:val="es-ES_tradnl"/>
        </w:rPr>
        <w:t>5.89</w:t>
      </w:r>
      <w:r w:rsidRPr="00E331F4">
        <w:rPr>
          <w:rStyle w:val="Artref0"/>
          <w:lang w:val="es-ES_tradnl"/>
        </w:rPr>
        <w:t>,</w:t>
      </w:r>
      <w:r w:rsidRPr="00E331F4">
        <w:rPr>
          <w:lang w:val="es-ES_tradnl"/>
        </w:rPr>
        <w:t xml:space="preserve"> que se refiere al examen de asignaciones de frecuencia a estaciones de los servicios fijo y móvil en la banda</w:t>
      </w:r>
      <w:r w:rsidR="00E331F4" w:rsidRPr="00E331F4">
        <w:rPr>
          <w:lang w:val="es-ES_tradnl"/>
        </w:rPr>
        <w:t xml:space="preserve"> </w:t>
      </w:r>
      <w:r w:rsidRPr="00B41967">
        <w:rPr>
          <w:lang w:val="es-ES"/>
        </w:rPr>
        <w:t>1</w:t>
      </w:r>
      <w:r w:rsidR="00B41967" w:rsidRPr="00B41967">
        <w:rPr>
          <w:lang w:val="es-ES"/>
        </w:rPr>
        <w:t> </w:t>
      </w:r>
      <w:r w:rsidRPr="00B41967">
        <w:rPr>
          <w:lang w:val="es-ES"/>
        </w:rPr>
        <w:t>625</w:t>
      </w:r>
      <w:r w:rsidRPr="00E331F4">
        <w:rPr>
          <w:lang w:val="es-ES_tradnl"/>
        </w:rPr>
        <w:t>-</w:t>
      </w:r>
      <w:r w:rsidRPr="00B41967">
        <w:rPr>
          <w:lang w:val="es-ES"/>
        </w:rPr>
        <w:t>1</w:t>
      </w:r>
      <w:r w:rsidR="00B41967" w:rsidRPr="00B41967">
        <w:rPr>
          <w:lang w:val="es-ES"/>
        </w:rPr>
        <w:t> </w:t>
      </w:r>
      <w:r w:rsidRPr="00B41967">
        <w:rPr>
          <w:lang w:val="es-ES"/>
        </w:rPr>
        <w:t>705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kHz, que requiere tener en cuenta las adjudicaciones que figuran en el Plan (RJ88).</w:t>
      </w:r>
    </w:p>
    <w:p w14:paraId="05FF4445" w14:textId="77777777"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1.4</w:t>
      </w:r>
      <w:r w:rsidRPr="00E331F4">
        <w:rPr>
          <w:lang w:val="es-ES_tradnl"/>
        </w:rPr>
        <w:tab/>
        <w:t>Teniendo en cuenta estos antecedentes, la Junta decidió, en aplicación de la Resolución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1 (RJ88), adoptar el siguiente método:</w:t>
      </w:r>
    </w:p>
    <w:p w14:paraId="2CEAB374" w14:textId="77777777" w:rsidR="00CE419D" w:rsidRPr="00E331F4" w:rsidRDefault="00CE419D" w:rsidP="00E331F4">
      <w:pPr>
        <w:pStyle w:val="enumlev1"/>
        <w:ind w:left="0" w:firstLine="0"/>
        <w:rPr>
          <w:lang w:val="es-ES_tradnl"/>
        </w:rPr>
      </w:pPr>
      <w:r w:rsidRPr="00E331F4">
        <w:rPr>
          <w:lang w:val="es-ES_tradnl"/>
        </w:rPr>
        <w:t>1.4.1</w:t>
      </w:r>
      <w:r w:rsidRPr="00E331F4">
        <w:rPr>
          <w:lang w:val="es-ES_tradnl"/>
        </w:rPr>
        <w:tab/>
        <w:t>en aplicación del § 3 de la Resolución, la incompatibilidad de una asignación del servicio fijo o móvil con respecto a una adjudicación en el Plan se indicó con el símbolo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H en la Columna 13B2, y un símbolo X/RS1(RJ88)/---- (símbolo del país cuya adjudicación podría verse afectada) en la Columna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11;</w:t>
      </w:r>
    </w:p>
    <w:p w14:paraId="42F33F4F" w14:textId="0CAC6924" w:rsidR="00CE419D" w:rsidRDefault="00CE419D" w:rsidP="00E331F4">
      <w:pPr>
        <w:pStyle w:val="enumlev1"/>
        <w:ind w:left="0" w:firstLine="0"/>
        <w:rPr>
          <w:lang w:val="es-ES_tradnl"/>
        </w:rPr>
      </w:pPr>
      <w:r w:rsidRPr="00E331F4">
        <w:rPr>
          <w:lang w:val="es-ES_tradnl"/>
        </w:rPr>
        <w:t>1.4.2</w:t>
      </w:r>
      <w:r w:rsidRPr="00E331F4">
        <w:rPr>
          <w:lang w:val="es-ES_tradnl"/>
        </w:rPr>
        <w:tab/>
        <w:t>cuando se ponga en servicio una asignación correspondiente a la adjudicación en cuestión en el Plan de radiodifusión, y si durante el periodo de dos meses mencionado en el § 4</w:t>
      </w:r>
      <w:r w:rsidR="00E331F4" w:rsidRPr="00E331F4">
        <w:rPr>
          <w:lang w:val="es-ES_tradnl"/>
        </w:rPr>
        <w:t> </w:t>
      </w:r>
      <w:r w:rsidRPr="00E331F4">
        <w:rPr>
          <w:i/>
          <w:lang w:val="es-ES_tradnl"/>
        </w:rPr>
        <w:t>b)</w:t>
      </w:r>
      <w:r w:rsidRPr="00E331F4">
        <w:rPr>
          <w:lang w:val="es-ES_tradnl"/>
        </w:rPr>
        <w:t xml:space="preserve"> de la Resolución 1 (RJ88) la Oficina recibe información de que se ha producido una interferencia perjudicial, la Oficina examinará la conclusión de la asignación a la estación fija o móvil. Al hacerlo, sustituirá la conclusión anterior indicada en el §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1.4.1 insertando el símbolo N en la Columna</w:t>
      </w:r>
      <w:r w:rsidR="00B41967">
        <w:rPr>
          <w:lang w:val="es-ES_tradnl"/>
        </w:rPr>
        <w:t> </w:t>
      </w:r>
      <w:r w:rsidRPr="00E331F4">
        <w:rPr>
          <w:lang w:val="es-ES_tradnl"/>
        </w:rPr>
        <w:t>13A2, el símbolo Y en la Columna</w:t>
      </w:r>
      <w:r w:rsidR="00B41967">
        <w:rPr>
          <w:lang w:val="es-ES_tradnl"/>
        </w:rPr>
        <w:t> </w:t>
      </w:r>
      <w:r w:rsidRPr="00E331F4">
        <w:rPr>
          <w:lang w:val="es-ES_tradnl"/>
        </w:rPr>
        <w:t>13B2 y el símbolo</w:t>
      </w:r>
      <w:r w:rsidR="00B41967">
        <w:rPr>
          <w:lang w:val="es-ES_tradnl"/>
        </w:rPr>
        <w:t> </w:t>
      </w:r>
      <w:r w:rsidRPr="00E331F4">
        <w:rPr>
          <w:lang w:val="es-ES_tradnl"/>
        </w:rPr>
        <w:t>X/RS1 (RJ88) en la Columna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13B1; los símbolos mencionados en el §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1.4.1 se suprimirán;</w:t>
      </w:r>
    </w:p>
    <w:p w14:paraId="4D4A5262" w14:textId="11A9D0FE" w:rsidR="009C7ED4" w:rsidRDefault="009C7ED4" w:rsidP="009C7ED4">
      <w:pPr>
        <w:rPr>
          <w:lang w:val="es-ES_tradnl"/>
        </w:rPr>
      </w:pPr>
      <w:r>
        <w:rPr>
          <w:lang w:val="es-ES_tradnl"/>
        </w:rPr>
        <w:lastRenderedPageBreak/>
        <w:br w:type="page"/>
      </w:r>
    </w:p>
    <w:p w14:paraId="08D08F32" w14:textId="6D31E273" w:rsidR="00CE419D" w:rsidRPr="00E331F4" w:rsidRDefault="00CE419D" w:rsidP="00E331F4">
      <w:pPr>
        <w:pStyle w:val="enumlev1"/>
        <w:ind w:left="0" w:firstLine="0"/>
        <w:rPr>
          <w:lang w:val="es-ES_tradnl"/>
        </w:rPr>
      </w:pPr>
      <w:r w:rsidRPr="00E331F4">
        <w:rPr>
          <w:lang w:val="es-ES_tradnl"/>
        </w:rPr>
        <w:lastRenderedPageBreak/>
        <w:t>1.4.3</w:t>
      </w:r>
      <w:r w:rsidRPr="00E331F4">
        <w:rPr>
          <w:lang w:val="es-ES_tradnl"/>
        </w:rPr>
        <w:tab/>
        <w:t>no obstante, si la Oficina no recibe información de que se ha producido inter</w:t>
      </w:r>
      <w:r w:rsidRPr="00E331F4">
        <w:rPr>
          <w:lang w:val="es-ES_tradnl"/>
        </w:rPr>
        <w:softHyphen/>
        <w:t>ferencia perjudicial durante ese periodo de dos meses, se mantendrá la conclusión de la asignación a la estación fija o móvil mencionada en el §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1.4.1.</w:t>
      </w:r>
    </w:p>
    <w:p w14:paraId="44122E4E" w14:textId="77777777" w:rsidR="00CE419D" w:rsidRPr="00E331F4" w:rsidRDefault="00CE419D">
      <w:pPr>
        <w:pStyle w:val="Heading1"/>
        <w:rPr>
          <w:lang w:val="es-ES_tradnl"/>
        </w:rPr>
      </w:pPr>
      <w:r w:rsidRPr="00E331F4">
        <w:rPr>
          <w:lang w:val="es-ES_tradnl"/>
        </w:rPr>
        <w:t>2</w:t>
      </w:r>
      <w:r w:rsidRPr="00E331F4">
        <w:rPr>
          <w:lang w:val="es-ES_tradnl"/>
        </w:rPr>
        <w:tab/>
        <w:t>Aplicación del Artículo 6 del Acuerdo RJ88</w:t>
      </w:r>
    </w:p>
    <w:p w14:paraId="08874892" w14:textId="25DDB5E1"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2.1</w:t>
      </w:r>
      <w:r w:rsidRPr="00E331F4">
        <w:rPr>
          <w:lang w:val="es-ES_tradnl"/>
        </w:rPr>
        <w:tab/>
        <w:t>La aplicación de los §</w:t>
      </w:r>
      <w:r w:rsidR="00B41967">
        <w:rPr>
          <w:lang w:val="es-ES_tradnl"/>
        </w:rPr>
        <w:t> </w:t>
      </w:r>
      <w:r w:rsidRPr="00E331F4">
        <w:rPr>
          <w:lang w:val="es-ES_tradnl"/>
        </w:rPr>
        <w:t>1 a 6 del Artículo</w:t>
      </w:r>
      <w:r w:rsidR="00B41967">
        <w:rPr>
          <w:lang w:val="es-ES_tradnl"/>
        </w:rPr>
        <w:t> </w:t>
      </w:r>
      <w:r w:rsidRPr="00E331F4">
        <w:rPr>
          <w:lang w:val="es-ES_tradnl"/>
        </w:rPr>
        <w:t>6 no plantea ningún problema, y se aplicarán como se indica en el Artículo</w:t>
      </w:r>
      <w:r w:rsidR="00E331F4" w:rsidRPr="00E331F4">
        <w:rPr>
          <w:lang w:val="es-ES_tradnl"/>
        </w:rPr>
        <w:t> </w:t>
      </w:r>
      <w:r w:rsidRPr="00E331F4">
        <w:rPr>
          <w:lang w:val="es-ES_tradnl"/>
        </w:rPr>
        <w:t>6.</w:t>
      </w:r>
    </w:p>
    <w:p w14:paraId="48F7C189" w14:textId="77777777" w:rsidR="00CE419D" w:rsidRPr="00E331F4" w:rsidRDefault="00CE419D">
      <w:pPr>
        <w:rPr>
          <w:lang w:val="es-ES_tradnl"/>
        </w:rPr>
      </w:pPr>
      <w:r w:rsidRPr="00E331F4">
        <w:rPr>
          <w:lang w:val="es-ES_tradnl"/>
        </w:rPr>
        <w:t>2.2</w:t>
      </w:r>
      <w:r w:rsidRPr="00E331F4">
        <w:rPr>
          <w:lang w:val="es-ES_tradnl"/>
        </w:rPr>
        <w:tab/>
        <w:t>Si la administración vuelve a someter la notificación de conformidad con el § 7 del Artículo 6, la Oficina la registrará provisionalmente, en espera de la notificación de una estación de radiodifusión en la zona de la adjudicación que ha ocasionado la conclusión desfavorable.</w:t>
      </w:r>
    </w:p>
    <w:p w14:paraId="63C87CF5" w14:textId="77777777" w:rsidR="00CE419D" w:rsidRPr="00E331F4" w:rsidRDefault="00CE419D" w:rsidP="00E331F4">
      <w:pPr>
        <w:rPr>
          <w:lang w:val="es-ES_tradnl"/>
        </w:rPr>
      </w:pPr>
      <w:r w:rsidRPr="00E331F4">
        <w:rPr>
          <w:lang w:val="es-ES_tradnl"/>
        </w:rPr>
        <w:t>2.3</w:t>
      </w:r>
      <w:r w:rsidRPr="00E331F4">
        <w:rPr>
          <w:lang w:val="es-ES_tradnl"/>
        </w:rPr>
        <w:tab/>
        <w:t>La Oficina examinará las inscripciones cuando se le indique que una estación de radiodifusión entra en servicio en la zona de la adjudicación que ha dado origen a la conclusión desfavorable.</w:t>
      </w:r>
    </w:p>
    <w:p w14:paraId="1D6EBB31" w14:textId="77777777" w:rsidR="00CE419D" w:rsidRPr="00E331F4" w:rsidRDefault="00CE419D">
      <w:pPr>
        <w:rPr>
          <w:lang w:val="es-ES_tradnl"/>
        </w:rPr>
      </w:pPr>
      <w:r w:rsidRPr="00E331F4">
        <w:rPr>
          <w:lang w:val="es-ES_tradnl"/>
        </w:rPr>
        <w:t>2.4</w:t>
      </w:r>
      <w:r w:rsidRPr="00E331F4">
        <w:rPr>
          <w:lang w:val="es-ES_tradnl"/>
        </w:rPr>
        <w:tab/>
        <w:t>Si no se señalan interferencias causadas a la estación de radiodifusión durante el periodo de dos meses, la inscripción provisional se mantendrá sin cambios.</w:t>
      </w:r>
    </w:p>
    <w:p w14:paraId="3C1007C4" w14:textId="37B6674B" w:rsidR="00CE419D" w:rsidRDefault="00CE419D" w:rsidP="00E331F4">
      <w:pPr>
        <w:rPr>
          <w:lang w:val="es-ES_tradnl"/>
        </w:rPr>
      </w:pPr>
      <w:r w:rsidRPr="00E331F4">
        <w:rPr>
          <w:lang w:val="es-ES_tradnl"/>
        </w:rPr>
        <w:t>2.5</w:t>
      </w:r>
      <w:r w:rsidRPr="00E331F4">
        <w:rPr>
          <w:lang w:val="es-ES_tradnl"/>
        </w:rPr>
        <w:tab/>
        <w:t>Si se señalan interferencias causadas a la estación de radiodifusión durante el periodo de dos</w:t>
      </w:r>
      <w:r w:rsidR="00B41967">
        <w:rPr>
          <w:lang w:val="es-ES_tradnl"/>
        </w:rPr>
        <w:t> </w:t>
      </w:r>
      <w:r w:rsidRPr="00E331F4">
        <w:rPr>
          <w:lang w:val="es-ES_tradnl"/>
        </w:rPr>
        <w:t>meses se suprimirá la inscripción provisional y volverá a enviarse la notifi</w:t>
      </w:r>
      <w:r w:rsidR="00E331F4" w:rsidRPr="00E331F4">
        <w:rPr>
          <w:lang w:val="es-ES_tradnl"/>
        </w:rPr>
        <w:softHyphen/>
      </w:r>
      <w:r w:rsidRPr="00E331F4">
        <w:rPr>
          <w:lang w:val="es-ES_tradnl"/>
        </w:rPr>
        <w:t>cación a la administración.</w:t>
      </w:r>
    </w:p>
    <w:p w14:paraId="4E06B030" w14:textId="77777777" w:rsidR="00CE419D" w:rsidRPr="00E331F4" w:rsidRDefault="00CE419D" w:rsidP="00E331F4">
      <w:pPr>
        <w:rPr>
          <w:lang w:val="es-ES_tradnl"/>
        </w:rPr>
      </w:pPr>
    </w:p>
    <w:p w14:paraId="71A1EDF0" w14:textId="77777777" w:rsidR="00CE419D" w:rsidRPr="00E331F4" w:rsidRDefault="00CE419D" w:rsidP="00E331F4">
      <w:pPr>
        <w:jc w:val="center"/>
        <w:rPr>
          <w:lang w:val="es-ES_tradnl"/>
        </w:rPr>
      </w:pPr>
      <w:r w:rsidRPr="00E331F4">
        <w:rPr>
          <w:lang w:val="es-ES_tradnl"/>
        </w:rPr>
        <w:t>____________________</w:t>
      </w:r>
    </w:p>
    <w:p w14:paraId="6C31FB7C" w14:textId="77777777" w:rsidR="00CE419D" w:rsidRPr="00E331F4" w:rsidRDefault="00CE419D" w:rsidP="00E331F4">
      <w:pPr>
        <w:rPr>
          <w:lang w:val="es-ES_tradnl"/>
        </w:rPr>
      </w:pPr>
    </w:p>
    <w:p w14:paraId="5489A215" w14:textId="77777777" w:rsidR="00CE419D" w:rsidRPr="00E331F4" w:rsidRDefault="00CE419D" w:rsidP="00E331F4">
      <w:pPr>
        <w:rPr>
          <w:lang w:val="es-ES_tradnl"/>
        </w:rPr>
      </w:pPr>
    </w:p>
    <w:p w14:paraId="3F1BD7F8" w14:textId="77777777" w:rsidR="00CE419D" w:rsidRPr="00E331F4" w:rsidRDefault="00CE419D" w:rsidP="00E331F4">
      <w:pPr>
        <w:rPr>
          <w:lang w:val="es-ES_tradnl"/>
        </w:rPr>
      </w:pPr>
    </w:p>
    <w:p w14:paraId="2A3924DB" w14:textId="77777777" w:rsidR="00CE419D" w:rsidRPr="00E331F4" w:rsidRDefault="00CE419D" w:rsidP="00E331F4">
      <w:pPr>
        <w:rPr>
          <w:lang w:val="es-ES_tradnl"/>
        </w:rPr>
      </w:pPr>
    </w:p>
    <w:p w14:paraId="6D479E47" w14:textId="77777777" w:rsidR="00CE419D" w:rsidRPr="00E331F4" w:rsidRDefault="00CE419D" w:rsidP="00E331F4">
      <w:pPr>
        <w:rPr>
          <w:lang w:val="es-ES_tradnl"/>
        </w:rPr>
      </w:pPr>
    </w:p>
    <w:p w14:paraId="6F8FF6E3" w14:textId="77777777" w:rsidR="00CE419D" w:rsidRPr="00E331F4" w:rsidRDefault="00CE419D" w:rsidP="00E331F4">
      <w:pPr>
        <w:rPr>
          <w:lang w:val="es-ES_tradnl"/>
        </w:rPr>
      </w:pPr>
    </w:p>
    <w:p w14:paraId="00FF4E4A" w14:textId="77777777" w:rsidR="00CE419D" w:rsidRPr="00E331F4" w:rsidRDefault="00CE419D" w:rsidP="00E331F4">
      <w:pPr>
        <w:rPr>
          <w:lang w:val="es-ES_tradnl"/>
        </w:rPr>
      </w:pPr>
    </w:p>
    <w:p w14:paraId="5D6B2F0B" w14:textId="77777777" w:rsidR="00CE419D" w:rsidRPr="00E331F4" w:rsidRDefault="00CE419D" w:rsidP="00E331F4">
      <w:pPr>
        <w:rPr>
          <w:lang w:val="es-ES_tradnl"/>
        </w:rPr>
      </w:pPr>
    </w:p>
    <w:p w14:paraId="73F8A1BF" w14:textId="77777777" w:rsidR="00CE419D" w:rsidRPr="00E331F4" w:rsidRDefault="00CE419D" w:rsidP="00E331F4">
      <w:pPr>
        <w:rPr>
          <w:lang w:val="es-ES_tradnl"/>
        </w:rPr>
      </w:pPr>
    </w:p>
    <w:p w14:paraId="2461FF25" w14:textId="77777777" w:rsidR="00CE419D" w:rsidRPr="00E331F4" w:rsidRDefault="00CE419D" w:rsidP="00E331F4">
      <w:pPr>
        <w:rPr>
          <w:lang w:val="es-ES_tradnl"/>
        </w:rPr>
      </w:pPr>
    </w:p>
    <w:p w14:paraId="5E85F180" w14:textId="77777777" w:rsidR="00CE419D" w:rsidRPr="00E331F4" w:rsidRDefault="00CE419D" w:rsidP="00E331F4">
      <w:pPr>
        <w:rPr>
          <w:lang w:val="es-ES_tradnl"/>
        </w:rPr>
      </w:pPr>
    </w:p>
    <w:p w14:paraId="538EAB24" w14:textId="77777777" w:rsidR="00CE419D" w:rsidRPr="00E331F4" w:rsidRDefault="00CE419D" w:rsidP="00E331F4">
      <w:pPr>
        <w:rPr>
          <w:lang w:val="es-ES_tradnl"/>
        </w:rPr>
        <w:sectPr w:rsidR="00CE419D" w:rsidRPr="00E331F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34876A5" w14:textId="77777777" w:rsidR="00CE419D" w:rsidRPr="00E331F4" w:rsidRDefault="00CE419D" w:rsidP="00E331F4">
      <w:pPr>
        <w:rPr>
          <w:lang w:val="es-ES_tradnl"/>
        </w:rPr>
      </w:pPr>
    </w:p>
    <w:sectPr w:rsidR="00CE419D" w:rsidRPr="00E331F4" w:rsidSect="00E331F4">
      <w:headerReference w:type="first" r:id="rId12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FBAB1" w14:textId="77777777" w:rsidR="002D4865" w:rsidRDefault="002D4865">
      <w:r>
        <w:separator/>
      </w:r>
    </w:p>
  </w:endnote>
  <w:endnote w:type="continuationSeparator" w:id="0">
    <w:p w14:paraId="6E904F4E" w14:textId="77777777" w:rsidR="002D4865" w:rsidRDefault="002D4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E8EA7" w14:textId="77777777" w:rsidR="009C7ED4" w:rsidRDefault="009C7E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9CD9D" w14:textId="77777777" w:rsidR="009C7ED4" w:rsidRDefault="009C7E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0A651" w14:textId="77777777" w:rsidR="009C7ED4" w:rsidRDefault="009C7E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C675E" w14:textId="77777777" w:rsidR="002D4865" w:rsidRDefault="002D4865">
      <w:r>
        <w:rPr>
          <w:b/>
        </w:rPr>
        <w:t>_______________</w:t>
      </w:r>
    </w:p>
  </w:footnote>
  <w:footnote w:type="continuationSeparator" w:id="0">
    <w:p w14:paraId="3D070C1A" w14:textId="77777777" w:rsidR="002D4865" w:rsidRDefault="002D4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E419D" w14:paraId="71B43B2D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9F8991" w14:textId="56A816F9" w:rsidR="00CE419D" w:rsidRDefault="00CE419D">
          <w:pPr>
            <w:pStyle w:val="HeaderRegProc"/>
          </w:pPr>
          <w:bookmarkStart w:id="0" w:name="_GoBack"/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AE02D0">
            <w:rPr>
              <w:noProof/>
            </w:rPr>
            <w:t>A7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E6D6B45" w14:textId="7CE404D6" w:rsidR="00CE419D" w:rsidRDefault="00CE419D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E02D0">
            <w:rPr>
              <w:noProof/>
            </w:rPr>
            <w:t>RJ88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B92FF9" w14:textId="77777777" w:rsidR="00CE419D" w:rsidRDefault="00CE419D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A14E2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97251AD" w14:textId="5303839E" w:rsidR="00CE419D" w:rsidRDefault="00CE419D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B41967">
            <w:rPr>
              <w:lang w:val="fr-CH"/>
            </w:rPr>
            <w:t xml:space="preserve"> 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3159D4">
            <w:rPr>
              <w:lang w:val="fr-CH"/>
            </w:rPr>
            <w:t>-</w:t>
          </w:r>
          <w:r>
            <w:fldChar w:fldCharType="end"/>
          </w:r>
        </w:p>
      </w:tc>
    </w:tr>
    <w:bookmarkEnd w:id="0"/>
  </w:tbl>
  <w:p w14:paraId="2A4F2BAE" w14:textId="77777777" w:rsidR="00CE419D" w:rsidRDefault="00CE419D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E419D" w14:paraId="22DE36D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F8D20D" w14:textId="477CDBAB" w:rsidR="00CE419D" w:rsidRDefault="00CE419D">
          <w:pPr>
            <w:pStyle w:val="HeaderRegProc"/>
          </w:pPr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AE02D0">
            <w:rPr>
              <w:noProof/>
            </w:rPr>
            <w:t>A7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69F4611" w14:textId="6082866D" w:rsidR="00CE419D" w:rsidRDefault="00CE419D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AE02D0">
            <w:rPr>
              <w:noProof/>
            </w:rPr>
            <w:t>RJ88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74FD212" w14:textId="77777777" w:rsidR="00CE419D" w:rsidRDefault="00CE419D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A14E2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3AB27C" w14:textId="0509BF04" w:rsidR="00CE419D" w:rsidRDefault="00CE419D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B41967">
            <w:rPr>
              <w:lang w:val="fr-CH"/>
            </w:rPr>
            <w:t xml:space="preserve"> 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3159D4">
            <w:rPr>
              <w:lang w:val="fr-CH"/>
            </w:rPr>
            <w:t>-</w:t>
          </w:r>
          <w:r>
            <w:fldChar w:fldCharType="end"/>
          </w:r>
        </w:p>
      </w:tc>
    </w:tr>
  </w:tbl>
  <w:p w14:paraId="41EB5A7B" w14:textId="77777777" w:rsidR="00CE419D" w:rsidRDefault="00CE41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787E2" w14:textId="77777777" w:rsidR="009C7ED4" w:rsidRDefault="009C7E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1CB08" w14:textId="77777777" w:rsidR="00CE419D" w:rsidRDefault="00CE41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19D"/>
    <w:rsid w:val="002D4865"/>
    <w:rsid w:val="003159D4"/>
    <w:rsid w:val="004A14E2"/>
    <w:rsid w:val="009C7ED4"/>
    <w:rsid w:val="00AE02D0"/>
    <w:rsid w:val="00B41967"/>
    <w:rsid w:val="00CE025C"/>
    <w:rsid w:val="00CE419D"/>
    <w:rsid w:val="00E3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33586B3"/>
  <w15:docId w15:val="{1C83EE89-CBF4-4AD8-8AD2-58929D8C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31</TotalTime>
  <Pages>4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Edición 2009</vt:lpstr>
    </vt:vector>
  </TitlesOfParts>
  <Manager>CP--107223/DD</Manager>
  <Company>ITU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Edición 2009</dc:title>
  <dc:subject>RJ88 du RR</dc:subject>
  <dc:creator>Composition des Publications</dc:creator>
  <cp:keywords>FOLIOS:  1  -  2</cp:keywords>
  <dc:description>Edition 2009:  16.02.2009/DD (dict. ok)</dc:description>
  <cp:lastModifiedBy>Martinez Romera, Angel</cp:lastModifiedBy>
  <cp:revision>6</cp:revision>
  <cp:lastPrinted>2020-12-21T14:28:00Z</cp:lastPrinted>
  <dcterms:created xsi:type="dcterms:W3CDTF">2012-10-03T08:35:00Z</dcterms:created>
  <dcterms:modified xsi:type="dcterms:W3CDTF">2020-12-21T14:50:00Z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