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8BACD" w14:textId="77777777" w:rsidR="00BA7140" w:rsidRDefault="00BA7140" w:rsidP="00CB112C">
      <w:pPr>
        <w:pStyle w:val="Heading1"/>
        <w:spacing w:before="300"/>
        <w:jc w:val="center"/>
        <w:rPr>
          <w:lang w:val="es-ES"/>
        </w:rPr>
      </w:pPr>
      <w:r>
        <w:rPr>
          <w:lang w:val="es-ES"/>
        </w:rPr>
        <w:t xml:space="preserve">PARTE  </w:t>
      </w:r>
      <w:r>
        <w:rPr>
          <w:rStyle w:val="href"/>
          <w:lang w:val="es-ES"/>
        </w:rPr>
        <w:t>A3</w:t>
      </w:r>
    </w:p>
    <w:p w14:paraId="38731148" w14:textId="27496B89" w:rsidR="00BA7140" w:rsidRDefault="00BA7140">
      <w:pPr>
        <w:pStyle w:val="Heading1"/>
        <w:ind w:left="0" w:firstLine="0"/>
        <w:jc w:val="center"/>
        <w:rPr>
          <w:lang w:val="es-ES_tradnl"/>
        </w:rPr>
      </w:pPr>
      <w:r>
        <w:rPr>
          <w:lang w:val="es-ES"/>
        </w:rPr>
        <w:t>Reglas relativas al Acuerdo Regional sobre la utilización por el servicio de radiodifusión de frecuencias en las bandas de ondas hectométricas en las Regiones 1 y 3 y en las bandas de ondas kilométricas en la Región 1</w:t>
      </w:r>
      <w:r>
        <w:rPr>
          <w:lang w:val="es-ES"/>
        </w:rPr>
        <w:br/>
        <w:t>(Ginebra, 1975) (</w:t>
      </w:r>
      <w:r>
        <w:rPr>
          <w:rStyle w:val="href2"/>
          <w:lang w:val="es-ES"/>
        </w:rPr>
        <w:t>GE75</w:t>
      </w:r>
      <w:r w:rsidR="00470E87" w:rsidRPr="00D74430">
        <w:rPr>
          <w:lang w:val="es-ES_tradnl"/>
        </w:rPr>
        <w:t>)</w:t>
      </w:r>
    </w:p>
    <w:p w14:paraId="316AC396" w14:textId="77777777" w:rsidR="00BA7140" w:rsidRDefault="00BA7140">
      <w:pPr>
        <w:pStyle w:val="Heading8"/>
        <w:rPr>
          <w:lang w:val="es-ES"/>
        </w:rPr>
      </w:pPr>
      <w:r>
        <w:rPr>
          <w:lang w:val="es-ES"/>
        </w:rPr>
        <w:t>Art. 4</w:t>
      </w:r>
    </w:p>
    <w:p w14:paraId="67DE0F75" w14:textId="77777777" w:rsidR="00BA7140" w:rsidRDefault="00BA7140" w:rsidP="00CB112C">
      <w:pPr>
        <w:pStyle w:val="Heading2"/>
        <w:jc w:val="center"/>
        <w:rPr>
          <w:u w:val="single"/>
          <w:lang w:val="es-ES"/>
        </w:rPr>
      </w:pPr>
      <w:r>
        <w:rPr>
          <w:lang w:val="es-ES"/>
        </w:rPr>
        <w:t>Procedimiento para las modificaciones del Plan</w:t>
      </w:r>
    </w:p>
    <w:p w14:paraId="4D03DDA9" w14:textId="77777777" w:rsidR="00BA7140" w:rsidRDefault="00BA7140">
      <w:pPr>
        <w:pStyle w:val="Heading9"/>
        <w:rPr>
          <w:lang w:val="es-ES"/>
        </w:rPr>
      </w:pPr>
      <w:r>
        <w:rPr>
          <w:lang w:val="es-ES"/>
        </w:rPr>
        <w:t>3.2.12</w:t>
      </w:r>
    </w:p>
    <w:p w14:paraId="285B744A" w14:textId="77777777" w:rsidR="00BA7140" w:rsidRDefault="00BA7140">
      <w:pPr>
        <w:rPr>
          <w:lang w:val="es-ES"/>
        </w:rPr>
      </w:pPr>
      <w:r>
        <w:rPr>
          <w:lang w:val="es-ES"/>
        </w:rPr>
        <w:t>Si el plazo entre la publicación en la Parte A y en la Parte B es demasiado prolongado, es factible que entretanto se introduzcan otras modificaciones en el Plan, lo que no podría tenerse en cuenta en el momento de efectuarse el examen.</w:t>
      </w:r>
    </w:p>
    <w:p w14:paraId="5788F0D4" w14:textId="609C5885" w:rsidR="00BA7140" w:rsidRDefault="00BA7140" w:rsidP="00CB112C">
      <w:pPr>
        <w:rPr>
          <w:lang w:val="es-ES"/>
        </w:rPr>
      </w:pPr>
      <w:r>
        <w:rPr>
          <w:lang w:val="es-ES"/>
        </w:rPr>
        <w:t>Cuando, en aplicación de lo dispuesto en el §</w:t>
      </w:r>
      <w:r w:rsidR="005D1561">
        <w:rPr>
          <w:lang w:val="es-ES"/>
        </w:rPr>
        <w:t> </w:t>
      </w:r>
      <w:r>
        <w:rPr>
          <w:lang w:val="es-ES"/>
        </w:rPr>
        <w:t>3.2.12 del Acuerdo, una administración comu</w:t>
      </w:r>
      <w:r>
        <w:rPr>
          <w:lang w:val="es-ES"/>
        </w:rPr>
        <w:softHyphen/>
        <w:t>nica a la Oficina de Radiocomunicaciones las características finales de la asignación, tras un periodo de un año después de su publicación en la Parte A de una Sección especial GE75, la modificación deberá seguir nuevamente todo el procedimiento prescrito en el Artículo</w:t>
      </w:r>
      <w:r w:rsidR="007D7935">
        <w:rPr>
          <w:lang w:val="es-ES"/>
        </w:rPr>
        <w:t> </w:t>
      </w:r>
      <w:r>
        <w:rPr>
          <w:lang w:val="es-ES"/>
        </w:rPr>
        <w:t>4. La fecha en que la Oficina haya recibido la comunicación será considerada como la nueva fecha de recepción de la modificación propuesta. Dos meses antes de que finalice el periodo de un año se enviará un recordatorio a la administración notificante.</w:t>
      </w:r>
    </w:p>
    <w:p w14:paraId="3B8BECD4" w14:textId="77777777" w:rsidR="00BA7140" w:rsidRDefault="00BA7140">
      <w:pPr>
        <w:pStyle w:val="Heading9"/>
        <w:rPr>
          <w:lang w:val="es-ES"/>
        </w:rPr>
      </w:pPr>
      <w:r>
        <w:rPr>
          <w:lang w:val="es-ES"/>
        </w:rPr>
        <w:t>3.3.1</w:t>
      </w:r>
    </w:p>
    <w:p w14:paraId="02094581" w14:textId="57B0CA04" w:rsidR="00BA7140" w:rsidRDefault="00BA7140">
      <w:pPr>
        <w:rPr>
          <w:lang w:val="es-ES"/>
        </w:rPr>
      </w:pPr>
      <w:r>
        <w:rPr>
          <w:lang w:val="es-ES"/>
        </w:rPr>
        <w:t>En la aplicación del §</w:t>
      </w:r>
      <w:r w:rsidR="00C64036">
        <w:rPr>
          <w:lang w:val="es-ES"/>
        </w:rPr>
        <w:t> </w:t>
      </w:r>
      <w:r>
        <w:rPr>
          <w:lang w:val="es-ES"/>
        </w:rPr>
        <w:t>3.3 del Artículo</w:t>
      </w:r>
      <w:r w:rsidR="005D1561">
        <w:rPr>
          <w:lang w:val="es-ES"/>
        </w:rPr>
        <w:t> </w:t>
      </w:r>
      <w:r>
        <w:rPr>
          <w:lang w:val="es-ES"/>
        </w:rPr>
        <w:t>4, no se requiere el acuerdo de otro país cuando la modificación de las características de una asignación no aumente la probabilidad de inter</w:t>
      </w:r>
      <w:r>
        <w:rPr>
          <w:lang w:val="es-ES"/>
        </w:rPr>
        <w:softHyphen/>
        <w:t>ferencia en ningún punto de la frontera del país, dentro de la distancia de coordinación.</w:t>
      </w:r>
    </w:p>
    <w:p w14:paraId="38BC1A17" w14:textId="77777777" w:rsidR="008F5E05" w:rsidRDefault="008F5E05" w:rsidP="00C375B1">
      <w:pPr>
        <w:rPr>
          <w:lang w:val="es-ES"/>
        </w:rPr>
      </w:pPr>
      <w:r>
        <w:rPr>
          <w:lang w:val="es-ES"/>
        </w:rPr>
        <w:br w:type="page"/>
      </w:r>
    </w:p>
    <w:p w14:paraId="2341AEFD" w14:textId="77777777" w:rsidR="00BA7140" w:rsidRDefault="00BA7140">
      <w:pPr>
        <w:pStyle w:val="Heading8"/>
        <w:spacing w:before="600"/>
        <w:rPr>
          <w:lang w:val="es-ES"/>
        </w:rPr>
      </w:pPr>
      <w:r>
        <w:rPr>
          <w:lang w:val="es-ES"/>
        </w:rPr>
        <w:lastRenderedPageBreak/>
        <w:t>An. 1</w:t>
      </w:r>
    </w:p>
    <w:p w14:paraId="29E2E718" w14:textId="77777777" w:rsidR="00BA7140" w:rsidRDefault="00BA7140" w:rsidP="00CB112C">
      <w:pPr>
        <w:pStyle w:val="Heading2"/>
        <w:ind w:left="0" w:firstLine="0"/>
        <w:jc w:val="center"/>
        <w:rPr>
          <w:lang w:val="es-ES"/>
        </w:rPr>
      </w:pPr>
      <w:r>
        <w:rPr>
          <w:lang w:val="es-ES"/>
        </w:rPr>
        <w:t>Plan de asignación de frecuencia a estaciones de radiodifusión en la banda</w:t>
      </w:r>
      <w:r w:rsidR="00CB112C">
        <w:rPr>
          <w:lang w:val="es-ES"/>
        </w:rPr>
        <w:t xml:space="preserve"> </w:t>
      </w:r>
      <w:r>
        <w:rPr>
          <w:lang w:val="es-ES"/>
        </w:rPr>
        <w:t>de</w:t>
      </w:r>
      <w:r w:rsidR="00CB112C">
        <w:rPr>
          <w:lang w:val="es-ES"/>
        </w:rPr>
        <w:br/>
      </w:r>
      <w:r>
        <w:rPr>
          <w:lang w:val="es-ES"/>
        </w:rPr>
        <w:t>frecuencias de ondas hectométricas (distintas de las estaciones que utilizan</w:t>
      </w:r>
      <w:r>
        <w:rPr>
          <w:lang w:val="es-ES"/>
        </w:rPr>
        <w:br/>
        <w:t>canales de baja potencia) en las Regiones 1 y 3 y en las bandas</w:t>
      </w:r>
      <w:r>
        <w:rPr>
          <w:lang w:val="es-ES"/>
        </w:rPr>
        <w:br/>
        <w:t>de frecuencias de ondas kilométricas en la Región 1</w:t>
      </w:r>
    </w:p>
    <w:p w14:paraId="00C84CA1" w14:textId="77777777" w:rsidR="00BA7140" w:rsidRDefault="00BA7140">
      <w:pPr>
        <w:pStyle w:val="Headingb"/>
        <w:rPr>
          <w:lang w:val="es-ES"/>
        </w:rPr>
      </w:pPr>
      <w:r>
        <w:rPr>
          <w:lang w:val="es-ES"/>
        </w:rPr>
        <w:t>Explicación de los símbolos 24 y 33 utilizados en la columna «Observaciones»</w:t>
      </w:r>
    </w:p>
    <w:p w14:paraId="1F3065DA" w14:textId="77777777" w:rsidR="008F5E05" w:rsidRDefault="00BA7140" w:rsidP="00DE6EDA">
      <w:pPr>
        <w:rPr>
          <w:lang w:val="es-ES"/>
        </w:rPr>
      </w:pPr>
      <w:r>
        <w:rPr>
          <w:lang w:val="es-ES"/>
        </w:rPr>
        <w:t>La Junta ha tomado nota de que, si bien los símbolos 24 y 33 se aplican sólo a las asigna</w:t>
      </w:r>
      <w:r>
        <w:rPr>
          <w:lang w:val="es-ES"/>
        </w:rPr>
        <w:softHyphen/>
        <w:t xml:space="preserve">ciones que figuran en el Plan, en ellas se definen las relaciones entre Israel y los países </w:t>
      </w:r>
    </w:p>
    <w:p w14:paraId="1EC019DD" w14:textId="77777777" w:rsidR="00BA7140" w:rsidRDefault="00BA7140" w:rsidP="00DE6EDA">
      <w:pPr>
        <w:rPr>
          <w:lang w:val="es-ES"/>
        </w:rPr>
      </w:pPr>
      <w:r>
        <w:rPr>
          <w:lang w:val="es-ES"/>
        </w:rPr>
        <w:t>enumerados en el símbolo 33 y, por lo tanto, deben aplicarse no sólo a las modificaciones de las asignaciones de dichos países que figuran en el Plan, sino también a toda nueva asignación a la que resulte aplicable el procedimiento de modificación.</w:t>
      </w:r>
    </w:p>
    <w:p w14:paraId="4AAD0512" w14:textId="77777777" w:rsidR="00BA7140" w:rsidRDefault="00BA7140" w:rsidP="00CB112C">
      <w:pPr>
        <w:rPr>
          <w:lang w:val="es-ES"/>
        </w:rPr>
      </w:pPr>
      <w:r>
        <w:rPr>
          <w:lang w:val="es-ES"/>
        </w:rPr>
        <w:t>Por lo tanto, la Junta resolvió que toda nueva asignación o toda modificación de una asignación existente en el Plan comunicada a la Oficina por la Administración de Israel o una Administración de los siguientes países:</w:t>
      </w:r>
    </w:p>
    <w:p w14:paraId="6AA85432" w14:textId="77777777" w:rsidR="00BA7140" w:rsidRDefault="00BA7140">
      <w:pPr>
        <w:rPr>
          <w:lang w:val="es-ES"/>
        </w:rPr>
      </w:pPr>
      <w:r>
        <w:rPr>
          <w:lang w:val="es-ES"/>
        </w:rPr>
        <w:t>Argelia, Arabia Saudita, Egipto, Emiratos Árabes Unidos, Jordania, Kuwait, Líbano, Libia, Marruecos, Qatar, Sudán, Túnez y Yemen, se tratará de la manera siguiente:</w:t>
      </w:r>
    </w:p>
    <w:p w14:paraId="56B303CA" w14:textId="77777777" w:rsidR="00BA7140" w:rsidRDefault="00BA7140">
      <w:pPr>
        <w:pStyle w:val="enumlev1"/>
        <w:rPr>
          <w:lang w:val="es-ES"/>
        </w:rPr>
      </w:pPr>
      <w:r>
        <w:rPr>
          <w:lang w:val="es-ES"/>
        </w:rPr>
        <w:t>–</w:t>
      </w:r>
      <w:r>
        <w:rPr>
          <w:lang w:val="es-ES"/>
        </w:rPr>
        <w:tab/>
        <w:t>En el caso de una asignación de Israel, si el país (países) que objetan a la modificación está(n) incluido(s) en la lista de los países citados y si la objeción de este país (estos países) es el único obstáculo para cumplir el procedimiento de modificación, los comen</w:t>
      </w:r>
      <w:r>
        <w:rPr>
          <w:lang w:val="es-ES"/>
        </w:rPr>
        <w:softHyphen/>
        <w:t>tarios se comunicarán a la Administración de Israel y no se tendrán en cuenta para actualizar el Plan. Se aplicará el mismo procedimiento a la asignación de una adminis</w:t>
      </w:r>
      <w:r>
        <w:rPr>
          <w:lang w:val="es-ES"/>
        </w:rPr>
        <w:softHyphen/>
        <w:t>tración de los países citados, si la única administración objetante es la de Israel.</w:t>
      </w:r>
    </w:p>
    <w:p w14:paraId="2CA53F5D" w14:textId="7156C83D" w:rsidR="00BA7140" w:rsidRDefault="00BA7140">
      <w:pPr>
        <w:pStyle w:val="enumlev1"/>
        <w:rPr>
          <w:lang w:val="es-ES"/>
        </w:rPr>
      </w:pPr>
      <w:r>
        <w:rPr>
          <w:lang w:val="es-ES"/>
        </w:rPr>
        <w:t>–</w:t>
      </w:r>
      <w:r>
        <w:rPr>
          <w:lang w:val="es-ES"/>
        </w:rPr>
        <w:tab/>
        <w:t>En dicho caso, cuando se reciba la notificación se aplicarán las disposiciones del Artículo </w:t>
      </w:r>
      <w:r w:rsidRPr="00D74430">
        <w:rPr>
          <w:rStyle w:val="Artref"/>
          <w:b/>
          <w:bCs/>
          <w:color w:val="000000"/>
          <w:lang w:val="es-ES_tradnl"/>
        </w:rPr>
        <w:t>11</w:t>
      </w:r>
      <w:r>
        <w:rPr>
          <w:lang w:val="es-ES"/>
        </w:rPr>
        <w:t>.</w:t>
      </w:r>
    </w:p>
    <w:p w14:paraId="294CCD30" w14:textId="544AD92B" w:rsidR="00C64036" w:rsidRDefault="00C64036">
      <w:pPr>
        <w:pStyle w:val="enumlev1"/>
        <w:rPr>
          <w:lang w:val="es-ES"/>
        </w:rPr>
      </w:pPr>
    </w:p>
    <w:p w14:paraId="567A39A3" w14:textId="214C3D31" w:rsidR="00C64036" w:rsidRDefault="00C64036">
      <w:pPr>
        <w:pStyle w:val="enumlev1"/>
        <w:rPr>
          <w:lang w:val="es-ES"/>
        </w:rPr>
      </w:pPr>
      <w:r>
        <w:rPr>
          <w:lang w:val="es-ES"/>
        </w:rPr>
        <w:br w:type="page"/>
      </w:r>
    </w:p>
    <w:p w14:paraId="7BA9AB49" w14:textId="77777777" w:rsidR="00BA7140" w:rsidRDefault="00BA7140" w:rsidP="00CB112C">
      <w:pPr>
        <w:pStyle w:val="Heading8"/>
        <w:rPr>
          <w:lang w:val="es-ES"/>
        </w:rPr>
      </w:pPr>
      <w:r>
        <w:rPr>
          <w:lang w:val="es-ES"/>
        </w:rPr>
        <w:lastRenderedPageBreak/>
        <w:t>An. 2</w:t>
      </w:r>
    </w:p>
    <w:p w14:paraId="371D0B74" w14:textId="11D6DA00" w:rsidR="00BA7140" w:rsidRDefault="00BA7140">
      <w:pPr>
        <w:pStyle w:val="Heading2"/>
        <w:ind w:left="0" w:firstLine="0"/>
        <w:jc w:val="center"/>
        <w:rPr>
          <w:lang w:val="es-ES"/>
        </w:rPr>
      </w:pPr>
      <w:r>
        <w:rPr>
          <w:lang w:val="es-ES"/>
        </w:rPr>
        <w:t>Datos técnicos utilizados en la preparación del Plan y</w:t>
      </w:r>
      <w:r w:rsidR="00C64036">
        <w:rPr>
          <w:lang w:val="es-ES"/>
        </w:rPr>
        <w:br/>
      </w:r>
      <w:r>
        <w:rPr>
          <w:lang w:val="es-ES"/>
        </w:rPr>
        <w:t>que deben</w:t>
      </w:r>
      <w:r w:rsidR="00C64036">
        <w:rPr>
          <w:lang w:val="es-ES"/>
        </w:rPr>
        <w:t xml:space="preserve"> </w:t>
      </w:r>
      <w:r>
        <w:rPr>
          <w:lang w:val="es-ES"/>
        </w:rPr>
        <w:t>utilizarse en la aplicación del Acuerdo</w:t>
      </w:r>
    </w:p>
    <w:p w14:paraId="704D2566" w14:textId="77777777" w:rsidR="00D74430" w:rsidRPr="008F5E05" w:rsidRDefault="00D74430" w:rsidP="00D74430">
      <w:pPr>
        <w:pStyle w:val="ChapNo"/>
        <w:rPr>
          <w:b w:val="0"/>
          <w:bCs/>
        </w:rPr>
      </w:pPr>
      <w:r w:rsidRPr="008F5E05">
        <w:rPr>
          <w:b w:val="0"/>
          <w:bCs/>
        </w:rPr>
        <w:t>CAPÍTULO  1</w:t>
      </w:r>
    </w:p>
    <w:p w14:paraId="5AA0A61A" w14:textId="77777777" w:rsidR="00D74430" w:rsidRPr="008F5E05" w:rsidRDefault="00D74430" w:rsidP="00D74430">
      <w:pPr>
        <w:pStyle w:val="Chaptitle"/>
        <w:rPr>
          <w:sz w:val="26"/>
          <w:szCs w:val="26"/>
          <w:lang w:val="es-ES_tradnl"/>
        </w:rPr>
      </w:pPr>
      <w:r w:rsidRPr="008F5E05">
        <w:rPr>
          <w:sz w:val="26"/>
          <w:szCs w:val="26"/>
          <w:lang w:val="es-ES_tradnl"/>
        </w:rPr>
        <w:t>Definiciones</w:t>
      </w:r>
    </w:p>
    <w:p w14:paraId="60110A96" w14:textId="77777777" w:rsidR="00D74430" w:rsidRPr="00D74430" w:rsidRDefault="00D74430" w:rsidP="00D74430">
      <w:pPr>
        <w:tabs>
          <w:tab w:val="left" w:pos="0"/>
          <w:tab w:val="right" w:pos="4290"/>
        </w:tabs>
        <w:rPr>
          <w:lang w:val="es-ES_tradnl"/>
        </w:rPr>
      </w:pPr>
      <w:r w:rsidRPr="00D74430">
        <w:rPr>
          <w:i/>
          <w:iCs/>
          <w:lang w:val="es-ES_tradnl"/>
        </w:rPr>
        <w:t xml:space="preserve">Canal de baja potencia </w:t>
      </w:r>
      <w:r w:rsidRPr="00D74430">
        <w:rPr>
          <w:lang w:val="es-ES_tradnl"/>
        </w:rPr>
        <w:t>(CBP)</w:t>
      </w:r>
    </w:p>
    <w:p w14:paraId="08CFFFDA" w14:textId="77777777" w:rsidR="00D74430" w:rsidRPr="00D74430" w:rsidRDefault="00D74430" w:rsidP="00D74430">
      <w:pPr>
        <w:rPr>
          <w:lang w:val="es-ES_tradnl"/>
        </w:rPr>
      </w:pPr>
      <w:r w:rsidRPr="00D74430">
        <w:rPr>
          <w:lang w:val="es-ES_tradnl"/>
        </w:rPr>
        <w:t xml:space="preserve">Canal utilizado por estaciones de radiodifusión por ondas hectométricas, con una p.r.a.v. máxima de 1 kW (f.c.m. de 300 V) para modulación analógica y </w:t>
      </w:r>
      <w:r w:rsidRPr="00D74430">
        <w:rPr>
          <w:rFonts w:eastAsia="SimSun"/>
          <w:szCs w:val="24"/>
          <w:lang w:val="es-ES_tradnl" w:eastAsia="zh-CN"/>
        </w:rPr>
        <w:t>0,22 kW (f.c.m. de 140 V) para modulación digital.</w:t>
      </w:r>
    </w:p>
    <w:p w14:paraId="2E96FC21" w14:textId="77777777" w:rsidR="00BA7140" w:rsidRDefault="00BA7140">
      <w:pPr>
        <w:pStyle w:val="Heading9"/>
        <w:rPr>
          <w:lang w:val="es-ES"/>
        </w:rPr>
      </w:pPr>
      <w:r>
        <w:rPr>
          <w:lang w:val="es-ES"/>
        </w:rPr>
        <w:t>4.1</w:t>
      </w:r>
    </w:p>
    <w:p w14:paraId="71533EB9" w14:textId="3C25AAFC" w:rsidR="00BA7140" w:rsidRPr="00D74430" w:rsidRDefault="00BA7140">
      <w:pPr>
        <w:rPr>
          <w:lang w:val="es-ES_tradnl"/>
        </w:rPr>
      </w:pPr>
      <w:r>
        <w:rPr>
          <w:lang w:val="es-ES"/>
        </w:rPr>
        <w:t>El Capítulo</w:t>
      </w:r>
      <w:r w:rsidR="005D1561">
        <w:rPr>
          <w:lang w:val="es-ES"/>
        </w:rPr>
        <w:t> </w:t>
      </w:r>
      <w:r>
        <w:rPr>
          <w:lang w:val="es-ES"/>
        </w:rPr>
        <w:t>4 del Anexo</w:t>
      </w:r>
      <w:r w:rsidR="005D1561">
        <w:rPr>
          <w:lang w:val="es-ES"/>
        </w:rPr>
        <w:t> </w:t>
      </w:r>
      <w:r>
        <w:rPr>
          <w:lang w:val="es-ES"/>
        </w:rPr>
        <w:t xml:space="preserve">2 da las normas de radiodifusión aplicables al Acuerdo. </w:t>
      </w:r>
      <w:r w:rsidRPr="00D74430">
        <w:rPr>
          <w:lang w:val="es-ES_tradnl"/>
        </w:rPr>
        <w:t>En particular:</w:t>
      </w:r>
    </w:p>
    <w:p w14:paraId="219A3D04" w14:textId="77777777" w:rsidR="00BA7140" w:rsidRDefault="00BA7140" w:rsidP="00CB112C">
      <w:pPr>
        <w:rPr>
          <w:lang w:val="es-ES"/>
        </w:rPr>
      </w:pPr>
      <w:r>
        <w:rPr>
          <w:lang w:val="es-ES"/>
        </w:rPr>
        <w:t>4.1</w:t>
      </w:r>
      <w:r>
        <w:rPr>
          <w:lang w:val="es-ES"/>
        </w:rPr>
        <w:tab/>
      </w:r>
      <w:r>
        <w:rPr>
          <w:i/>
          <w:iCs/>
          <w:lang w:val="es-ES"/>
        </w:rPr>
        <w:t>Clase de emisión:</w:t>
      </w:r>
      <w:r w:rsidR="00CB112C">
        <w:rPr>
          <w:lang w:val="es-ES"/>
        </w:rPr>
        <w:t>  </w:t>
      </w:r>
      <w:r>
        <w:rPr>
          <w:lang w:val="es-ES"/>
        </w:rPr>
        <w:t>El Plan se establece para un sistema con modulación de amplitud de doble banda lateral y portadora completa</w:t>
      </w:r>
      <w:r w:rsidR="00CB112C">
        <w:rPr>
          <w:lang w:val="es-ES"/>
        </w:rPr>
        <w:t> </w:t>
      </w:r>
      <w:r>
        <w:rPr>
          <w:lang w:val="es-ES"/>
        </w:rPr>
        <w:t>(A3E).</w:t>
      </w:r>
    </w:p>
    <w:p w14:paraId="35237508" w14:textId="77777777" w:rsidR="00BA7140" w:rsidRDefault="00BA7140" w:rsidP="00CB112C">
      <w:pPr>
        <w:rPr>
          <w:lang w:val="es-ES"/>
        </w:rPr>
      </w:pPr>
      <w:r>
        <w:rPr>
          <w:lang w:val="es-ES"/>
        </w:rPr>
        <w:t>4.2</w:t>
      </w:r>
      <w:r>
        <w:rPr>
          <w:lang w:val="es-ES"/>
        </w:rPr>
        <w:tab/>
      </w:r>
      <w:r>
        <w:rPr>
          <w:i/>
          <w:iCs/>
          <w:lang w:val="es-ES"/>
        </w:rPr>
        <w:t>Potencia:</w:t>
      </w:r>
      <w:r w:rsidR="00CB112C">
        <w:rPr>
          <w:lang w:val="es-ES"/>
        </w:rPr>
        <w:t>  </w:t>
      </w:r>
      <w:r>
        <w:rPr>
          <w:lang w:val="es-ES"/>
        </w:rPr>
        <w:t>La potencia del transmisor es la potencia de la onda portadora en ausencia de modulación.</w:t>
      </w:r>
    </w:p>
    <w:p w14:paraId="2C4D7EB0" w14:textId="77777777" w:rsidR="00BA7140" w:rsidRDefault="00BA7140" w:rsidP="00D74430">
      <w:pPr>
        <w:rPr>
          <w:lang w:val="es-ES"/>
        </w:rPr>
      </w:pPr>
      <w:r>
        <w:rPr>
          <w:lang w:val="es-ES"/>
        </w:rPr>
        <w:t>4.3</w:t>
      </w:r>
      <w:r>
        <w:rPr>
          <w:lang w:val="es-ES"/>
        </w:rPr>
        <w:tab/>
      </w:r>
      <w:r>
        <w:rPr>
          <w:i/>
          <w:iCs/>
          <w:lang w:val="es-ES"/>
        </w:rPr>
        <w:t>Radiación:</w:t>
      </w:r>
      <w:r w:rsidR="00CB112C">
        <w:rPr>
          <w:lang w:val="es-ES"/>
        </w:rPr>
        <w:t>  </w:t>
      </w:r>
      <w:r>
        <w:rPr>
          <w:lang w:val="es-ES"/>
        </w:rPr>
        <w:t>Se considera que la radiación es el producto de la potencia nominal del transmisor por la ganancia de la antena (con relación a una antena vertical corta), que se supone sin pérdidas diversas</w:t>
      </w:r>
      <w:r w:rsidR="00D74430">
        <w:rPr>
          <w:rStyle w:val="FootnoteReference"/>
          <w:lang w:val="es-ES"/>
        </w:rPr>
        <w:footnoteReference w:id="1"/>
      </w:r>
      <w:r>
        <w:rPr>
          <w:lang w:val="es-ES"/>
        </w:rPr>
        <w:t>. Se expresa, bien por la fuerza cimomotriz (f.c.m. en V o en dB con relación a 300 V), o bien por la potencia radiada aparente respecto a una antena vertical corta (p.r.a.v. en kW o en dB con relación a 1 kW).</w:t>
      </w:r>
    </w:p>
    <w:p w14:paraId="3401E40E" w14:textId="77777777" w:rsidR="00D74430" w:rsidRPr="00D74430" w:rsidRDefault="00D74430" w:rsidP="00D74430">
      <w:pPr>
        <w:rPr>
          <w:lang w:val="es-ES_tradnl"/>
        </w:rPr>
      </w:pPr>
      <w:r w:rsidRPr="00D74430">
        <w:rPr>
          <w:lang w:val="es-ES_tradnl"/>
        </w:rPr>
        <w:t>4.4</w:t>
      </w:r>
      <w:r w:rsidRPr="00D74430">
        <w:rPr>
          <w:lang w:val="es-ES_tradnl"/>
        </w:rPr>
        <w:tab/>
      </w:r>
      <w:r w:rsidRPr="00D74430">
        <w:rPr>
          <w:i/>
          <w:lang w:val="es-ES_tradnl"/>
        </w:rPr>
        <w:t xml:space="preserve">Relaciones de protección: </w:t>
      </w:r>
      <w:r w:rsidRPr="00D74430">
        <w:rPr>
          <w:lang w:val="es-ES_tradnl"/>
        </w:rPr>
        <w:t>Al aplicar el Acuerdo, se emplearán los siguientes valores para la relación de protección en el mismo canal y en el canal adyacente, salvo si las administraciones interesadas convienen otra cosa. En caso de que la señal deseada o la señal interferente sean fluctuantes, los valores de la relación de protección son aplicables para al menos el 50% de las noches del año, a media noche.</w:t>
      </w:r>
    </w:p>
    <w:p w14:paraId="4796B6D1" w14:textId="77777777" w:rsidR="008F5E05" w:rsidRDefault="008F5E05" w:rsidP="00D74430">
      <w:pPr>
        <w:rPr>
          <w:rFonts w:eastAsia="SimSun"/>
          <w:lang w:val="es-ES_tradnl" w:eastAsia="zh-CN"/>
        </w:rPr>
      </w:pPr>
      <w:r>
        <w:rPr>
          <w:rFonts w:eastAsia="SimSun"/>
          <w:lang w:val="es-ES_tradnl" w:eastAsia="zh-CN"/>
        </w:rPr>
        <w:br w:type="page"/>
      </w:r>
    </w:p>
    <w:p w14:paraId="7BF03F92" w14:textId="2B58FC62" w:rsidR="00D74430" w:rsidRPr="00D74430" w:rsidRDefault="00D74430" w:rsidP="00D74430">
      <w:pPr>
        <w:rPr>
          <w:rFonts w:eastAsia="SimSun"/>
          <w:lang w:val="es-ES_tradnl" w:eastAsia="zh-CN"/>
        </w:rPr>
      </w:pPr>
      <w:r w:rsidRPr="00D74430">
        <w:rPr>
          <w:rFonts w:eastAsia="SimSun"/>
          <w:lang w:val="es-ES_tradnl" w:eastAsia="zh-CN"/>
        </w:rPr>
        <w:lastRenderedPageBreak/>
        <w:t>Sin embargo, la Resolución</w:t>
      </w:r>
      <w:r w:rsidR="005D1561">
        <w:rPr>
          <w:rFonts w:eastAsia="SimSun"/>
          <w:lang w:val="es-ES_tradnl" w:eastAsia="zh-CN"/>
        </w:rPr>
        <w:t> </w:t>
      </w:r>
      <w:r w:rsidRPr="00D74430">
        <w:rPr>
          <w:rFonts w:eastAsia="SimSun"/>
          <w:lang w:val="es-ES_tradnl" w:eastAsia="zh-CN"/>
        </w:rPr>
        <w:t>8 de la Conferencia Administrativa Regional (Regiones 1 y 3) para establecer el plan de asignación de frecuencias de la radiodifusión en ondas kilométricas y hectométricas (Ginebra, 1975) indica:</w:t>
      </w:r>
    </w:p>
    <w:p w14:paraId="4AC3C777" w14:textId="77777777" w:rsidR="00D74430" w:rsidRPr="00D74430" w:rsidRDefault="00D74430" w:rsidP="00D74430">
      <w:pPr>
        <w:tabs>
          <w:tab w:val="left" w:pos="0"/>
          <w:tab w:val="right" w:pos="9316"/>
        </w:tabs>
        <w:rPr>
          <w:i/>
          <w:iCs/>
          <w:lang w:val="es-ES_tradnl"/>
        </w:rPr>
      </w:pPr>
      <w:r w:rsidRPr="00D74430">
        <w:rPr>
          <w:i/>
          <w:iCs/>
          <w:lang w:val="es-ES_tradnl"/>
        </w:rPr>
        <w:t>«1</w:t>
      </w:r>
      <w:r w:rsidRPr="00D74430">
        <w:rPr>
          <w:i/>
          <w:iCs/>
          <w:lang w:val="es-ES_tradnl"/>
        </w:rPr>
        <w:tab/>
        <w:t>que las estaciones de radiodifusión puedan utilizar provisionalmente métodos de modulación que permiten economizar anchura de banda, a condición de que la interferencia ocasionada en el mismo canal o en canales adyacentes no exceda de la que produce el empleo de la modulación de doble banda lateral y portadora complete (A3E);</w:t>
      </w:r>
    </w:p>
    <w:p w14:paraId="53C7EAC9" w14:textId="77777777" w:rsidR="00D74430" w:rsidRPr="00D74430" w:rsidRDefault="00D74430" w:rsidP="00D74430">
      <w:pPr>
        <w:tabs>
          <w:tab w:val="left" w:pos="0"/>
          <w:tab w:val="right" w:pos="9316"/>
        </w:tabs>
        <w:rPr>
          <w:i/>
          <w:iCs/>
          <w:lang w:val="es-ES_tradnl"/>
        </w:rPr>
      </w:pPr>
      <w:r w:rsidRPr="00D74430">
        <w:rPr>
          <w:i/>
          <w:iCs/>
          <w:lang w:val="es-ES_tradnl"/>
        </w:rPr>
        <w:t>2</w:t>
      </w:r>
      <w:r w:rsidRPr="00D74430">
        <w:rPr>
          <w:i/>
          <w:iCs/>
          <w:lang w:val="es-ES_tradnl"/>
        </w:rPr>
        <w:tab/>
        <w:t>que toda administración que se proponga utilizar esas clases de emisión busque el acuerdo de cualquier administración interesada aplicando el procedimiento previsto en el artículo 4 del Acuerdo.».</w:t>
      </w:r>
    </w:p>
    <w:p w14:paraId="3786F098" w14:textId="0FF5A2CD" w:rsidR="00D74430" w:rsidRPr="00D74430" w:rsidRDefault="003F0C6D" w:rsidP="0098763A">
      <w:pPr>
        <w:rPr>
          <w:szCs w:val="24"/>
          <w:lang w:val="es-ES_tradnl" w:eastAsia="zh-CN"/>
        </w:rPr>
      </w:pPr>
      <w:r w:rsidRPr="003F0C6D">
        <w:rPr>
          <w:lang w:val="es-ES_tradnl" w:eastAsia="zh-CN"/>
        </w:rPr>
        <w:t xml:space="preserve">Tras considerar los estudios pertinentes del UIT-R, la Junta decidió que una asignación de frecuencia con modulación analógica en el Plan  puede notificarse para su inscripción en el Registro Internacional de Frecuencias (MIFR) con modulación digital (sistema de transmisión </w:t>
      </w:r>
      <w:r w:rsidRPr="003F0C6D">
        <w:rPr>
          <w:i/>
          <w:iCs/>
          <w:lang w:val="es-ES_tradnl" w:eastAsia="zh-CN"/>
        </w:rPr>
        <w:t>Digital Radio Mondiale</w:t>
      </w:r>
      <w:r w:rsidRPr="003F0C6D">
        <w:rPr>
          <w:vertAlign w:val="superscript"/>
          <w:lang w:val="es-ES_tradnl" w:eastAsia="zh-CN"/>
        </w:rPr>
        <w:footnoteReference w:id="2"/>
      </w:r>
      <w:r w:rsidRPr="003F0C6D">
        <w:rPr>
          <w:lang w:val="es-ES_tradnl" w:eastAsia="zh-CN"/>
        </w:rPr>
        <w:t>, modo de robustez</w:t>
      </w:r>
      <w:r w:rsidRPr="003F0C6D">
        <w:rPr>
          <w:vertAlign w:val="superscript"/>
          <w:lang w:val="es-ES_tradnl" w:eastAsia="zh-CN"/>
        </w:rPr>
        <w:footnoteReference w:id="3"/>
      </w:r>
      <w:r w:rsidRPr="003F0C6D">
        <w:rPr>
          <w:lang w:val="es-ES_tradnl" w:eastAsia="zh-CN"/>
        </w:rPr>
        <w:t xml:space="preserve"> A o B y tipo</w:t>
      </w:r>
      <w:r w:rsidR="007D7935">
        <w:rPr>
          <w:lang w:val="es-ES_tradnl" w:eastAsia="zh-CN"/>
        </w:rPr>
        <w:t> </w:t>
      </w:r>
      <w:r w:rsidRPr="003F0C6D">
        <w:rPr>
          <w:lang w:val="es-ES_tradnl" w:eastAsia="zh-CN"/>
        </w:rPr>
        <w:t>2 de ocupación del espectro), siempre que se reduzca la radiación en al menos 6,6 dB en todas las direcciones, en comparación con la radiación de la atribución del Plan con frecuencia analógica.</w:t>
      </w:r>
      <w:r w:rsidR="00D74430" w:rsidRPr="00D74430">
        <w:rPr>
          <w:lang w:val="es-ES_tradnl"/>
        </w:rPr>
        <w:t xml:space="preserve"> </w:t>
      </w:r>
    </w:p>
    <w:p w14:paraId="4EC8CD50" w14:textId="77777777" w:rsidR="00D74430" w:rsidRPr="00D74430" w:rsidRDefault="00D74430" w:rsidP="00D74430">
      <w:pPr>
        <w:rPr>
          <w:szCs w:val="24"/>
          <w:lang w:val="es-ES_tradnl" w:eastAsia="zh-CN"/>
        </w:rPr>
      </w:pPr>
      <w:r w:rsidRPr="00D74430">
        <w:rPr>
          <w:szCs w:val="24"/>
          <w:lang w:val="es-ES_tradnl" w:eastAsia="zh-CN"/>
        </w:rPr>
        <w:t>La potencia del transmisor que ha de notificarse en caso de modulación digital será la potencia total dentro de la anchura de banda necesaria.</w:t>
      </w:r>
    </w:p>
    <w:p w14:paraId="08794497" w14:textId="56C61962" w:rsidR="00D74430" w:rsidRDefault="00D74430" w:rsidP="0098763A">
      <w:pPr>
        <w:rPr>
          <w:szCs w:val="24"/>
          <w:lang w:val="es-ES_tradnl" w:eastAsia="zh-CN"/>
        </w:rPr>
      </w:pPr>
      <w:r w:rsidRPr="00D74430">
        <w:rPr>
          <w:szCs w:val="24"/>
          <w:lang w:val="es-ES_tradnl" w:eastAsia="zh-CN"/>
        </w:rPr>
        <w:t>La Junta decidió, además, que en aplicación del Artículo 4 del Acuerdo deberán utilizarse las relaciones de protección entre asignaciones analógicas y digitales (sistema de transmisión Digital Radio Mondiale, modo robusto A y B y tipo</w:t>
      </w:r>
      <w:r w:rsidR="007D7935">
        <w:rPr>
          <w:szCs w:val="24"/>
          <w:lang w:val="es-ES_tradnl" w:eastAsia="zh-CN"/>
        </w:rPr>
        <w:t> </w:t>
      </w:r>
      <w:r w:rsidRPr="00D74430">
        <w:rPr>
          <w:szCs w:val="24"/>
          <w:lang w:val="es-ES_tradnl" w:eastAsia="zh-CN"/>
        </w:rPr>
        <w:t>2 de ocupación del espectro) y asignaciones digitales y digitales que figuran en la Parte B de la Sección B7.</w:t>
      </w:r>
    </w:p>
    <w:p w14:paraId="2F49161F" w14:textId="39ECE86A" w:rsidR="00CD7A18" w:rsidRPr="00D74430" w:rsidRDefault="00CD7A18" w:rsidP="0098763A">
      <w:pPr>
        <w:rPr>
          <w:szCs w:val="24"/>
          <w:lang w:val="es-ES_tradnl" w:eastAsia="zh-CN"/>
        </w:rPr>
      </w:pPr>
      <w:r w:rsidRPr="00C64036">
        <w:rPr>
          <w:lang w:val="es-ES"/>
        </w:rPr>
        <w:t>A fin de permitir la determinación de las relaciones de protección y del valor mínimo de intensidad de campo pertinentes, con arreglo a la Sección</w:t>
      </w:r>
      <w:r w:rsidR="007D7935">
        <w:rPr>
          <w:lang w:val="es-ES"/>
        </w:rPr>
        <w:t> </w:t>
      </w:r>
      <w:r w:rsidRPr="00C64036">
        <w:rPr>
          <w:lang w:val="es-ES"/>
        </w:rPr>
        <w:t>B7, que son necesarios para determinar las administraciones potencialmente afectadas con arreglo al párrafo</w:t>
      </w:r>
      <w:r w:rsidR="005D1561">
        <w:rPr>
          <w:lang w:val="es-ES"/>
        </w:rPr>
        <w:t> </w:t>
      </w:r>
      <w:r w:rsidRPr="00C64036">
        <w:rPr>
          <w:lang w:val="es-ES"/>
        </w:rPr>
        <w:t>3.2.5 del Acuerdo GE75, la Junta también decidió introducir los datos del esquema de modulación y la velocidad media de código como obligatorios para la presentación de propuestas de modificación del Plan que se refieran a asignaciones digitales utilizando el formulario de notificación T03.</w:t>
      </w:r>
    </w:p>
    <w:p w14:paraId="21E25EC2" w14:textId="4F7E7F4F" w:rsidR="00BA7140" w:rsidRDefault="00BA7140">
      <w:pPr>
        <w:rPr>
          <w:lang w:val="es-ES"/>
        </w:rPr>
      </w:pPr>
      <w:r>
        <w:rPr>
          <w:lang w:val="es-ES"/>
        </w:rPr>
        <w:t>Esta Regla de Procedimiento tiene carácter provisional hasta el momento de su confirmación por una conferencia competente que trate el tema en cuestión.</w:t>
      </w:r>
    </w:p>
    <w:p w14:paraId="42E6D6C3" w14:textId="30EFB35E" w:rsidR="00C64036" w:rsidRDefault="00C64036">
      <w:pPr>
        <w:rPr>
          <w:lang w:val="es-ES"/>
        </w:rPr>
      </w:pPr>
      <w:r>
        <w:rPr>
          <w:lang w:val="es-ES"/>
        </w:rPr>
        <w:br w:type="page"/>
      </w:r>
    </w:p>
    <w:p w14:paraId="0459F480" w14:textId="1EDA0357" w:rsidR="00D74430" w:rsidRDefault="00D74430" w:rsidP="00D74430">
      <w:pPr>
        <w:pStyle w:val="Heading9"/>
        <w:rPr>
          <w:lang w:val="es-ES"/>
        </w:rPr>
      </w:pPr>
      <w:r>
        <w:rPr>
          <w:lang w:val="es-ES"/>
        </w:rPr>
        <w:lastRenderedPageBreak/>
        <w:t>4.5</w:t>
      </w:r>
    </w:p>
    <w:p w14:paraId="0A057293" w14:textId="77777777" w:rsidR="00D74430" w:rsidRPr="00D74430" w:rsidRDefault="00D74430" w:rsidP="00D74430">
      <w:pPr>
        <w:rPr>
          <w:lang w:val="es-ES_tradnl"/>
        </w:rPr>
      </w:pPr>
      <w:r w:rsidRPr="00D74430">
        <w:rPr>
          <w:lang w:val="es-ES_tradnl"/>
        </w:rPr>
        <w:t>4.5</w:t>
      </w:r>
      <w:r w:rsidRPr="00D74430">
        <w:rPr>
          <w:lang w:val="es-ES_tradnl"/>
        </w:rPr>
        <w:tab/>
      </w:r>
      <w:r w:rsidRPr="00D74430">
        <w:rPr>
          <w:i/>
          <w:lang w:val="es-ES_tradnl"/>
        </w:rPr>
        <w:t>Mínimo valor de la intensidad de campo</w:t>
      </w:r>
    </w:p>
    <w:p w14:paraId="0E091AFE" w14:textId="77777777" w:rsidR="00D74430" w:rsidRPr="00D74430" w:rsidRDefault="00D74430" w:rsidP="00D74430">
      <w:pPr>
        <w:tabs>
          <w:tab w:val="left" w:pos="0"/>
          <w:tab w:val="right" w:pos="9290"/>
        </w:tabs>
        <w:rPr>
          <w:lang w:val="es-ES_tradnl"/>
        </w:rPr>
      </w:pPr>
      <w:r w:rsidRPr="00D74430">
        <w:rPr>
          <w:lang w:val="es-ES_tradnl"/>
        </w:rPr>
        <w:t>4.5.1</w:t>
      </w:r>
      <w:r w:rsidRPr="00D74430">
        <w:rPr>
          <w:lang w:val="es-ES_tradnl"/>
        </w:rPr>
        <w:tab/>
        <w:t>El «mínimo valor de la intensidad de campo» necesario a fin de superar el ruido natural (para las asignaciones de frecuencia que utilizan mo</w:t>
      </w:r>
      <w:r w:rsidR="003F61C9">
        <w:rPr>
          <w:lang w:val="es-ES_tradnl"/>
        </w:rPr>
        <w:t>dulación analógica) en las tres </w:t>
      </w:r>
      <w:r w:rsidRPr="00D74430">
        <w:rPr>
          <w:lang w:val="es-ES_tradnl"/>
        </w:rPr>
        <w:t>zonas A, B y C (para 1 MHz) se ha fijado de la forma siguiente:</w:t>
      </w:r>
    </w:p>
    <w:p w14:paraId="0E5D2E7C" w14:textId="77777777" w:rsidR="00D74430" w:rsidRPr="00D74430" w:rsidRDefault="00D74430" w:rsidP="00D74430">
      <w:pPr>
        <w:rPr>
          <w:lang w:val="es-ES_tradnl"/>
        </w:rPr>
      </w:pPr>
      <w:r w:rsidRPr="00D74430">
        <w:rPr>
          <w:lang w:val="es-ES_tradnl"/>
        </w:rPr>
        <w:tab/>
        <w:t>Zona A:  + 60 dB/1µVm</w:t>
      </w:r>
    </w:p>
    <w:p w14:paraId="27CD04F8" w14:textId="77777777" w:rsidR="00D74430" w:rsidRPr="00D74430" w:rsidRDefault="00D74430" w:rsidP="00D74430">
      <w:pPr>
        <w:rPr>
          <w:lang w:val="es-ES_tradnl"/>
        </w:rPr>
      </w:pPr>
      <w:r w:rsidRPr="00D74430">
        <w:rPr>
          <w:lang w:val="es-ES_tradnl"/>
        </w:rPr>
        <w:tab/>
        <w:t>Zona B:  + 70 dB/1µVm</w:t>
      </w:r>
    </w:p>
    <w:p w14:paraId="7F44613A" w14:textId="77777777" w:rsidR="00D74430" w:rsidRPr="00D74430" w:rsidRDefault="00D74430" w:rsidP="00D74430">
      <w:pPr>
        <w:rPr>
          <w:lang w:val="es-ES_tradnl"/>
        </w:rPr>
      </w:pPr>
      <w:r w:rsidRPr="00D74430">
        <w:rPr>
          <w:lang w:val="es-ES_tradnl"/>
        </w:rPr>
        <w:tab/>
        <w:t>Zona C:  + 63 dB/1µVm</w:t>
      </w:r>
    </w:p>
    <w:p w14:paraId="7D52E4AE" w14:textId="77777777" w:rsidR="00D74430" w:rsidRPr="00D74430" w:rsidRDefault="00D74430" w:rsidP="00D74430">
      <w:pPr>
        <w:rPr>
          <w:lang w:val="es-ES_tradnl"/>
        </w:rPr>
      </w:pPr>
      <w:r w:rsidRPr="00D74430">
        <w:rPr>
          <w:lang w:val="es-ES_tradnl"/>
        </w:rPr>
        <w:t>Para las asignaciones de frecuencia que utilizan modulación digital deben emplearse los mínimos valores de intensidad de campo que aparecen en la Sección B7 de la Parte B.</w:t>
      </w:r>
    </w:p>
    <w:p w14:paraId="701BD5BA" w14:textId="77777777" w:rsidR="00BA7140" w:rsidRDefault="00BA7140">
      <w:pPr>
        <w:pStyle w:val="Heading9"/>
        <w:rPr>
          <w:lang w:val="es-ES"/>
        </w:rPr>
      </w:pPr>
      <w:r>
        <w:rPr>
          <w:lang w:val="es-ES"/>
        </w:rPr>
        <w:t>4.8.3</w:t>
      </w:r>
    </w:p>
    <w:p w14:paraId="76E33DC6" w14:textId="46CF76C6" w:rsidR="00D74430" w:rsidRDefault="00D74430" w:rsidP="00D74430">
      <w:pPr>
        <w:tabs>
          <w:tab w:val="left" w:pos="0"/>
          <w:tab w:val="right" w:pos="9302"/>
        </w:tabs>
        <w:rPr>
          <w:lang w:val="es-ES_tradnl"/>
        </w:rPr>
      </w:pPr>
      <w:r w:rsidRPr="00D74430">
        <w:rPr>
          <w:lang w:val="es-ES_tradnl"/>
        </w:rPr>
        <w:t>4.8.3</w:t>
      </w:r>
      <w:r w:rsidRPr="00D74430">
        <w:rPr>
          <w:lang w:val="es-ES_tradnl"/>
        </w:rPr>
        <w:tab/>
        <w:t>Para la aplicación de las disposiciones del punto 3.3.1 del Artículo 4 del Acuerdo, se utilizará el cuadro siguiente:</w:t>
      </w:r>
    </w:p>
    <w:p w14:paraId="200C76BA" w14:textId="77777777" w:rsidR="005D1561" w:rsidRPr="005D1561" w:rsidRDefault="005D1561" w:rsidP="005D1561">
      <w:pPr>
        <w:tabs>
          <w:tab w:val="left" w:pos="0"/>
          <w:tab w:val="right" w:pos="9302"/>
        </w:tabs>
        <w:spacing w:before="0"/>
        <w:rPr>
          <w:sz w:val="12"/>
          <w:szCs w:val="12"/>
          <w:lang w:val="es-ES_tradnl"/>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3330"/>
      </w:tblGrid>
      <w:tr w:rsidR="00D74430" w:rsidRPr="008950AD" w14:paraId="131CEDD5" w14:textId="77777777" w:rsidTr="00DE2933">
        <w:tc>
          <w:tcPr>
            <w:tcW w:w="2880" w:type="dxa"/>
            <w:gridSpan w:val="2"/>
          </w:tcPr>
          <w:p w14:paraId="06C5C2DA" w14:textId="77777777" w:rsidR="00D74430" w:rsidRPr="00D74430" w:rsidRDefault="00D74430" w:rsidP="00D74430">
            <w:pPr>
              <w:spacing w:before="120" w:after="120"/>
              <w:jc w:val="center"/>
              <w:rPr>
                <w:b/>
                <w:bCs/>
              </w:rPr>
            </w:pPr>
            <w:r w:rsidRPr="00D74430">
              <w:rPr>
                <w:b/>
                <w:bCs/>
                <w:sz w:val="20"/>
                <w:lang w:val="en-US"/>
              </w:rPr>
              <w:t>f.c.m.</w:t>
            </w:r>
            <w:r w:rsidRPr="00D74430">
              <w:rPr>
                <w:b/>
                <w:bCs/>
                <w:sz w:val="20"/>
                <w:lang w:val="en-US"/>
              </w:rPr>
              <w:br/>
              <w:t>(V)</w:t>
            </w:r>
          </w:p>
        </w:tc>
        <w:tc>
          <w:tcPr>
            <w:tcW w:w="2880" w:type="dxa"/>
            <w:gridSpan w:val="2"/>
          </w:tcPr>
          <w:p w14:paraId="6BD0EAA7" w14:textId="77777777" w:rsidR="00D74430" w:rsidRPr="00D74430" w:rsidRDefault="00D74430" w:rsidP="00D74430">
            <w:pPr>
              <w:spacing w:before="120" w:after="120"/>
              <w:jc w:val="center"/>
              <w:rPr>
                <w:b/>
                <w:bCs/>
              </w:rPr>
            </w:pPr>
            <w:r w:rsidRPr="00D74430">
              <w:rPr>
                <w:b/>
                <w:bCs/>
                <w:sz w:val="20"/>
                <w:lang w:val="en-US"/>
              </w:rPr>
              <w:t xml:space="preserve">p.r.a.v </w:t>
            </w:r>
            <w:r w:rsidRPr="00D74430">
              <w:rPr>
                <w:b/>
                <w:bCs/>
                <w:sz w:val="20"/>
                <w:lang w:val="en-US"/>
              </w:rPr>
              <w:br/>
              <w:t>(kW)</w:t>
            </w:r>
          </w:p>
        </w:tc>
        <w:tc>
          <w:tcPr>
            <w:tcW w:w="3330" w:type="dxa"/>
            <w:vMerge w:val="restart"/>
          </w:tcPr>
          <w:p w14:paraId="48C6F11E" w14:textId="77777777" w:rsidR="00D74430" w:rsidRPr="00D74430" w:rsidRDefault="00D74430" w:rsidP="00D74430">
            <w:pPr>
              <w:spacing w:before="480"/>
              <w:jc w:val="center"/>
              <w:rPr>
                <w:b/>
                <w:bCs/>
                <w:lang w:val="es-ES_tradnl"/>
              </w:rPr>
            </w:pPr>
            <w:r w:rsidRPr="00D74430">
              <w:rPr>
                <w:b/>
                <w:bCs/>
                <w:sz w:val="20"/>
                <w:lang w:val="es-ES_tradnl"/>
              </w:rPr>
              <w:t>Valor límite de la distancia</w:t>
            </w:r>
            <w:r w:rsidRPr="00D74430">
              <w:rPr>
                <w:b/>
                <w:bCs/>
                <w:sz w:val="20"/>
                <w:lang w:val="es-ES_tradnl"/>
              </w:rPr>
              <w:br/>
              <w:t>(km)</w:t>
            </w:r>
          </w:p>
        </w:tc>
      </w:tr>
      <w:tr w:rsidR="00D74430" w14:paraId="68411888" w14:textId="77777777" w:rsidTr="00DE2933">
        <w:tc>
          <w:tcPr>
            <w:tcW w:w="1440" w:type="dxa"/>
          </w:tcPr>
          <w:p w14:paraId="57DCC75D" w14:textId="77777777" w:rsidR="00D74430" w:rsidRPr="00D74430" w:rsidRDefault="00D74430" w:rsidP="00D74430">
            <w:pPr>
              <w:spacing w:before="120" w:after="120"/>
              <w:jc w:val="center"/>
              <w:rPr>
                <w:b/>
                <w:bCs/>
              </w:rPr>
            </w:pPr>
            <w:r w:rsidRPr="00D74430">
              <w:rPr>
                <w:b/>
                <w:bCs/>
                <w:sz w:val="20"/>
                <w:lang w:val="en-US"/>
              </w:rPr>
              <w:t>Modulación</w:t>
            </w:r>
            <w:r w:rsidRPr="00D74430">
              <w:rPr>
                <w:b/>
                <w:bCs/>
                <w:sz w:val="20"/>
                <w:lang w:val="en-US"/>
              </w:rPr>
              <w:br/>
            </w:r>
            <w:r>
              <w:rPr>
                <w:b/>
                <w:bCs/>
                <w:sz w:val="20"/>
                <w:lang w:val="en-US"/>
              </w:rPr>
              <w:t>analogical</w:t>
            </w:r>
          </w:p>
        </w:tc>
        <w:tc>
          <w:tcPr>
            <w:tcW w:w="1440" w:type="dxa"/>
          </w:tcPr>
          <w:p w14:paraId="4BD92376" w14:textId="77777777" w:rsidR="00D74430" w:rsidRPr="00D74430" w:rsidRDefault="00D74430" w:rsidP="00D74430">
            <w:pPr>
              <w:spacing w:before="120" w:after="120"/>
              <w:jc w:val="center"/>
              <w:rPr>
                <w:b/>
                <w:bCs/>
              </w:rPr>
            </w:pPr>
            <w:r w:rsidRPr="00D74430">
              <w:rPr>
                <w:b/>
                <w:bCs/>
                <w:sz w:val="20"/>
                <w:lang w:val="en-US"/>
              </w:rPr>
              <w:t>Modulación</w:t>
            </w:r>
            <w:r w:rsidRPr="00D74430">
              <w:rPr>
                <w:b/>
                <w:bCs/>
                <w:sz w:val="20"/>
                <w:lang w:val="en-US"/>
              </w:rPr>
              <w:br/>
              <w:t>digital</w:t>
            </w:r>
          </w:p>
        </w:tc>
        <w:tc>
          <w:tcPr>
            <w:tcW w:w="1440" w:type="dxa"/>
          </w:tcPr>
          <w:p w14:paraId="64323630" w14:textId="77777777" w:rsidR="00D74430" w:rsidRPr="00D74430" w:rsidRDefault="00D74430" w:rsidP="00D74430">
            <w:pPr>
              <w:spacing w:before="120" w:after="120"/>
              <w:jc w:val="center"/>
              <w:rPr>
                <w:b/>
                <w:bCs/>
              </w:rPr>
            </w:pPr>
            <w:r w:rsidRPr="00D74430">
              <w:rPr>
                <w:b/>
                <w:bCs/>
                <w:sz w:val="20"/>
                <w:lang w:val="en-US"/>
              </w:rPr>
              <w:t>Modulación</w:t>
            </w:r>
            <w:r w:rsidRPr="00D74430">
              <w:rPr>
                <w:b/>
                <w:bCs/>
                <w:sz w:val="20"/>
                <w:lang w:val="en-US"/>
              </w:rPr>
              <w:br/>
            </w:r>
            <w:r>
              <w:rPr>
                <w:b/>
                <w:bCs/>
                <w:sz w:val="20"/>
                <w:lang w:val="en-US"/>
              </w:rPr>
              <w:t>analogical</w:t>
            </w:r>
          </w:p>
        </w:tc>
        <w:tc>
          <w:tcPr>
            <w:tcW w:w="1440" w:type="dxa"/>
          </w:tcPr>
          <w:p w14:paraId="7555C4D9" w14:textId="77777777" w:rsidR="00D74430" w:rsidRPr="00D74430" w:rsidRDefault="00D74430" w:rsidP="00D74430">
            <w:pPr>
              <w:spacing w:before="120" w:after="120"/>
              <w:jc w:val="center"/>
              <w:rPr>
                <w:b/>
                <w:bCs/>
              </w:rPr>
            </w:pPr>
            <w:r w:rsidRPr="00D74430">
              <w:rPr>
                <w:b/>
                <w:bCs/>
                <w:sz w:val="20"/>
                <w:lang w:val="en-US"/>
              </w:rPr>
              <w:t>Modulación</w:t>
            </w:r>
            <w:r w:rsidRPr="00D74430">
              <w:rPr>
                <w:b/>
                <w:bCs/>
                <w:sz w:val="20"/>
                <w:lang w:val="en-US"/>
              </w:rPr>
              <w:br/>
              <w:t>digital</w:t>
            </w:r>
          </w:p>
        </w:tc>
        <w:tc>
          <w:tcPr>
            <w:tcW w:w="3330" w:type="dxa"/>
            <w:vMerge/>
          </w:tcPr>
          <w:p w14:paraId="766DAADF" w14:textId="77777777" w:rsidR="00D74430" w:rsidRDefault="00D74430" w:rsidP="00DE2933">
            <w:pPr>
              <w:jc w:val="center"/>
            </w:pPr>
          </w:p>
        </w:tc>
      </w:tr>
      <w:tr w:rsidR="00D74430" w14:paraId="368751E6" w14:textId="77777777" w:rsidTr="00DE2933">
        <w:tc>
          <w:tcPr>
            <w:tcW w:w="1440" w:type="dxa"/>
            <w:vAlign w:val="center"/>
          </w:tcPr>
          <w:p w14:paraId="24570C6C" w14:textId="77777777"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300</w:t>
            </w:r>
          </w:p>
        </w:tc>
        <w:tc>
          <w:tcPr>
            <w:tcW w:w="1440" w:type="dxa"/>
            <w:vAlign w:val="center"/>
          </w:tcPr>
          <w:p w14:paraId="3A845E1B"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140</w:t>
            </w:r>
          </w:p>
        </w:tc>
        <w:tc>
          <w:tcPr>
            <w:tcW w:w="1440" w:type="dxa"/>
            <w:vAlign w:val="center"/>
          </w:tcPr>
          <w:p w14:paraId="031B079B"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1</w:t>
            </w:r>
            <w:r>
              <w:rPr>
                <w:sz w:val="20"/>
                <w:lang w:val="en-US"/>
              </w:rPr>
              <w:t>,</w:t>
            </w:r>
            <w:r w:rsidRPr="00DA44E1">
              <w:rPr>
                <w:sz w:val="20"/>
                <w:lang w:val="en-US"/>
              </w:rPr>
              <w:t>0</w:t>
            </w:r>
          </w:p>
        </w:tc>
        <w:tc>
          <w:tcPr>
            <w:tcW w:w="1440" w:type="dxa"/>
            <w:vAlign w:val="center"/>
          </w:tcPr>
          <w:p w14:paraId="3EFF77F6"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22</w:t>
            </w:r>
          </w:p>
        </w:tc>
        <w:tc>
          <w:tcPr>
            <w:tcW w:w="3330" w:type="dxa"/>
            <w:vAlign w:val="center"/>
          </w:tcPr>
          <w:p w14:paraId="69A9EA1D"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600</w:t>
            </w:r>
          </w:p>
        </w:tc>
      </w:tr>
      <w:tr w:rsidR="00D74430" w14:paraId="32344D7C" w14:textId="77777777" w:rsidTr="00DE2933">
        <w:tc>
          <w:tcPr>
            <w:tcW w:w="1440" w:type="dxa"/>
            <w:vAlign w:val="center"/>
          </w:tcPr>
          <w:p w14:paraId="005DA599" w14:textId="77777777"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260</w:t>
            </w:r>
          </w:p>
        </w:tc>
        <w:tc>
          <w:tcPr>
            <w:tcW w:w="1440" w:type="dxa"/>
            <w:vAlign w:val="center"/>
          </w:tcPr>
          <w:p w14:paraId="23A6852C" w14:textId="77777777"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122</w:t>
            </w:r>
          </w:p>
        </w:tc>
        <w:tc>
          <w:tcPr>
            <w:tcW w:w="1440" w:type="dxa"/>
            <w:vAlign w:val="center"/>
          </w:tcPr>
          <w:p w14:paraId="464FB15E"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75</w:t>
            </w:r>
          </w:p>
        </w:tc>
        <w:tc>
          <w:tcPr>
            <w:tcW w:w="1440" w:type="dxa"/>
            <w:vAlign w:val="center"/>
          </w:tcPr>
          <w:p w14:paraId="7A5436D7" w14:textId="77777777"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0</w:t>
            </w:r>
            <w:r>
              <w:rPr>
                <w:sz w:val="20"/>
                <w:lang w:val="en-US"/>
              </w:rPr>
              <w:t>,</w:t>
            </w:r>
            <w:r w:rsidRPr="00DA44E1">
              <w:rPr>
                <w:sz w:val="20"/>
                <w:lang w:val="en-US"/>
              </w:rPr>
              <w:t>16</w:t>
            </w:r>
          </w:p>
        </w:tc>
        <w:tc>
          <w:tcPr>
            <w:tcW w:w="3330" w:type="dxa"/>
            <w:vAlign w:val="center"/>
          </w:tcPr>
          <w:p w14:paraId="0BC8D231"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500</w:t>
            </w:r>
          </w:p>
        </w:tc>
      </w:tr>
      <w:tr w:rsidR="00D74430" w14:paraId="79B0DC0F" w14:textId="77777777" w:rsidTr="00DE2933">
        <w:tc>
          <w:tcPr>
            <w:tcW w:w="1440" w:type="dxa"/>
            <w:vAlign w:val="center"/>
          </w:tcPr>
          <w:p w14:paraId="1B8D63EB" w14:textId="77777777"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212</w:t>
            </w:r>
          </w:p>
        </w:tc>
        <w:tc>
          <w:tcPr>
            <w:tcW w:w="1440" w:type="dxa"/>
            <w:vAlign w:val="center"/>
          </w:tcPr>
          <w:p w14:paraId="1A3EE7FE" w14:textId="77777777"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99</w:t>
            </w:r>
          </w:p>
        </w:tc>
        <w:tc>
          <w:tcPr>
            <w:tcW w:w="1440" w:type="dxa"/>
            <w:vAlign w:val="center"/>
          </w:tcPr>
          <w:p w14:paraId="7A56C8E5"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5</w:t>
            </w:r>
          </w:p>
        </w:tc>
        <w:tc>
          <w:tcPr>
            <w:tcW w:w="1440" w:type="dxa"/>
            <w:vAlign w:val="center"/>
          </w:tcPr>
          <w:p w14:paraId="6E660049" w14:textId="77777777"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0</w:t>
            </w:r>
            <w:r>
              <w:rPr>
                <w:sz w:val="20"/>
                <w:lang w:val="en-US"/>
              </w:rPr>
              <w:t>,</w:t>
            </w:r>
            <w:r w:rsidRPr="00DA44E1">
              <w:rPr>
                <w:sz w:val="20"/>
                <w:lang w:val="en-US"/>
              </w:rPr>
              <w:t>11</w:t>
            </w:r>
          </w:p>
        </w:tc>
        <w:tc>
          <w:tcPr>
            <w:tcW w:w="3330" w:type="dxa"/>
            <w:vAlign w:val="center"/>
          </w:tcPr>
          <w:p w14:paraId="5A25DD8A"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400</w:t>
            </w:r>
          </w:p>
        </w:tc>
      </w:tr>
      <w:tr w:rsidR="00D74430" w14:paraId="470C59F1" w14:textId="77777777" w:rsidTr="00DE2933">
        <w:tc>
          <w:tcPr>
            <w:tcW w:w="1440" w:type="dxa"/>
            <w:vAlign w:val="center"/>
          </w:tcPr>
          <w:p w14:paraId="10F71EFE" w14:textId="77777777"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150</w:t>
            </w:r>
          </w:p>
        </w:tc>
        <w:tc>
          <w:tcPr>
            <w:tcW w:w="1440" w:type="dxa"/>
            <w:vAlign w:val="center"/>
          </w:tcPr>
          <w:p w14:paraId="736CAD58" w14:textId="77777777"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70</w:t>
            </w:r>
          </w:p>
        </w:tc>
        <w:tc>
          <w:tcPr>
            <w:tcW w:w="1440" w:type="dxa"/>
            <w:vAlign w:val="center"/>
          </w:tcPr>
          <w:p w14:paraId="2B42F637"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25</w:t>
            </w:r>
          </w:p>
        </w:tc>
        <w:tc>
          <w:tcPr>
            <w:tcW w:w="1440" w:type="dxa"/>
            <w:vAlign w:val="center"/>
          </w:tcPr>
          <w:p w14:paraId="42EC6F87" w14:textId="77777777"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0</w:t>
            </w:r>
            <w:r>
              <w:rPr>
                <w:sz w:val="20"/>
                <w:lang w:val="en-US"/>
              </w:rPr>
              <w:t>,</w:t>
            </w:r>
            <w:r w:rsidRPr="00DA44E1">
              <w:rPr>
                <w:sz w:val="20"/>
                <w:lang w:val="en-US"/>
              </w:rPr>
              <w:t>055</w:t>
            </w:r>
          </w:p>
        </w:tc>
        <w:tc>
          <w:tcPr>
            <w:tcW w:w="3330" w:type="dxa"/>
            <w:vAlign w:val="center"/>
          </w:tcPr>
          <w:p w14:paraId="037F55D4"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200, 300*</w:t>
            </w:r>
          </w:p>
        </w:tc>
      </w:tr>
      <w:tr w:rsidR="00D74430" w14:paraId="6DB0A679" w14:textId="77777777" w:rsidTr="00DE2933">
        <w:tc>
          <w:tcPr>
            <w:tcW w:w="1440" w:type="dxa"/>
            <w:vAlign w:val="center"/>
          </w:tcPr>
          <w:p w14:paraId="3FE347AB" w14:textId="77777777"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95</w:t>
            </w:r>
          </w:p>
        </w:tc>
        <w:tc>
          <w:tcPr>
            <w:tcW w:w="1440" w:type="dxa"/>
            <w:vAlign w:val="center"/>
          </w:tcPr>
          <w:p w14:paraId="0D415227" w14:textId="77777777" w:rsidR="00D74430" w:rsidRPr="00DA44E1" w:rsidRDefault="00D74430" w:rsidP="00DE2933">
            <w:pPr>
              <w:pStyle w:val="Tabletext0"/>
              <w:tabs>
                <w:tab w:val="left" w:pos="794"/>
                <w:tab w:val="left" w:pos="1191"/>
                <w:tab w:val="left" w:pos="1588"/>
              </w:tabs>
              <w:jc w:val="center"/>
              <w:rPr>
                <w:bCs/>
                <w:sz w:val="20"/>
                <w:highlight w:val="yellow"/>
                <w:lang w:val="en-US"/>
              </w:rPr>
            </w:pPr>
            <w:r w:rsidRPr="00DA44E1">
              <w:rPr>
                <w:bCs/>
                <w:sz w:val="20"/>
                <w:lang w:val="en-US"/>
              </w:rPr>
              <w:t>44</w:t>
            </w:r>
          </w:p>
        </w:tc>
        <w:tc>
          <w:tcPr>
            <w:tcW w:w="1440" w:type="dxa"/>
            <w:vAlign w:val="center"/>
          </w:tcPr>
          <w:p w14:paraId="1DF94C48"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1</w:t>
            </w:r>
          </w:p>
        </w:tc>
        <w:tc>
          <w:tcPr>
            <w:tcW w:w="1440" w:type="dxa"/>
            <w:vAlign w:val="center"/>
          </w:tcPr>
          <w:p w14:paraId="7FF01CC7" w14:textId="77777777"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0</w:t>
            </w:r>
            <w:r>
              <w:rPr>
                <w:sz w:val="20"/>
                <w:lang w:val="en-US"/>
              </w:rPr>
              <w:t>,</w:t>
            </w:r>
            <w:r w:rsidRPr="00DA44E1">
              <w:rPr>
                <w:sz w:val="20"/>
                <w:lang w:val="en-US"/>
              </w:rPr>
              <w:t xml:space="preserve">022 </w:t>
            </w:r>
          </w:p>
        </w:tc>
        <w:tc>
          <w:tcPr>
            <w:tcW w:w="3330" w:type="dxa"/>
            <w:vAlign w:val="center"/>
          </w:tcPr>
          <w:p w14:paraId="398CE818"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70, 250*</w:t>
            </w:r>
          </w:p>
        </w:tc>
      </w:tr>
      <w:tr w:rsidR="00D74430" w14:paraId="6A09C955" w14:textId="77777777" w:rsidTr="00DE2933">
        <w:tc>
          <w:tcPr>
            <w:tcW w:w="1440" w:type="dxa"/>
            <w:tcBorders>
              <w:bottom w:val="single" w:sz="4" w:space="0" w:color="auto"/>
            </w:tcBorders>
            <w:vAlign w:val="center"/>
          </w:tcPr>
          <w:p w14:paraId="2CEF7448" w14:textId="77777777"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67</w:t>
            </w:r>
          </w:p>
        </w:tc>
        <w:tc>
          <w:tcPr>
            <w:tcW w:w="1440" w:type="dxa"/>
            <w:tcBorders>
              <w:bottom w:val="single" w:sz="4" w:space="0" w:color="auto"/>
            </w:tcBorders>
            <w:vAlign w:val="center"/>
          </w:tcPr>
          <w:p w14:paraId="794CBF9A" w14:textId="77777777" w:rsidR="00D74430" w:rsidRPr="00DA44E1" w:rsidRDefault="00D74430" w:rsidP="00DE2933">
            <w:pPr>
              <w:pStyle w:val="Tabletext0"/>
              <w:tabs>
                <w:tab w:val="left" w:pos="794"/>
                <w:tab w:val="left" w:pos="1191"/>
                <w:tab w:val="left" w:pos="1588"/>
              </w:tabs>
              <w:jc w:val="center"/>
              <w:rPr>
                <w:bCs/>
                <w:sz w:val="20"/>
                <w:highlight w:val="yellow"/>
                <w:lang w:val="en-US"/>
              </w:rPr>
            </w:pPr>
            <w:r w:rsidRPr="00DA44E1">
              <w:rPr>
                <w:bCs/>
                <w:sz w:val="20"/>
                <w:lang w:val="en-US"/>
              </w:rPr>
              <w:t>31</w:t>
            </w:r>
          </w:p>
        </w:tc>
        <w:tc>
          <w:tcPr>
            <w:tcW w:w="1440" w:type="dxa"/>
            <w:tcBorders>
              <w:bottom w:val="single" w:sz="4" w:space="0" w:color="auto"/>
            </w:tcBorders>
            <w:vAlign w:val="center"/>
          </w:tcPr>
          <w:p w14:paraId="105F61CC"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05</w:t>
            </w:r>
          </w:p>
        </w:tc>
        <w:tc>
          <w:tcPr>
            <w:tcW w:w="1440" w:type="dxa"/>
            <w:tcBorders>
              <w:bottom w:val="single" w:sz="4" w:space="0" w:color="auto"/>
            </w:tcBorders>
            <w:vAlign w:val="center"/>
          </w:tcPr>
          <w:p w14:paraId="3637837C" w14:textId="77777777"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0</w:t>
            </w:r>
            <w:r>
              <w:rPr>
                <w:sz w:val="20"/>
                <w:lang w:val="en-US"/>
              </w:rPr>
              <w:t>,</w:t>
            </w:r>
            <w:r w:rsidRPr="00DA44E1">
              <w:rPr>
                <w:sz w:val="20"/>
                <w:lang w:val="en-US"/>
              </w:rPr>
              <w:t>011</w:t>
            </w:r>
          </w:p>
        </w:tc>
        <w:tc>
          <w:tcPr>
            <w:tcW w:w="3330" w:type="dxa"/>
            <w:tcBorders>
              <w:bottom w:val="single" w:sz="4" w:space="0" w:color="auto"/>
            </w:tcBorders>
            <w:vAlign w:val="center"/>
          </w:tcPr>
          <w:p w14:paraId="0ABC049E" w14:textId="77777777"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50, 200*</w:t>
            </w:r>
          </w:p>
        </w:tc>
      </w:tr>
      <w:tr w:rsidR="00D74430" w:rsidRPr="008950AD" w14:paraId="367A5D96" w14:textId="77777777" w:rsidTr="00DE2933">
        <w:tc>
          <w:tcPr>
            <w:tcW w:w="9090" w:type="dxa"/>
            <w:gridSpan w:val="5"/>
            <w:tcBorders>
              <w:left w:val="nil"/>
              <w:bottom w:val="nil"/>
              <w:right w:val="nil"/>
            </w:tcBorders>
          </w:tcPr>
          <w:p w14:paraId="147DBAF7" w14:textId="2D701559" w:rsidR="00D74430" w:rsidRPr="00D74430" w:rsidRDefault="00D74430" w:rsidP="00944412">
            <w:pPr>
              <w:tabs>
                <w:tab w:val="clear" w:pos="1134"/>
                <w:tab w:val="left" w:pos="252"/>
              </w:tabs>
              <w:spacing w:after="40"/>
              <w:rPr>
                <w:lang w:val="es-ES_tradnl"/>
              </w:rPr>
            </w:pPr>
            <w:r w:rsidRPr="00D74430">
              <w:rPr>
                <w:sz w:val="20"/>
                <w:lang w:val="es-ES_tradnl"/>
              </w:rPr>
              <w:t>*</w:t>
            </w:r>
            <w:r w:rsidRPr="00D74430">
              <w:rPr>
                <w:sz w:val="20"/>
                <w:lang w:val="es-ES_tradnl"/>
              </w:rPr>
              <w:tab/>
              <w:t>Valores para un trayecto de propagación sobre el mar.</w:t>
            </w:r>
          </w:p>
        </w:tc>
      </w:tr>
    </w:tbl>
    <w:p w14:paraId="536E519F" w14:textId="77777777" w:rsidR="005D1561" w:rsidRPr="005D1561" w:rsidRDefault="005D1561" w:rsidP="005D1561">
      <w:pPr>
        <w:tabs>
          <w:tab w:val="left" w:pos="0"/>
          <w:tab w:val="right" w:pos="9302"/>
        </w:tabs>
        <w:spacing w:before="0"/>
        <w:rPr>
          <w:sz w:val="12"/>
          <w:szCs w:val="12"/>
          <w:lang w:val="es-ES_tradnl"/>
        </w:rPr>
      </w:pPr>
    </w:p>
    <w:p w14:paraId="0F6524C1" w14:textId="1E642878" w:rsidR="00D74430" w:rsidRDefault="00D74430" w:rsidP="008F5E05">
      <w:pPr>
        <w:pStyle w:val="Note"/>
        <w:rPr>
          <w:sz w:val="22"/>
          <w:szCs w:val="22"/>
          <w:lang w:val="es-ES_tradnl"/>
        </w:rPr>
      </w:pPr>
      <w:r w:rsidRPr="008F5E05">
        <w:rPr>
          <w:sz w:val="22"/>
          <w:szCs w:val="22"/>
          <w:lang w:val="es-ES_tradnl"/>
        </w:rPr>
        <w:t>NOTA</w:t>
      </w:r>
      <w:r w:rsidR="0018736F">
        <w:rPr>
          <w:sz w:val="22"/>
          <w:szCs w:val="22"/>
          <w:lang w:val="es-ES_tradnl"/>
        </w:rPr>
        <w:t> </w:t>
      </w:r>
      <w:r w:rsidRPr="008F5E05">
        <w:rPr>
          <w:sz w:val="22"/>
          <w:szCs w:val="22"/>
          <w:lang w:val="es-ES_tradnl"/>
        </w:rPr>
        <w:t>–</w:t>
      </w:r>
      <w:r w:rsidR="0018736F">
        <w:rPr>
          <w:sz w:val="22"/>
          <w:szCs w:val="22"/>
          <w:lang w:val="es-ES_tradnl"/>
        </w:rPr>
        <w:t> </w:t>
      </w:r>
      <w:r w:rsidRPr="008F5E05">
        <w:rPr>
          <w:sz w:val="22"/>
          <w:szCs w:val="22"/>
          <w:lang w:val="es-ES_tradnl"/>
        </w:rPr>
        <w:t>Las distancias de coordinación correspondientes a las asignaciones de frecuencia que utilizan modulación digital se obtuvieron reduciendo en 6,6</w:t>
      </w:r>
      <w:r w:rsidR="005D1561">
        <w:rPr>
          <w:sz w:val="22"/>
          <w:szCs w:val="22"/>
          <w:lang w:val="es-ES_tradnl"/>
        </w:rPr>
        <w:t> </w:t>
      </w:r>
      <w:r w:rsidRPr="008F5E05">
        <w:rPr>
          <w:sz w:val="22"/>
          <w:szCs w:val="22"/>
          <w:lang w:val="es-ES_tradnl"/>
        </w:rPr>
        <w:t>dB la p.r.a.v., lo cual presenta el caso más desfavorable de incremento de las relaciones de protección para el caso de asignaciones que utilizan modulación digital e interfieren con asignaciones que utilizan modulación analógica comparado con los casos de interferencia mutua entre asignaciones que utilizan modulación analógica.</w:t>
      </w:r>
    </w:p>
    <w:p w14:paraId="339FDF8B" w14:textId="77777777" w:rsidR="005D1561" w:rsidRDefault="005D1561" w:rsidP="008F5E05">
      <w:pPr>
        <w:pStyle w:val="Note"/>
        <w:rPr>
          <w:sz w:val="22"/>
          <w:szCs w:val="22"/>
          <w:lang w:val="es-ES_tradnl"/>
        </w:rPr>
      </w:pPr>
    </w:p>
    <w:p w14:paraId="2F99711E" w14:textId="797663C9" w:rsidR="00E323C5" w:rsidRDefault="00E323C5" w:rsidP="00E323C5">
      <w:pPr>
        <w:rPr>
          <w:lang w:val="es-ES_tradnl"/>
        </w:rPr>
      </w:pPr>
      <w:r>
        <w:rPr>
          <w:lang w:val="es-ES_tradnl"/>
        </w:rPr>
        <w:br w:type="page"/>
      </w:r>
    </w:p>
    <w:p w14:paraId="11A33A56" w14:textId="5341986D" w:rsidR="00BA7140" w:rsidRDefault="00BA7140" w:rsidP="00D74430">
      <w:pPr>
        <w:rPr>
          <w:lang w:val="es-ES"/>
        </w:rPr>
      </w:pPr>
      <w:r>
        <w:rPr>
          <w:lang w:val="es-ES"/>
        </w:rPr>
        <w:lastRenderedPageBreak/>
        <w:t>En el caso de un trayecto mixto (parcialmente terrestre y parcialmente marítimo), la distancia límite se calculará de la siguiente forma:</w:t>
      </w:r>
    </w:p>
    <w:p w14:paraId="3E01BDA0" w14:textId="77777777" w:rsidR="00BA7140" w:rsidRDefault="00BA7140">
      <w:pPr>
        <w:pStyle w:val="Equation"/>
        <w:tabs>
          <w:tab w:val="clear" w:pos="4678"/>
          <w:tab w:val="center" w:pos="4536"/>
        </w:tabs>
        <w:rPr>
          <w:lang w:val="es-ES"/>
        </w:rPr>
      </w:pPr>
      <w:r>
        <w:rPr>
          <w:lang w:val="es-ES"/>
        </w:rPr>
        <w:tab/>
      </w:r>
      <w:r>
        <w:rPr>
          <w:lang w:val="es-ES"/>
        </w:rPr>
        <w:tab/>
        <w:t xml:space="preserve">Distancia límite  </w:t>
      </w:r>
      <w:r>
        <w:rPr>
          <w:rFonts w:ascii="Symbol" w:hAnsi="Symbol"/>
        </w:rPr>
        <w:t></w:t>
      </w:r>
      <w:r>
        <w:rPr>
          <w:lang w:val="es-ES"/>
        </w:rPr>
        <w:t xml:space="preserve">  </w:t>
      </w:r>
      <w:r w:rsidR="00CB112C" w:rsidRPr="00CB112C">
        <w:rPr>
          <w:position w:val="-30"/>
        </w:rPr>
        <w:object w:dxaOrig="2480" w:dyaOrig="680" w14:anchorId="3B39A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3pt;height:33.3pt" o:ole="">
            <v:imagedata r:id="rId7" o:title=""/>
          </v:shape>
          <o:OLEObject Type="Embed" ProgID="Equation.3" ShapeID="_x0000_i1025" DrawAspect="Content" ObjectID="_1682855451" r:id="rId8"/>
        </w:object>
      </w:r>
    </w:p>
    <w:p w14:paraId="63D4686F" w14:textId="77777777" w:rsidR="00BA7140" w:rsidRDefault="00BA7140">
      <w:pPr>
        <w:spacing w:before="0"/>
        <w:rPr>
          <w:lang w:val="es-ES"/>
        </w:rPr>
      </w:pPr>
      <w:r>
        <w:rPr>
          <w:lang w:val="es-ES"/>
        </w:rPr>
        <w:t>siendo:</w:t>
      </w:r>
    </w:p>
    <w:p w14:paraId="66B744D6" w14:textId="77777777" w:rsidR="00BA7140" w:rsidRDefault="00CB112C" w:rsidP="00CB112C">
      <w:pPr>
        <w:pStyle w:val="EquationLegend"/>
        <w:rPr>
          <w:lang w:val="es-ES"/>
        </w:rPr>
      </w:pPr>
      <w:r>
        <w:rPr>
          <w:i/>
          <w:lang w:val="es-ES"/>
        </w:rPr>
        <w:t>D</w:t>
      </w:r>
      <w:r w:rsidRPr="00CB112C">
        <w:rPr>
          <w:i/>
          <w:vertAlign w:val="subscript"/>
          <w:lang w:val="es-ES"/>
        </w:rPr>
        <w:t>l</w:t>
      </w:r>
      <w:r>
        <w:rPr>
          <w:rFonts w:ascii="Tms Rmn" w:hAnsi="Tms Rmn"/>
          <w:iCs/>
          <w:sz w:val="12"/>
          <w:lang w:val="es-ES"/>
        </w:rPr>
        <w:t> </w:t>
      </w:r>
      <w:r>
        <w:rPr>
          <w:rFonts w:ascii="Tms Rmn" w:hAnsi="Tms Rmn"/>
          <w:iCs/>
          <w:sz w:val="20"/>
          <w:lang w:val="es-ES"/>
        </w:rPr>
        <w:t>:</w:t>
      </w:r>
      <w:r w:rsidR="00BA7140">
        <w:rPr>
          <w:lang w:val="es-ES"/>
        </w:rPr>
        <w:tab/>
        <w:t>longitud total del trayecto terrestre (km)</w:t>
      </w:r>
    </w:p>
    <w:p w14:paraId="1FD8AFC5" w14:textId="77777777" w:rsidR="00BA7140" w:rsidRDefault="00BA7140" w:rsidP="00CB112C">
      <w:pPr>
        <w:pStyle w:val="EquationLegend"/>
        <w:rPr>
          <w:lang w:val="es-ES"/>
        </w:rPr>
      </w:pPr>
      <w:r>
        <w:rPr>
          <w:i/>
          <w:lang w:val="es-ES"/>
        </w:rPr>
        <w:t>D</w:t>
      </w:r>
      <w:r w:rsidR="00CB112C" w:rsidRPr="00CB112C">
        <w:rPr>
          <w:i/>
          <w:vertAlign w:val="subscript"/>
          <w:lang w:val="es-ES"/>
        </w:rPr>
        <w:t>s</w:t>
      </w:r>
      <w:r w:rsidR="00CB112C">
        <w:rPr>
          <w:rFonts w:ascii="Tms Rmn" w:hAnsi="Tms Rmn"/>
          <w:iCs/>
          <w:sz w:val="12"/>
          <w:lang w:val="es-ES"/>
        </w:rPr>
        <w:t> </w:t>
      </w:r>
      <w:r w:rsidR="00CB112C">
        <w:rPr>
          <w:iCs/>
          <w:lang w:val="es-ES"/>
        </w:rPr>
        <w:t>:</w:t>
      </w:r>
      <w:r>
        <w:rPr>
          <w:lang w:val="es-ES"/>
        </w:rPr>
        <w:tab/>
        <w:t>longitud total del trayecto marítimo (km)</w:t>
      </w:r>
    </w:p>
    <w:p w14:paraId="56DBCCDE" w14:textId="77777777" w:rsidR="00BA7140" w:rsidRDefault="00BA7140" w:rsidP="00CB112C">
      <w:pPr>
        <w:pStyle w:val="EquationLegend"/>
        <w:ind w:left="1871" w:hanging="737"/>
        <w:rPr>
          <w:lang w:val="es-ES"/>
        </w:rPr>
      </w:pPr>
      <w:r>
        <w:rPr>
          <w:i/>
          <w:lang w:val="es-ES"/>
        </w:rPr>
        <w:t>V</w:t>
      </w:r>
      <w:r w:rsidR="00CB112C" w:rsidRPr="00CB112C">
        <w:rPr>
          <w:i/>
          <w:vertAlign w:val="subscript"/>
          <w:lang w:val="es-ES"/>
        </w:rPr>
        <w:t>l</w:t>
      </w:r>
      <w:r w:rsidR="00CB112C">
        <w:rPr>
          <w:rFonts w:ascii="Tms Rmn" w:hAnsi="Tms Rmn"/>
          <w:iCs/>
          <w:sz w:val="12"/>
          <w:lang w:val="es-ES"/>
        </w:rPr>
        <w:t> </w:t>
      </w:r>
      <w:r w:rsidR="00CB112C" w:rsidRPr="00D74430">
        <w:rPr>
          <w:lang w:val="es-ES_tradnl"/>
        </w:rPr>
        <w:t>:</w:t>
      </w:r>
      <w:r>
        <w:rPr>
          <w:lang w:val="es-ES"/>
        </w:rPr>
        <w:tab/>
        <w:t>valor límite de la distancia (km) según el Cuadro del § 4.8.3 del Anexo</w:t>
      </w:r>
      <w:r w:rsidR="00CB112C">
        <w:rPr>
          <w:lang w:val="es-ES"/>
        </w:rPr>
        <w:t> </w:t>
      </w:r>
      <w:r>
        <w:rPr>
          <w:lang w:val="es-ES"/>
        </w:rPr>
        <w:t>2 del Acuerdo para un trayecto terrestre</w:t>
      </w:r>
    </w:p>
    <w:p w14:paraId="494F323F" w14:textId="77777777" w:rsidR="00BA7140" w:rsidRDefault="00BA7140" w:rsidP="00CB112C">
      <w:pPr>
        <w:pStyle w:val="EquationLegend"/>
        <w:ind w:left="1871" w:hanging="737"/>
        <w:rPr>
          <w:lang w:val="es-ES"/>
        </w:rPr>
      </w:pPr>
      <w:r>
        <w:rPr>
          <w:i/>
          <w:lang w:val="es-ES"/>
        </w:rPr>
        <w:t>V</w:t>
      </w:r>
      <w:r w:rsidR="00CB112C" w:rsidRPr="00CB112C">
        <w:rPr>
          <w:i/>
          <w:vertAlign w:val="subscript"/>
          <w:lang w:val="es-ES"/>
        </w:rPr>
        <w:t>s</w:t>
      </w:r>
      <w:r w:rsidR="00CB112C">
        <w:rPr>
          <w:rFonts w:ascii="Tms Rmn" w:hAnsi="Tms Rmn"/>
          <w:iCs/>
          <w:sz w:val="12"/>
          <w:lang w:val="es-ES"/>
        </w:rPr>
        <w:t> </w:t>
      </w:r>
      <w:r w:rsidR="00CB112C">
        <w:rPr>
          <w:rFonts w:ascii="Tms Rmn" w:hAnsi="Tms Rmn"/>
          <w:iCs/>
          <w:sz w:val="20"/>
          <w:lang w:val="es-ES"/>
        </w:rPr>
        <w:t>:</w:t>
      </w:r>
      <w:r>
        <w:rPr>
          <w:lang w:val="es-ES"/>
        </w:rPr>
        <w:tab/>
        <w:t>valor límite de la distancia (km) según el Cuadro del § 4.8.3 del Anexo</w:t>
      </w:r>
      <w:r w:rsidR="00CB112C">
        <w:rPr>
          <w:lang w:val="es-ES"/>
        </w:rPr>
        <w:t> </w:t>
      </w:r>
      <w:r>
        <w:rPr>
          <w:lang w:val="es-ES"/>
        </w:rPr>
        <w:t>2 del Acuerdo en el caso de un trayecto marítimo.</w:t>
      </w:r>
    </w:p>
    <w:p w14:paraId="7E476D4E" w14:textId="77777777" w:rsidR="00BA7140" w:rsidRPr="00D74430" w:rsidRDefault="00BA7140">
      <w:pPr>
        <w:pStyle w:val="Heading8"/>
        <w:rPr>
          <w:lang w:val="es-ES_tradnl"/>
        </w:rPr>
      </w:pPr>
      <w:r w:rsidRPr="00D74430">
        <w:rPr>
          <w:lang w:val="es-ES_tradnl"/>
        </w:rPr>
        <w:t>Res. 8</w:t>
      </w:r>
    </w:p>
    <w:p w14:paraId="1539420C" w14:textId="60F8C1D9" w:rsidR="00BA7140" w:rsidRDefault="00BA7140">
      <w:pPr>
        <w:rPr>
          <w:lang w:val="es-ES"/>
        </w:rPr>
      </w:pPr>
      <w:r>
        <w:rPr>
          <w:lang w:val="es-ES"/>
        </w:rPr>
        <w:t>La Resolución</w:t>
      </w:r>
      <w:r w:rsidR="00E323C5">
        <w:rPr>
          <w:lang w:val="es-ES"/>
        </w:rPr>
        <w:t> </w:t>
      </w:r>
      <w:r>
        <w:rPr>
          <w:lang w:val="es-ES"/>
        </w:rPr>
        <w:t>8 de la Conferencia Administrativa Regional (Regiones</w:t>
      </w:r>
      <w:r w:rsidR="007D7935">
        <w:rPr>
          <w:lang w:val="es-ES"/>
        </w:rPr>
        <w:t> </w:t>
      </w:r>
      <w:r>
        <w:rPr>
          <w:lang w:val="es-ES"/>
        </w:rPr>
        <w:t>1 y 3) de Radio</w:t>
      </w:r>
      <w:r>
        <w:rPr>
          <w:lang w:val="es-ES"/>
        </w:rPr>
        <w:softHyphen/>
        <w:t>difusión por ondas kilométricas y hectométricas (Ginebra, 1975) estipula:</w:t>
      </w:r>
    </w:p>
    <w:p w14:paraId="50A791D0" w14:textId="77777777" w:rsidR="00BA7140" w:rsidRDefault="00BA7140" w:rsidP="00CB112C">
      <w:pPr>
        <w:rPr>
          <w:i/>
          <w:iCs/>
          <w:lang w:val="es-ES"/>
        </w:rPr>
      </w:pPr>
      <w:r>
        <w:rPr>
          <w:i/>
          <w:iCs/>
          <w:lang w:val="es-ES"/>
        </w:rPr>
        <w:t>«1.</w:t>
      </w:r>
      <w:r>
        <w:rPr>
          <w:i/>
          <w:iCs/>
          <w:lang w:val="es-ES"/>
        </w:rPr>
        <w:tab/>
        <w:t>que las estaciones de radiodifusión puedan utilizar provisionalmente métodos de modulación que permiten economizar anchura de banda, a condición de que la interferencia ocasionada en el mismo canal o en canales adyacentes no exceda de la que produce el empleo de la modulación de doble banda lateral y portadora completa</w:t>
      </w:r>
      <w:r w:rsidR="00CB112C">
        <w:rPr>
          <w:i/>
          <w:iCs/>
          <w:lang w:val="es-ES"/>
        </w:rPr>
        <w:t> </w:t>
      </w:r>
      <w:r>
        <w:rPr>
          <w:i/>
          <w:iCs/>
          <w:lang w:val="es-ES"/>
        </w:rPr>
        <w:t>(A3E);</w:t>
      </w:r>
    </w:p>
    <w:p w14:paraId="4791AF08" w14:textId="77777777" w:rsidR="00BA7140" w:rsidRDefault="00BA7140" w:rsidP="00CB112C">
      <w:pPr>
        <w:pStyle w:val="Headingi0"/>
        <w:keepNext w:val="0"/>
        <w:spacing w:before="120"/>
        <w:jc w:val="both"/>
        <w:rPr>
          <w:iCs/>
        </w:rPr>
      </w:pPr>
      <w:r>
        <w:rPr>
          <w:iCs/>
        </w:rPr>
        <w:t>2.</w:t>
      </w:r>
      <w:r>
        <w:rPr>
          <w:iCs/>
        </w:rPr>
        <w:tab/>
        <w:t>que toda administración que se proponga utilizar esas clases de emisión busque el acuerdo de cualquier administración interesada aplicando el procedimiento previsto en el Artículo</w:t>
      </w:r>
      <w:r w:rsidR="00CB112C">
        <w:rPr>
          <w:iCs/>
        </w:rPr>
        <w:t> </w:t>
      </w:r>
      <w:r>
        <w:rPr>
          <w:iCs/>
        </w:rPr>
        <w:t>4 del Acuerdo.».</w:t>
      </w:r>
    </w:p>
    <w:p w14:paraId="3AF490E9" w14:textId="4DED5CD4" w:rsidR="00BA7140" w:rsidRDefault="00BA7140" w:rsidP="00BA6ACE">
      <w:pPr>
        <w:rPr>
          <w:lang w:val="es-ES"/>
        </w:rPr>
      </w:pPr>
      <w:r>
        <w:rPr>
          <w:lang w:val="es-ES"/>
        </w:rPr>
        <w:t>Tras considerar los estudios pertinentes del UIT</w:t>
      </w:r>
      <w:r>
        <w:rPr>
          <w:lang w:val="es-ES"/>
        </w:rPr>
        <w:noBreakHyphen/>
        <w:t>R, la Junta decidió que toda atribución de frecuencia del Plan para la radiodifusión con modulación de amplitud pueda utilizarse de manera provisional con modulación digital (tipos de transmisión DRM A2 o B2), siempre que se reduzca la radiación al menos 7</w:t>
      </w:r>
      <w:r w:rsidR="00C64036">
        <w:rPr>
          <w:lang w:val="es-ES"/>
        </w:rPr>
        <w:t> </w:t>
      </w:r>
      <w:r>
        <w:rPr>
          <w:lang w:val="es-ES"/>
        </w:rPr>
        <w:t>dB en todas las direcciones, en comparación con la radiación de la atribución del Plan con frecuencia modulada</w:t>
      </w:r>
      <w:r w:rsidR="00CB112C">
        <w:rPr>
          <w:lang w:val="es-ES"/>
        </w:rPr>
        <w:t> </w:t>
      </w:r>
      <w:r>
        <w:rPr>
          <w:lang w:val="es-ES"/>
        </w:rPr>
        <w:t>MA.</w:t>
      </w:r>
    </w:p>
    <w:p w14:paraId="53680DAA" w14:textId="77777777" w:rsidR="00BA7140" w:rsidRDefault="00BA7140" w:rsidP="00CB112C">
      <w:pPr>
        <w:rPr>
          <w:lang w:val="es-ES"/>
        </w:rPr>
      </w:pPr>
      <w:r>
        <w:rPr>
          <w:lang w:val="es-ES"/>
        </w:rPr>
        <w:t>Por tanto, al examinar la conformidad con el Plan GE75 de una notificación recibida según el Artículo </w:t>
      </w:r>
      <w:r w:rsidRPr="00D74430">
        <w:rPr>
          <w:rStyle w:val="Artref"/>
          <w:b/>
          <w:bCs/>
          <w:color w:val="000000"/>
          <w:lang w:val="es-ES_tradnl"/>
        </w:rPr>
        <w:t>11</w:t>
      </w:r>
      <w:r>
        <w:rPr>
          <w:lang w:val="es-ES"/>
        </w:rPr>
        <w:t xml:space="preserve"> del Reglamento de Radiocomunicaciones, la Oficina aceptará una notificación de este tipo, considerándola conforme al Plan.</w:t>
      </w:r>
    </w:p>
    <w:p w14:paraId="59E1167C" w14:textId="77777777" w:rsidR="00BA7140" w:rsidRDefault="00BA7140">
      <w:pPr>
        <w:spacing w:before="80" w:line="240" w:lineRule="atLeast"/>
        <w:rPr>
          <w:color w:val="000000"/>
          <w:lang w:val="es-ES"/>
        </w:rPr>
      </w:pPr>
      <w:r>
        <w:rPr>
          <w:lang w:val="es-ES"/>
        </w:rPr>
        <w:t>Esta Regla de Procedimiento tiene carácter provisional hasta el momento de su confirmación por una conferencia competente que trate el tema en cuestión.</w:t>
      </w:r>
    </w:p>
    <w:p w14:paraId="2B288A2F" w14:textId="77777777" w:rsidR="00BA7140" w:rsidRPr="00D74430" w:rsidRDefault="00BA7140" w:rsidP="00CB112C">
      <w:pPr>
        <w:rPr>
          <w:lang w:val="es-ES_tradnl"/>
        </w:rPr>
      </w:pPr>
    </w:p>
    <w:p w14:paraId="4D49FF92" w14:textId="5C0CE419" w:rsidR="00BA7140" w:rsidRDefault="00BA7140" w:rsidP="00CB112C">
      <w:pPr>
        <w:jc w:val="center"/>
        <w:rPr>
          <w:color w:val="000000"/>
        </w:rPr>
      </w:pPr>
      <w:r>
        <w:rPr>
          <w:color w:val="000000"/>
        </w:rPr>
        <w:t>____________________</w:t>
      </w:r>
    </w:p>
    <w:p w14:paraId="759784E5" w14:textId="3ABF8A65" w:rsidR="00E323C5" w:rsidRDefault="00E323C5" w:rsidP="00E323C5"/>
    <w:p w14:paraId="612D2067" w14:textId="77777777" w:rsidR="00E323C5" w:rsidRDefault="00E323C5" w:rsidP="00E323C5"/>
    <w:p w14:paraId="2ADE5D5B" w14:textId="77777777" w:rsidR="00C10C4C" w:rsidRDefault="00C10C4C" w:rsidP="00CB112C"/>
    <w:p w14:paraId="2FB03351" w14:textId="77777777" w:rsidR="00BA7140" w:rsidRDefault="00BA7140" w:rsidP="00CB112C">
      <w:pPr>
        <w:rPr>
          <w:lang w:val="en-US"/>
        </w:rPr>
        <w:sectPr w:rsidR="00BA7140">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14:paraId="15AD7A4D" w14:textId="77777777" w:rsidR="00BA7140" w:rsidRDefault="00BA7140" w:rsidP="00CB112C">
      <w:pPr>
        <w:rPr>
          <w:lang w:val="en-US"/>
        </w:rPr>
      </w:pPr>
    </w:p>
    <w:sectPr w:rsidR="00BA7140">
      <w:headerReference w:type="first" r:id="rId11"/>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85E58" w14:textId="77777777" w:rsidR="002D332A" w:rsidRDefault="002D332A">
      <w:r>
        <w:separator/>
      </w:r>
    </w:p>
  </w:endnote>
  <w:endnote w:type="continuationSeparator" w:id="0">
    <w:p w14:paraId="0724F015" w14:textId="77777777" w:rsidR="002D332A" w:rsidRDefault="002D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E96CF" w14:textId="77777777" w:rsidR="002D332A" w:rsidRDefault="002D332A">
      <w:r>
        <w:rPr>
          <w:b/>
        </w:rPr>
        <w:t>_______________</w:t>
      </w:r>
    </w:p>
  </w:footnote>
  <w:footnote w:type="continuationSeparator" w:id="0">
    <w:p w14:paraId="3C24C223" w14:textId="77777777" w:rsidR="002D332A" w:rsidRDefault="002D332A">
      <w:r>
        <w:continuationSeparator/>
      </w:r>
    </w:p>
  </w:footnote>
  <w:footnote w:id="1">
    <w:p w14:paraId="1BFF5000" w14:textId="77777777" w:rsidR="00D74430" w:rsidRPr="00D74430" w:rsidRDefault="00D74430">
      <w:pPr>
        <w:pStyle w:val="FootnoteText"/>
        <w:rPr>
          <w:lang w:val="es-ES_tradnl"/>
        </w:rPr>
      </w:pPr>
      <w:r>
        <w:rPr>
          <w:rStyle w:val="FootnoteReference"/>
        </w:rPr>
        <w:footnoteRef/>
      </w:r>
      <w:r w:rsidRPr="00D74430">
        <w:rPr>
          <w:lang w:val="es-ES_tradnl"/>
        </w:rPr>
        <w:t xml:space="preserve"> </w:t>
      </w:r>
      <w:r w:rsidRPr="00D74430">
        <w:rPr>
          <w:lang w:val="es-ES_tradnl"/>
        </w:rPr>
        <w:tab/>
        <w:t>No se reproduce.</w:t>
      </w:r>
    </w:p>
  </w:footnote>
  <w:footnote w:id="2">
    <w:p w14:paraId="2CACC7CE" w14:textId="77777777" w:rsidR="003F0C6D" w:rsidRPr="003F0C6D" w:rsidRDefault="003F0C6D" w:rsidP="003F0C6D">
      <w:pPr>
        <w:pStyle w:val="FootnoteText"/>
        <w:rPr>
          <w:lang w:val="es-ES_tradnl"/>
        </w:rPr>
      </w:pPr>
      <w:r>
        <w:rPr>
          <w:rStyle w:val="FootnoteReference"/>
        </w:rPr>
        <w:footnoteRef/>
      </w:r>
      <w:r w:rsidRPr="003F0C6D">
        <w:rPr>
          <w:lang w:val="es-ES_tradnl"/>
        </w:rPr>
        <w:t xml:space="preserve"> </w:t>
      </w:r>
      <w:r w:rsidRPr="003F0C6D">
        <w:rPr>
          <w:lang w:val="es-ES_tradnl"/>
        </w:rPr>
        <w:tab/>
        <w:t>El sistema Digital Radio Mondiale (DRM) se describe en la Recomendación UIT</w:t>
      </w:r>
      <w:r w:rsidRPr="003F0C6D">
        <w:rPr>
          <w:lang w:val="es-ES_tradnl"/>
        </w:rPr>
        <w:noBreakHyphen/>
        <w:t>R BS.1514.</w:t>
      </w:r>
    </w:p>
  </w:footnote>
  <w:footnote w:id="3">
    <w:p w14:paraId="7B79F18A" w14:textId="4B3A956D" w:rsidR="003F0C6D" w:rsidRPr="006037FF" w:rsidRDefault="003F0C6D" w:rsidP="003F0C6D">
      <w:pPr>
        <w:pStyle w:val="FootnoteText"/>
        <w:rPr>
          <w:lang w:val="es-ES"/>
        </w:rPr>
      </w:pPr>
      <w:r>
        <w:rPr>
          <w:rStyle w:val="FootnoteReference"/>
        </w:rPr>
        <w:footnoteRef/>
      </w:r>
      <w:r w:rsidRPr="003F0C6D">
        <w:rPr>
          <w:lang w:val="es-ES_tradnl"/>
        </w:rPr>
        <w:t xml:space="preserve"> </w:t>
      </w:r>
      <w:r>
        <w:rPr>
          <w:lang w:val="es-ES_tradnl"/>
        </w:rPr>
        <w:tab/>
      </w:r>
      <w:r>
        <w:rPr>
          <w:lang w:val="es-ES"/>
        </w:rPr>
        <w:t>Los modos de robustez y los tipos de ocupación del espectro del DRM se definen en la norma ETSI ES</w:t>
      </w:r>
      <w:r w:rsidR="00C64036">
        <w:rPr>
          <w:lang w:val="es-ES"/>
        </w:rPr>
        <w:t> </w:t>
      </w:r>
      <w:r>
        <w:rPr>
          <w:lang w:val="es-ES"/>
        </w:rPr>
        <w:t>201</w:t>
      </w:r>
      <w:r w:rsidR="00C64036">
        <w:rPr>
          <w:lang w:val="es-ES"/>
        </w:rPr>
        <w:t> </w:t>
      </w:r>
      <w:r>
        <w:rPr>
          <w:lang w:val="es-ES"/>
        </w:rPr>
        <w:t>980 “Digital Radio Mondiale (DRM); System Specification” versión 3.1.1 y se ofrecen más detalles al respecto en la Recomendación UIT-R BS.1615-</w:t>
      </w:r>
      <w:r w:rsidR="00975A41">
        <w:rPr>
          <w:lang w:val="es-ES"/>
        </w:rPr>
        <w:t>2</w:t>
      </w:r>
      <w:r>
        <w:rPr>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56F9B" w14:paraId="0B579E8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BE74C56" w14:textId="645B18FC" w:rsidR="00656F9B" w:rsidRDefault="00656F9B">
          <w:pPr>
            <w:pStyle w:val="HeaderRegProc"/>
          </w:pPr>
          <w:r>
            <w:t xml:space="preserve">Parte </w:t>
          </w:r>
          <w:r>
            <w:fldChar w:fldCharType="begin"/>
          </w:r>
          <w:r>
            <w:instrText>styleref href</w:instrText>
          </w:r>
          <w:r>
            <w:fldChar w:fldCharType="separate"/>
          </w:r>
          <w:r w:rsidR="00975A41">
            <w:rPr>
              <w:noProof/>
            </w:rPr>
            <w:t>A3</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3684081" w14:textId="7799BFA3" w:rsidR="00656F9B" w:rsidRDefault="00656F9B">
          <w:pPr>
            <w:pStyle w:val="HeaderRegProc"/>
            <w:rPr>
              <w:lang w:val="fr-FR"/>
            </w:rPr>
          </w:pPr>
          <w:r>
            <w:fldChar w:fldCharType="begin"/>
          </w:r>
          <w:r>
            <w:instrText>styleref href2</w:instrText>
          </w:r>
          <w:r>
            <w:fldChar w:fldCharType="separate"/>
          </w:r>
          <w:r w:rsidR="00975A41">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17F76B8" w14:textId="77777777" w:rsidR="00656F9B" w:rsidRDefault="00656F9B">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735413">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FA5339" w14:textId="77777777" w:rsidR="00656F9B" w:rsidRDefault="00656F9B" w:rsidP="00656F9B">
          <w:pPr>
            <w:pStyle w:val="HeaderRegProc"/>
            <w:rPr>
              <w:lang w:val="fr-CH"/>
            </w:rPr>
          </w:pPr>
          <w:r>
            <w:rPr>
              <w:lang w:val="fr-CH"/>
            </w:rPr>
            <w:t>rev.</w:t>
          </w:r>
          <w:r>
            <w:t xml:space="preserve"> -</w:t>
          </w:r>
        </w:p>
      </w:tc>
    </w:tr>
  </w:tbl>
  <w:p w14:paraId="3B688AD0" w14:textId="77777777" w:rsidR="00656F9B" w:rsidRDefault="00656F9B">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950AD" w14:paraId="2812EF5A" w14:textId="77777777" w:rsidTr="006738EB">
      <w:trPr>
        <w:cantSplit/>
        <w:jc w:val="right"/>
      </w:trPr>
      <w:tc>
        <w:tcPr>
          <w:tcW w:w="1701" w:type="dxa"/>
          <w:tcBorders>
            <w:top w:val="single" w:sz="6" w:space="0" w:color="auto"/>
            <w:left w:val="single" w:sz="6" w:space="0" w:color="auto"/>
            <w:bottom w:val="single" w:sz="6" w:space="0" w:color="auto"/>
            <w:right w:val="single" w:sz="6" w:space="0" w:color="auto"/>
          </w:tcBorders>
        </w:tcPr>
        <w:p w14:paraId="2BC104B9" w14:textId="17271195" w:rsidR="008950AD" w:rsidRDefault="008950AD" w:rsidP="008950AD">
          <w:pPr>
            <w:pStyle w:val="HeaderRegProc"/>
          </w:pPr>
          <w:r>
            <w:t>Part</w:t>
          </w:r>
          <w:r>
            <w:t>e</w:t>
          </w:r>
          <w:r>
            <w:t xml:space="preserve"> </w:t>
          </w:r>
          <w:r>
            <w:fldChar w:fldCharType="begin"/>
          </w:r>
          <w:r>
            <w:instrText>styleref href</w:instrText>
          </w:r>
          <w:r>
            <w:fldChar w:fldCharType="separate"/>
          </w:r>
          <w:r w:rsidR="00975A41">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DEE9AD" w14:textId="5D26DB3B" w:rsidR="008950AD" w:rsidRDefault="008950AD" w:rsidP="008950AD">
          <w:pPr>
            <w:pStyle w:val="HeaderRegProc"/>
            <w:rPr>
              <w:lang w:val="fr-FR"/>
            </w:rPr>
          </w:pPr>
          <w:r>
            <w:fldChar w:fldCharType="begin"/>
          </w:r>
          <w:r>
            <w:instrText>styleref href2</w:instrText>
          </w:r>
          <w:r>
            <w:fldChar w:fldCharType="separate"/>
          </w:r>
          <w:r w:rsidR="00975A41">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B75BBA" w14:textId="04420323" w:rsidR="008950AD" w:rsidRDefault="008950AD" w:rsidP="008950AD">
          <w:pPr>
            <w:pStyle w:val="HeaderRegProc"/>
            <w:rPr>
              <w:lang w:val="fr-CH"/>
            </w:rPr>
          </w:pPr>
          <w:r>
            <w:rPr>
              <w:lang w:val="fr-FR"/>
            </w:rPr>
            <w:t>p</w:t>
          </w:r>
          <w:r>
            <w:rPr>
              <w:lang w:val="fr-FR"/>
            </w:rPr>
            <w:t>ágina</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46CC28" w14:textId="77777777" w:rsidR="008950AD" w:rsidRDefault="008950AD" w:rsidP="008950AD">
          <w:pPr>
            <w:pStyle w:val="HeaderRegProc"/>
            <w:rPr>
              <w:lang w:val="fr-CH"/>
            </w:rPr>
          </w:pPr>
          <w:r>
            <w:rPr>
              <w:lang w:val="fr-CH"/>
            </w:rPr>
            <w:t xml:space="preserve">rev. </w:t>
          </w:r>
          <w:r>
            <w:t>-</w:t>
          </w:r>
        </w:p>
      </w:tc>
    </w:tr>
  </w:tbl>
  <w:p w14:paraId="79751AD8" w14:textId="77777777" w:rsidR="008950AD" w:rsidRDefault="008950AD" w:rsidP="00895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798A2" w14:textId="77777777" w:rsidR="00BA7140" w:rsidRDefault="00BA714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7140"/>
    <w:rsid w:val="000820A3"/>
    <w:rsid w:val="0018736F"/>
    <w:rsid w:val="001C3C6F"/>
    <w:rsid w:val="002326A0"/>
    <w:rsid w:val="00244027"/>
    <w:rsid w:val="002D332A"/>
    <w:rsid w:val="002F0BCF"/>
    <w:rsid w:val="003D6FDC"/>
    <w:rsid w:val="003F0C6D"/>
    <w:rsid w:val="003F61C9"/>
    <w:rsid w:val="00470E87"/>
    <w:rsid w:val="004E1AE7"/>
    <w:rsid w:val="0055410F"/>
    <w:rsid w:val="005D1561"/>
    <w:rsid w:val="005D1C2A"/>
    <w:rsid w:val="00613D62"/>
    <w:rsid w:val="00656F9B"/>
    <w:rsid w:val="006E2085"/>
    <w:rsid w:val="00735413"/>
    <w:rsid w:val="007D7935"/>
    <w:rsid w:val="008950AD"/>
    <w:rsid w:val="008F5E05"/>
    <w:rsid w:val="00944412"/>
    <w:rsid w:val="00975A41"/>
    <w:rsid w:val="0098763A"/>
    <w:rsid w:val="00A42D85"/>
    <w:rsid w:val="00AD29B3"/>
    <w:rsid w:val="00BA6ACE"/>
    <w:rsid w:val="00BA7140"/>
    <w:rsid w:val="00C10C4C"/>
    <w:rsid w:val="00C375B1"/>
    <w:rsid w:val="00C64036"/>
    <w:rsid w:val="00CB112C"/>
    <w:rsid w:val="00CD7A18"/>
    <w:rsid w:val="00D74430"/>
    <w:rsid w:val="00DE2933"/>
    <w:rsid w:val="00DE6EDA"/>
    <w:rsid w:val="00E21B8C"/>
    <w:rsid w:val="00E323C5"/>
    <w:rsid w:val="00F023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7E1A4EA"/>
  <w15:docId w15:val="{78A872FF-7537-4F32-B2E0-C50B2CD85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link w:val="Heading9Char"/>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uiPriority w:val="99"/>
    <w:rPr>
      <w:position w:val="6"/>
      <w:sz w:val="16"/>
    </w:rPr>
  </w:style>
  <w:style w:type="paragraph" w:styleId="FootnoteText">
    <w:name w:val="footnote text"/>
    <w:aliases w:val="footnote text"/>
    <w:basedOn w:val="Normal"/>
    <w:link w:val="FootnoteTextChar"/>
    <w:uiPriority w:val="99"/>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Headingi0">
    <w:name w:val="Heading_i"/>
    <w:basedOn w:val="Normal"/>
    <w:next w:val="Normal"/>
    <w:pPr>
      <w:keepNext/>
      <w:tabs>
        <w:tab w:val="clear" w:pos="1134"/>
        <w:tab w:val="clear" w:pos="1871"/>
        <w:tab w:val="clear" w:pos="2268"/>
        <w:tab w:val="left" w:pos="794"/>
        <w:tab w:val="left" w:pos="1191"/>
        <w:tab w:val="left" w:pos="1588"/>
        <w:tab w:val="left" w:pos="1985"/>
      </w:tabs>
      <w:spacing w:before="160"/>
      <w:jc w:val="left"/>
    </w:pPr>
    <w:rPr>
      <w:i/>
      <w:lang w:val="es-ES_tradnl"/>
    </w:rPr>
  </w:style>
  <w:style w:type="paragraph" w:customStyle="1" w:styleId="ChapNo">
    <w:name w:val="Chap_No"/>
    <w:basedOn w:val="Normal"/>
    <w:next w:val="Chaptitle"/>
    <w:rsid w:val="00D74430"/>
    <w:pPr>
      <w:keepNext/>
      <w:keepLines/>
      <w:tabs>
        <w:tab w:val="clear" w:pos="1134"/>
        <w:tab w:val="clear" w:pos="1871"/>
        <w:tab w:val="clear" w:pos="2268"/>
        <w:tab w:val="left" w:pos="794"/>
        <w:tab w:val="left" w:pos="1191"/>
        <w:tab w:val="left" w:pos="1588"/>
        <w:tab w:val="left" w:pos="1985"/>
      </w:tabs>
      <w:spacing w:before="480"/>
      <w:jc w:val="center"/>
    </w:pPr>
    <w:rPr>
      <w:b/>
      <w:caps/>
      <w:sz w:val="28"/>
      <w:lang w:val="es-ES_tradnl"/>
    </w:rPr>
  </w:style>
  <w:style w:type="character" w:customStyle="1" w:styleId="FootnoteTextChar">
    <w:name w:val="Footnote Text Char"/>
    <w:aliases w:val="footnote text Char"/>
    <w:link w:val="FootnoteText"/>
    <w:uiPriority w:val="99"/>
    <w:rsid w:val="00D74430"/>
    <w:rPr>
      <w:lang w:val="en-GB" w:eastAsia="en-US"/>
    </w:rPr>
  </w:style>
  <w:style w:type="paragraph" w:styleId="BalloonText">
    <w:name w:val="Balloon Text"/>
    <w:basedOn w:val="Normal"/>
    <w:link w:val="BalloonTextChar"/>
    <w:rsid w:val="00D74430"/>
    <w:pPr>
      <w:spacing w:before="0"/>
    </w:pPr>
    <w:rPr>
      <w:rFonts w:ascii="Tahoma" w:hAnsi="Tahoma" w:cs="Tahoma"/>
      <w:sz w:val="16"/>
      <w:szCs w:val="16"/>
    </w:rPr>
  </w:style>
  <w:style w:type="character" w:customStyle="1" w:styleId="BalloonTextChar">
    <w:name w:val="Balloon Text Char"/>
    <w:link w:val="BalloonText"/>
    <w:rsid w:val="00D74430"/>
    <w:rPr>
      <w:rFonts w:ascii="Tahoma" w:hAnsi="Tahoma" w:cs="Tahoma"/>
      <w:sz w:val="16"/>
      <w:szCs w:val="16"/>
      <w:lang w:val="en-GB" w:eastAsia="en-US"/>
    </w:rPr>
  </w:style>
  <w:style w:type="character" w:customStyle="1" w:styleId="Heading9Char">
    <w:name w:val="Heading 9 Char"/>
    <w:link w:val="Heading9"/>
    <w:rsid w:val="00D74430"/>
    <w:rPr>
      <w:b/>
      <w:sz w:val="24"/>
      <w:lang w:val="en-GB" w:eastAsia="en-US"/>
    </w:rPr>
  </w:style>
  <w:style w:type="character" w:customStyle="1" w:styleId="TabletextChar">
    <w:name w:val="Table_text Char"/>
    <w:link w:val="Tabletext0"/>
    <w:rsid w:val="00D74430"/>
    <w:rPr>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0C338-4AE5-41CA-AACF-BB1C22E30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43</TotalTime>
  <Pages>7</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Règles de procédures / Edición 2008</vt:lpstr>
    </vt:vector>
  </TitlesOfParts>
  <Manager>CP--107223/DD</Manager>
  <Company>ITU</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2008</dc:title>
  <dc:subject>GE75 du RR</dc:subject>
  <dc:creator>Composition des Publications</dc:creator>
  <cp:keywords>FOLIOS:  1  -  4</cp:keywords>
  <dc:description>Edition 2009:   16.02.2009/DD (dict. ok)_x000d_
Corr. 1ère épreuve:   09.03.2009/DD</dc:description>
  <cp:lastModifiedBy>Catalano Moreira, Rossana</cp:lastModifiedBy>
  <cp:revision>28</cp:revision>
  <cp:lastPrinted>2020-12-21T13:53:00Z</cp:lastPrinted>
  <dcterms:created xsi:type="dcterms:W3CDTF">2012-10-03T07:11:00Z</dcterms:created>
  <dcterms:modified xsi:type="dcterms:W3CDTF">2021-05-18T13:02:00Z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