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0BCCF8" w14:textId="77777777" w:rsidR="008E0FAB" w:rsidRDefault="008E0FAB" w:rsidP="00BD3A01">
      <w:pPr>
        <w:pStyle w:val="Heading1"/>
        <w:spacing w:before="300"/>
        <w:jc w:val="center"/>
        <w:rPr>
          <w:lang w:val="es-ES"/>
        </w:rPr>
      </w:pPr>
      <w:r>
        <w:rPr>
          <w:lang w:val="es-ES"/>
        </w:rPr>
        <w:t>Reglas relativas al</w:t>
      </w:r>
    </w:p>
    <w:p w14:paraId="72C3016F" w14:textId="77777777" w:rsidR="008E0FAB" w:rsidRDefault="008E0FAB">
      <w:pPr>
        <w:pStyle w:val="Heading2"/>
        <w:jc w:val="center"/>
        <w:rPr>
          <w:lang w:val="es-ES"/>
        </w:rPr>
      </w:pPr>
      <w:r>
        <w:rPr>
          <w:lang w:val="es-ES"/>
        </w:rPr>
        <w:t xml:space="preserve">APÉNDICE  </w:t>
      </w:r>
      <w:r>
        <w:rPr>
          <w:rStyle w:val="href2"/>
          <w:lang w:val="es-ES"/>
        </w:rPr>
        <w:t>27</w:t>
      </w:r>
      <w:r>
        <w:rPr>
          <w:lang w:val="es-ES"/>
        </w:rPr>
        <w:t xml:space="preserve"> al RR</w:t>
      </w:r>
    </w:p>
    <w:p w14:paraId="3E1AFA22" w14:textId="77777777" w:rsidR="00E001B9" w:rsidRPr="00E001B9" w:rsidRDefault="00E001B9" w:rsidP="00E001B9">
      <w:pPr>
        <w:spacing w:before="0"/>
        <w:rPr>
          <w:lang w:val="es-ES"/>
        </w:rPr>
      </w:pPr>
    </w:p>
    <w:p w14:paraId="2BFAB91A" w14:textId="77777777" w:rsidR="008E0FAB" w:rsidRDefault="008E0FAB" w:rsidP="008333FF">
      <w:pPr>
        <w:pStyle w:val="Heading8"/>
        <w:rPr>
          <w:lang w:val="es-ES"/>
        </w:rPr>
      </w:pPr>
      <w:r>
        <w:rPr>
          <w:lang w:val="es-ES"/>
        </w:rPr>
        <w:t>27/</w:t>
      </w:r>
      <w:r w:rsidRPr="00BD3A01">
        <w:rPr>
          <w:rStyle w:val="href"/>
          <w:b w:val="0"/>
          <w:bCs/>
          <w:lang w:val="es-ES_tradnl"/>
        </w:rPr>
        <w:t>1</w:t>
      </w:r>
      <w:r w:rsidRPr="008333FF">
        <w:rPr>
          <w:b w:val="0"/>
          <w:bCs/>
          <w:lang w:val="es-ES"/>
        </w:rPr>
        <w:t>5</w:t>
      </w:r>
    </w:p>
    <w:p w14:paraId="4C9BF09D" w14:textId="77777777" w:rsidR="008E0FAB" w:rsidRDefault="008E0FAB">
      <w:pPr>
        <w:spacing w:line="240" w:lineRule="atLeast"/>
        <w:rPr>
          <w:lang w:val="es-ES"/>
        </w:rPr>
      </w:pPr>
      <w:r>
        <w:rPr>
          <w:lang w:val="es-ES"/>
        </w:rPr>
        <w:t xml:space="preserve">Esta disposición especifica que la utilización de los canales derivados de las frecuencias que se indican en el número </w:t>
      </w:r>
      <w:r w:rsidRPr="00BD3A01">
        <w:rPr>
          <w:rStyle w:val="Artref"/>
          <w:b/>
          <w:bCs/>
          <w:color w:val="000000"/>
          <w:lang w:val="es-ES_tradnl"/>
        </w:rPr>
        <w:t>27</w:t>
      </w:r>
      <w:r>
        <w:rPr>
          <w:lang w:val="es-ES"/>
        </w:rPr>
        <w:t xml:space="preserve">/18 para las diversas clases de emisión distintas de J3E y H2B será objeto de acuerdos especiales que habrán de concertar las administraciones interesadas y afectadas. A este respecto, y teniendo presente el espíritu de la Resolución </w:t>
      </w:r>
      <w:r w:rsidRPr="00BD3A01">
        <w:rPr>
          <w:rStyle w:val="Resref"/>
          <w:b/>
          <w:bCs/>
          <w:color w:val="000000"/>
          <w:lang w:val="es-ES_tradnl"/>
        </w:rPr>
        <w:t>713 (CMR-95)</w:t>
      </w:r>
      <w:r w:rsidR="00A65E00">
        <w:rPr>
          <w:rStyle w:val="FootnoteReference"/>
          <w:b/>
          <w:bCs/>
          <w:color w:val="000000"/>
          <w:lang w:val="es-ES_tradnl"/>
        </w:rPr>
        <w:footnoteReference w:id="1"/>
      </w:r>
      <w:r w:rsidRPr="00A65E00">
        <w:rPr>
          <w:lang w:val="es-ES"/>
        </w:rPr>
        <w:t>,</w:t>
      </w:r>
      <w:r>
        <w:rPr>
          <w:lang w:val="es-ES"/>
        </w:rPr>
        <w:t xml:space="preserve"> la Junta considera que un «acuerdo especial concertado por las administraciones interesadas» válido es cualquier medida oficial adoptada por la Organización de la Aviación Civil Inter</w:t>
      </w:r>
      <w:r w:rsidR="008333FF">
        <w:rPr>
          <w:lang w:val="es-ES"/>
        </w:rPr>
        <w:softHyphen/>
      </w:r>
      <w:r>
        <w:rPr>
          <w:lang w:val="es-ES"/>
        </w:rPr>
        <w:t>nacional (OACI) reflejada en las Normas y Prácticas Recomendadas (SARP), aprobadas por la OACI en aplicación de sus procedimientos y comunicadas a la UIT.</w:t>
      </w:r>
    </w:p>
    <w:p w14:paraId="156A8C88" w14:textId="77777777" w:rsidR="008E0FAB" w:rsidRDefault="008E0FAB" w:rsidP="008333FF">
      <w:pPr>
        <w:pStyle w:val="Heading8"/>
        <w:rPr>
          <w:lang w:val="es-ES"/>
        </w:rPr>
      </w:pPr>
      <w:r>
        <w:rPr>
          <w:lang w:val="es-ES"/>
        </w:rPr>
        <w:t>27</w:t>
      </w:r>
      <w:r>
        <w:rPr>
          <w:bCs/>
          <w:lang w:val="es-ES"/>
        </w:rPr>
        <w:t>/</w:t>
      </w:r>
      <w:r w:rsidRPr="008333FF">
        <w:rPr>
          <w:b w:val="0"/>
          <w:bCs/>
          <w:lang w:val="es-ES"/>
        </w:rPr>
        <w:t>18</w:t>
      </w:r>
    </w:p>
    <w:p w14:paraId="339DFA8C" w14:textId="77777777" w:rsidR="008E0FAB" w:rsidRDefault="008E0FAB" w:rsidP="008333FF">
      <w:pPr>
        <w:spacing w:line="240" w:lineRule="atLeast"/>
        <w:rPr>
          <w:lang w:val="es-ES"/>
        </w:rPr>
      </w:pPr>
      <w:r>
        <w:rPr>
          <w:lang w:val="es-ES"/>
        </w:rPr>
        <w:t>1</w:t>
      </w:r>
      <w:r>
        <w:rPr>
          <w:lang w:val="es-ES"/>
        </w:rPr>
        <w:tab/>
      </w:r>
      <w:proofErr w:type="gramStart"/>
      <w:r>
        <w:rPr>
          <w:lang w:val="es-ES"/>
        </w:rPr>
        <w:t>La</w:t>
      </w:r>
      <w:proofErr w:type="gramEnd"/>
      <w:r>
        <w:rPr>
          <w:lang w:val="es-ES"/>
        </w:rPr>
        <w:t xml:space="preserve"> lista de frecuencias portadoras (de referencia) mencionada en la presente disposición contiene cinco frecuencias (21</w:t>
      </w:r>
      <w:r>
        <w:rPr>
          <w:rFonts w:ascii="Tms Rmn" w:hAnsi="Tms Rmn"/>
          <w:sz w:val="12"/>
          <w:lang w:val="es-ES"/>
        </w:rPr>
        <w:t> </w:t>
      </w:r>
      <w:r>
        <w:rPr>
          <w:lang w:val="es-ES"/>
        </w:rPr>
        <w:t>925 kHz, 21</w:t>
      </w:r>
      <w:r>
        <w:rPr>
          <w:rFonts w:ascii="Tms Rmn" w:hAnsi="Tms Rmn"/>
          <w:sz w:val="12"/>
          <w:lang w:val="es-ES"/>
        </w:rPr>
        <w:t> </w:t>
      </w:r>
      <w:r>
        <w:rPr>
          <w:lang w:val="es-ES"/>
        </w:rPr>
        <w:t>928 kHz, 21</w:t>
      </w:r>
      <w:r>
        <w:rPr>
          <w:rFonts w:ascii="Tms Rmn" w:hAnsi="Tms Rmn"/>
          <w:sz w:val="12"/>
          <w:lang w:val="es-ES"/>
        </w:rPr>
        <w:t> </w:t>
      </w:r>
      <w:r>
        <w:rPr>
          <w:lang w:val="es-ES"/>
        </w:rPr>
        <w:t>931 kHz, 21</w:t>
      </w:r>
      <w:r>
        <w:rPr>
          <w:rFonts w:ascii="Tms Rmn" w:hAnsi="Tms Rmn"/>
          <w:sz w:val="12"/>
          <w:lang w:val="es-ES"/>
        </w:rPr>
        <w:t> </w:t>
      </w:r>
      <w:r>
        <w:rPr>
          <w:lang w:val="es-ES"/>
        </w:rPr>
        <w:t>934 kHz y 21</w:t>
      </w:r>
      <w:r>
        <w:rPr>
          <w:rFonts w:ascii="Tms Rmn" w:hAnsi="Tms Rmn"/>
          <w:sz w:val="12"/>
          <w:lang w:val="es-ES"/>
        </w:rPr>
        <w:t> </w:t>
      </w:r>
      <w:r>
        <w:rPr>
          <w:lang w:val="es-ES"/>
        </w:rPr>
        <w:t xml:space="preserve">937 kHz), que no están adjudicadas a ninguna de las zonas definidas en el Apéndice </w:t>
      </w:r>
      <w:r w:rsidRPr="00BD3A01">
        <w:rPr>
          <w:rStyle w:val="Appref"/>
          <w:b/>
          <w:bCs/>
          <w:color w:val="000000"/>
          <w:lang w:val="es-ES_tradnl"/>
        </w:rPr>
        <w:t>27</w:t>
      </w:r>
      <w:r>
        <w:rPr>
          <w:lang w:val="es-ES"/>
        </w:rPr>
        <w:t>. La Junta considera que dichas frecuencias están a disposición de todas las administraciones, y para la aplicación que consideren apropiada, a condición de que sea conforme con la definición del servicio móvil aeronáutico (R) estipulada en el número</w:t>
      </w:r>
      <w:r w:rsidR="008333FF">
        <w:rPr>
          <w:lang w:val="es-ES"/>
        </w:rPr>
        <w:t> </w:t>
      </w:r>
      <w:r w:rsidRPr="00BD3A01">
        <w:rPr>
          <w:rStyle w:val="Artref"/>
          <w:b/>
          <w:bCs/>
          <w:color w:val="000000"/>
          <w:lang w:val="es-ES_tradnl"/>
        </w:rPr>
        <w:t>1.33</w:t>
      </w:r>
      <w:r>
        <w:rPr>
          <w:lang w:val="es-ES"/>
        </w:rPr>
        <w:t>.</w:t>
      </w:r>
    </w:p>
    <w:p w14:paraId="4EA1AF17" w14:textId="4AD9C52F" w:rsidR="008E0FAB" w:rsidRDefault="008E0FAB">
      <w:pPr>
        <w:spacing w:line="240" w:lineRule="atLeast"/>
        <w:rPr>
          <w:lang w:val="es-ES"/>
        </w:rPr>
      </w:pPr>
      <w:r>
        <w:rPr>
          <w:lang w:val="es-ES"/>
        </w:rPr>
        <w:t>2</w:t>
      </w:r>
      <w:r>
        <w:rPr>
          <w:lang w:val="es-ES"/>
        </w:rPr>
        <w:tab/>
      </w:r>
      <w:proofErr w:type="gramStart"/>
      <w:r>
        <w:rPr>
          <w:lang w:val="es-ES"/>
        </w:rPr>
        <w:t>En</w:t>
      </w:r>
      <w:proofErr w:type="gramEnd"/>
      <w:r>
        <w:rPr>
          <w:lang w:val="es-ES"/>
        </w:rPr>
        <w:t xml:space="preserve"> los exámenes a que se hace referencia en el número </w:t>
      </w:r>
      <w:r w:rsidRPr="00BD3A01">
        <w:rPr>
          <w:rStyle w:val="Artref"/>
          <w:b/>
          <w:bCs/>
          <w:color w:val="000000"/>
          <w:lang w:val="es-ES_tradnl"/>
        </w:rPr>
        <w:t>11.34</w:t>
      </w:r>
      <w:r>
        <w:rPr>
          <w:lang w:val="es-ES"/>
        </w:rPr>
        <w:t>, la Oficina exami</w:t>
      </w:r>
      <w:r w:rsidR="008333FF">
        <w:rPr>
          <w:lang w:val="es-ES"/>
        </w:rPr>
        <w:softHyphen/>
      </w:r>
      <w:r>
        <w:rPr>
          <w:lang w:val="es-ES"/>
        </w:rPr>
        <w:t>nará las notificaciones pertinentes asociadas a todas esas frecuencias sólo en lo que concierne a su conformidad con los principios técnicos del Apéndice</w:t>
      </w:r>
      <w:r w:rsidR="00E21357">
        <w:rPr>
          <w:lang w:val="es-ES"/>
        </w:rPr>
        <w:t> </w:t>
      </w:r>
      <w:r w:rsidRPr="00BD3A01">
        <w:rPr>
          <w:rStyle w:val="Appref"/>
          <w:b/>
          <w:bCs/>
          <w:color w:val="000000"/>
          <w:lang w:val="es-ES_tradnl"/>
        </w:rPr>
        <w:t>27</w:t>
      </w:r>
      <w:r>
        <w:rPr>
          <w:lang w:val="es-ES"/>
        </w:rPr>
        <w:t xml:space="preserve"> (disposición de canales, anchura de banda, clase de emisión, potencia). Si dichos exámenes conducen a una conclusión favorable, la asignación se inscribirá en el Registro. Si fuera desfavorable, la notificación se devolverá a la administración notificante con una indicación de la acción adecuada.</w:t>
      </w:r>
    </w:p>
    <w:p w14:paraId="2BC6E437" w14:textId="77777777" w:rsidR="008E0FAB" w:rsidRDefault="008E0FAB" w:rsidP="008333FF">
      <w:pPr>
        <w:pStyle w:val="Heading8"/>
        <w:rPr>
          <w:lang w:val="es-ES"/>
        </w:rPr>
      </w:pPr>
      <w:r>
        <w:rPr>
          <w:lang w:val="es-ES"/>
        </w:rPr>
        <w:t>27/</w:t>
      </w:r>
      <w:r w:rsidRPr="008333FF">
        <w:rPr>
          <w:b w:val="0"/>
          <w:bCs/>
          <w:lang w:val="es-ES"/>
        </w:rPr>
        <w:t>19</w:t>
      </w:r>
    </w:p>
    <w:p w14:paraId="082DEA2D" w14:textId="7C10C37A" w:rsidR="008E0FAB" w:rsidRDefault="008E0FAB">
      <w:pPr>
        <w:spacing w:line="240" w:lineRule="atLeast"/>
        <w:rPr>
          <w:lang w:val="es-ES"/>
        </w:rPr>
      </w:pPr>
      <w:r>
        <w:rPr>
          <w:lang w:val="es-ES"/>
        </w:rPr>
        <w:t>En esta disposición (redactada en términos exhortatorios) se especifica la función de la OACI en la coordinación voluntaria para la utilización operacional de las frecuencias. La Junta considera que esa coordinación es una actividad interna de la OACI, encaminada a la concertación de acuerdos de explotación entre los operadores internacionales (por ejemplo, un acuerdo de compartición del tiempo). Por consiguiente, la Oficina no tendrá en cuenta esos acuerdos entre operadores, a menos que las correspondientes administraciones nacionales de telecomunicaciones le informen al respecto.</w:t>
      </w:r>
    </w:p>
    <w:p w14:paraId="2A282465" w14:textId="477FB30B" w:rsidR="00A32F10" w:rsidRDefault="00A32F10">
      <w:pPr>
        <w:spacing w:line="240" w:lineRule="atLeast"/>
        <w:rPr>
          <w:lang w:val="es-ES"/>
        </w:rPr>
      </w:pPr>
      <w:r>
        <w:rPr>
          <w:lang w:val="es-ES"/>
        </w:rPr>
        <w:br w:type="page"/>
      </w:r>
    </w:p>
    <w:p w14:paraId="647D6BCE" w14:textId="2C5A15D3" w:rsidR="008E0FAB" w:rsidRDefault="008E0FAB">
      <w:pPr>
        <w:pStyle w:val="Heading8"/>
        <w:rPr>
          <w:lang w:val="es-ES"/>
        </w:rPr>
      </w:pPr>
      <w:r>
        <w:rPr>
          <w:lang w:val="es-ES"/>
        </w:rPr>
        <w:lastRenderedPageBreak/>
        <w:t>27</w:t>
      </w:r>
      <w:r>
        <w:rPr>
          <w:b w:val="0"/>
          <w:lang w:val="es-ES"/>
        </w:rPr>
        <w:t>/58</w:t>
      </w:r>
    </w:p>
    <w:p w14:paraId="3A9DA52A" w14:textId="77777777" w:rsidR="008E0FAB" w:rsidRDefault="008E0FAB" w:rsidP="008333FF">
      <w:pPr>
        <w:spacing w:line="240" w:lineRule="atLeast"/>
        <w:rPr>
          <w:lang w:val="es-ES"/>
        </w:rPr>
      </w:pPr>
      <w:r>
        <w:rPr>
          <w:lang w:val="es-ES"/>
        </w:rPr>
        <w:t>En esta disposición se enumeran las clases admisibles de emisión en los canales del Apéndice </w:t>
      </w:r>
      <w:r w:rsidRPr="00BD3A01">
        <w:rPr>
          <w:rStyle w:val="Appref"/>
          <w:b/>
          <w:bCs/>
          <w:color w:val="000000"/>
          <w:lang w:val="es-ES_tradnl"/>
        </w:rPr>
        <w:t>27</w:t>
      </w:r>
      <w:r>
        <w:rPr>
          <w:lang w:val="es-ES"/>
        </w:rPr>
        <w:t xml:space="preserve"> y se considera, entre otras emisiones, la posibilidad de utilizar </w:t>
      </w:r>
      <w:r w:rsidRPr="00DD0DFB">
        <w:rPr>
          <w:i/>
          <w:iCs/>
          <w:lang w:val="es-ES"/>
        </w:rPr>
        <w:t>«otras transmi</w:t>
      </w:r>
      <w:r w:rsidR="008333FF" w:rsidRPr="00DD0DFB">
        <w:rPr>
          <w:i/>
          <w:iCs/>
          <w:lang w:val="es-ES"/>
        </w:rPr>
        <w:softHyphen/>
      </w:r>
      <w:r w:rsidRPr="00DD0DFB">
        <w:rPr>
          <w:i/>
          <w:iCs/>
          <w:lang w:val="es-ES"/>
        </w:rPr>
        <w:t>siones tales como la transmisión automática de datos, banda lateral única, onda portadora suprimida»</w:t>
      </w:r>
      <w:r>
        <w:rPr>
          <w:lang w:val="es-ES"/>
        </w:rPr>
        <w:t>. La clase de emisión indicada frente a esta última descripción es JXX (anterior</w:t>
      </w:r>
      <w:r>
        <w:rPr>
          <w:lang w:val="es-ES"/>
        </w:rPr>
        <w:softHyphen/>
        <w:t>mente denominada A9J). A este respecto, la Junta considera que está autorizada cualquier clase de emisión de banda lateral única (BLU) (portadora suprimida) en los canales del Apéndice </w:t>
      </w:r>
      <w:r w:rsidRPr="00BD3A01">
        <w:rPr>
          <w:rStyle w:val="Appref"/>
          <w:b/>
          <w:bCs/>
          <w:color w:val="000000"/>
          <w:lang w:val="es-ES_tradnl"/>
        </w:rPr>
        <w:t>27</w:t>
      </w:r>
      <w:r>
        <w:rPr>
          <w:lang w:val="es-ES"/>
        </w:rPr>
        <w:t xml:space="preserve"> (por ejemplo, J2B, J2D, J7B, J7D, J9B, J9D, etc.), a reserva de que se cumplan las siguientes condiciones:</w:t>
      </w:r>
    </w:p>
    <w:p w14:paraId="4CD6023E" w14:textId="77777777" w:rsidR="008E0FAB" w:rsidRDefault="008E0FAB" w:rsidP="008333FF">
      <w:pPr>
        <w:pStyle w:val="enumlev1"/>
        <w:rPr>
          <w:lang w:val="es-ES"/>
        </w:rPr>
      </w:pPr>
      <w:r>
        <w:rPr>
          <w:lang w:val="es-ES"/>
        </w:rPr>
        <w:t>–</w:t>
      </w:r>
      <w:r>
        <w:rPr>
          <w:lang w:val="es-ES"/>
        </w:rPr>
        <w:tab/>
        <w:t>la frecuencia de referencia de la transmisión coincide con una frecuencia de referencia indicada en la lista de frecuencias de la portadora (de referencia) (número</w:t>
      </w:r>
      <w:r w:rsidR="008333FF">
        <w:rPr>
          <w:lang w:val="es-ES"/>
        </w:rPr>
        <w:t> </w:t>
      </w:r>
      <w:r w:rsidRPr="00BD3A01">
        <w:rPr>
          <w:rStyle w:val="Artref"/>
          <w:b/>
          <w:bCs/>
          <w:color w:val="000000"/>
          <w:lang w:val="es-ES_tradnl"/>
        </w:rPr>
        <w:t>27</w:t>
      </w:r>
      <w:r>
        <w:rPr>
          <w:lang w:val="es-ES"/>
        </w:rPr>
        <w:t>/18);</w:t>
      </w:r>
    </w:p>
    <w:p w14:paraId="4920D106" w14:textId="77777777" w:rsidR="008E0FAB" w:rsidRDefault="008E0FAB" w:rsidP="008333FF">
      <w:pPr>
        <w:pStyle w:val="enumlev1"/>
        <w:rPr>
          <w:lang w:val="es-ES"/>
        </w:rPr>
      </w:pPr>
      <w:r>
        <w:rPr>
          <w:lang w:val="es-ES"/>
        </w:rPr>
        <w:t>–</w:t>
      </w:r>
      <w:r>
        <w:rPr>
          <w:lang w:val="es-ES"/>
        </w:rPr>
        <w:tab/>
        <w:t xml:space="preserve">la anchura de banda ocupada de las otras emisiones autorizadas no excede el límite superior de las emisiones J3E (número </w:t>
      </w:r>
      <w:r w:rsidRPr="00BD3A01">
        <w:rPr>
          <w:rStyle w:val="Artref"/>
          <w:b/>
          <w:bCs/>
          <w:color w:val="000000"/>
          <w:lang w:val="es-ES_tradnl"/>
        </w:rPr>
        <w:t>27</w:t>
      </w:r>
      <w:r>
        <w:rPr>
          <w:lang w:val="es-ES"/>
        </w:rPr>
        <w:t>/12), es decir, 2</w:t>
      </w:r>
      <w:r>
        <w:rPr>
          <w:rFonts w:ascii="Tms Rmn" w:hAnsi="Tms Rmn"/>
          <w:sz w:val="12"/>
          <w:lang w:val="es-ES"/>
        </w:rPr>
        <w:t> </w:t>
      </w:r>
      <w:r>
        <w:rPr>
          <w:lang w:val="es-ES"/>
        </w:rPr>
        <w:t>800</w:t>
      </w:r>
      <w:r w:rsidR="008333FF">
        <w:rPr>
          <w:lang w:val="es-ES"/>
        </w:rPr>
        <w:t> </w:t>
      </w:r>
      <w:r>
        <w:rPr>
          <w:lang w:val="es-ES"/>
        </w:rPr>
        <w:t>Hz;</w:t>
      </w:r>
    </w:p>
    <w:p w14:paraId="0AFFBE7B" w14:textId="77777777" w:rsidR="008E0FAB" w:rsidRDefault="008E0FAB" w:rsidP="008333FF">
      <w:pPr>
        <w:pStyle w:val="enumlev1"/>
        <w:rPr>
          <w:lang w:val="es-ES"/>
        </w:rPr>
      </w:pPr>
      <w:r>
        <w:rPr>
          <w:lang w:val="es-ES"/>
        </w:rPr>
        <w:t>–</w:t>
      </w:r>
      <w:r>
        <w:rPr>
          <w:lang w:val="es-ES"/>
        </w:rPr>
        <w:tab/>
        <w:t>el valor de la frecuencia asignada es 1</w:t>
      </w:r>
      <w:r>
        <w:rPr>
          <w:rFonts w:ascii="Tms Rmn" w:hAnsi="Tms Rmn"/>
          <w:sz w:val="12"/>
          <w:lang w:val="es-ES"/>
        </w:rPr>
        <w:t> </w:t>
      </w:r>
      <w:r>
        <w:rPr>
          <w:lang w:val="es-ES"/>
        </w:rPr>
        <w:t>400 Hz superior a la frecuencia de la portadora (de referencia) (número</w:t>
      </w:r>
      <w:r w:rsidR="008333FF">
        <w:rPr>
          <w:lang w:val="es-ES"/>
        </w:rPr>
        <w:t> </w:t>
      </w:r>
      <w:r w:rsidRPr="00BD3A01">
        <w:rPr>
          <w:rStyle w:val="Artref"/>
          <w:b/>
          <w:bCs/>
          <w:color w:val="000000"/>
          <w:lang w:val="es-ES_tradnl"/>
        </w:rPr>
        <w:t>27</w:t>
      </w:r>
      <w:r>
        <w:rPr>
          <w:lang w:val="es-ES"/>
        </w:rPr>
        <w:t>/75).</w:t>
      </w:r>
    </w:p>
    <w:p w14:paraId="103B2C5C" w14:textId="77777777" w:rsidR="008E0FAB" w:rsidRDefault="008E0FAB" w:rsidP="008333FF">
      <w:pPr>
        <w:rPr>
          <w:lang w:val="es-ES"/>
        </w:rPr>
      </w:pPr>
    </w:p>
    <w:p w14:paraId="49217753" w14:textId="77777777" w:rsidR="008E0FAB" w:rsidRDefault="008E0FAB">
      <w:pPr>
        <w:jc w:val="center"/>
      </w:pPr>
      <w:r>
        <w:t>____________________</w:t>
      </w:r>
    </w:p>
    <w:p w14:paraId="23EB83F2" w14:textId="77777777" w:rsidR="008E0FAB" w:rsidRDefault="008E0FAB" w:rsidP="008333FF"/>
    <w:p w14:paraId="1D3197C2" w14:textId="77777777" w:rsidR="008E0FAB" w:rsidRDefault="008E0FAB" w:rsidP="008333FF"/>
    <w:p w14:paraId="1297B3D6" w14:textId="77777777" w:rsidR="008E0FAB" w:rsidRDefault="008E0FAB" w:rsidP="008333FF"/>
    <w:p w14:paraId="60DAE1B8" w14:textId="77777777" w:rsidR="008E0FAB" w:rsidRDefault="008E0FAB" w:rsidP="008333FF"/>
    <w:p w14:paraId="48124CE6" w14:textId="77777777" w:rsidR="008E0FAB" w:rsidRDefault="008E0FAB" w:rsidP="008333FF"/>
    <w:p w14:paraId="011CF378" w14:textId="77777777" w:rsidR="008E0FAB" w:rsidRDefault="008E0FAB" w:rsidP="008333FF"/>
    <w:p w14:paraId="4EB4E2E3" w14:textId="77777777" w:rsidR="008E0FAB" w:rsidRDefault="008E0FAB" w:rsidP="008333FF"/>
    <w:p w14:paraId="0C710353" w14:textId="77777777" w:rsidR="008E0FAB" w:rsidRDefault="008E0FAB" w:rsidP="008333FF"/>
    <w:p w14:paraId="66993275" w14:textId="77777777" w:rsidR="008E0FAB" w:rsidRDefault="008E0FAB" w:rsidP="008333FF"/>
    <w:p w14:paraId="1E31B242" w14:textId="77777777" w:rsidR="008E0FAB" w:rsidRDefault="008E0FAB" w:rsidP="008333FF"/>
    <w:p w14:paraId="73905C33" w14:textId="77777777" w:rsidR="008E0FAB" w:rsidRDefault="008E0FAB" w:rsidP="008333FF"/>
    <w:p w14:paraId="042E02A6" w14:textId="77777777" w:rsidR="008333FF" w:rsidRDefault="008333FF" w:rsidP="008333FF"/>
    <w:p w14:paraId="74283FFE" w14:textId="77777777" w:rsidR="008333FF" w:rsidRDefault="008333FF" w:rsidP="008333FF"/>
    <w:p w14:paraId="472BDB20" w14:textId="77777777" w:rsidR="008333FF" w:rsidRDefault="008333FF" w:rsidP="008333FF"/>
    <w:p w14:paraId="78822B2B" w14:textId="77777777" w:rsidR="008E0FAB" w:rsidRDefault="008E0FAB" w:rsidP="008333FF">
      <w:pPr>
        <w:rPr>
          <w:lang w:val="en-US"/>
        </w:rPr>
        <w:sectPr w:rsidR="008E0FAB">
          <w:headerReference w:type="even" r:id="rId7"/>
          <w:headerReference w:type="default" r:id="rId8"/>
          <w:footnotePr>
            <w:pos w:val="beneathText"/>
            <w:numFmt w:val="chicago"/>
          </w:footnotePr>
          <w:pgSz w:w="11907" w:h="16840" w:code="9"/>
          <w:pgMar w:top="1701" w:right="851" w:bottom="1134" w:left="1985" w:header="720" w:footer="482" w:gutter="0"/>
          <w:cols w:space="720"/>
          <w:vAlign w:val="both"/>
        </w:sectPr>
      </w:pPr>
    </w:p>
    <w:p w14:paraId="34BF1AF1" w14:textId="77777777" w:rsidR="008E0FAB" w:rsidRDefault="008E0FAB" w:rsidP="008333FF">
      <w:pPr>
        <w:rPr>
          <w:lang w:val="en-US"/>
        </w:rPr>
      </w:pPr>
    </w:p>
    <w:sectPr w:rsidR="008E0FAB">
      <w:headerReference w:type="first" r:id="rId9"/>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327374" w14:textId="77777777" w:rsidR="00D201B5" w:rsidRDefault="00D201B5">
      <w:r>
        <w:separator/>
      </w:r>
    </w:p>
  </w:endnote>
  <w:endnote w:type="continuationSeparator" w:id="0">
    <w:p w14:paraId="63BB5CA4" w14:textId="77777777" w:rsidR="00D201B5" w:rsidRDefault="00D20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20002A87" w:usb1="80000000" w:usb2="00000008"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794F04" w14:textId="77777777" w:rsidR="00D201B5" w:rsidRDefault="00D201B5">
      <w:r>
        <w:rPr>
          <w:b/>
        </w:rPr>
        <w:t>_______________</w:t>
      </w:r>
    </w:p>
  </w:footnote>
  <w:footnote w:type="continuationSeparator" w:id="0">
    <w:p w14:paraId="7EC186DF" w14:textId="77777777" w:rsidR="00D201B5" w:rsidRDefault="00D201B5">
      <w:r>
        <w:continuationSeparator/>
      </w:r>
    </w:p>
  </w:footnote>
  <w:footnote w:id="1">
    <w:p w14:paraId="17D04526" w14:textId="77777777" w:rsidR="00A65E00" w:rsidRPr="00A65E00" w:rsidRDefault="00A65E00">
      <w:pPr>
        <w:pStyle w:val="FootnoteText"/>
        <w:rPr>
          <w:lang w:val="es-ES_tradnl"/>
        </w:rPr>
      </w:pPr>
      <w:r>
        <w:rPr>
          <w:rStyle w:val="FootnoteReference"/>
        </w:rPr>
        <w:footnoteRef/>
      </w:r>
      <w:r w:rsidRPr="00A32F10">
        <w:rPr>
          <w:lang w:val="es-ES"/>
        </w:rPr>
        <w:t xml:space="preserve"> </w:t>
      </w:r>
      <w:r>
        <w:rPr>
          <w:lang w:val="es-ES_tradnl"/>
        </w:rPr>
        <w:tab/>
      </w:r>
      <w:r w:rsidRPr="00A65E00">
        <w:rPr>
          <w:i/>
          <w:iCs/>
          <w:lang w:val="es-ES_tradnl"/>
        </w:rPr>
        <w:t>Nota de la Secretaría</w:t>
      </w:r>
      <w:r>
        <w:rPr>
          <w:lang w:val="es-ES_tradnl"/>
        </w:rPr>
        <w:t>: Esta Resolución ha sido abrogada por la CMR-97.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E0FAB" w14:paraId="27D187C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D5A737B" w14:textId="0827B558" w:rsidR="008E0FAB" w:rsidRDefault="008E0FAB">
          <w:pPr>
            <w:pStyle w:val="HeaderRegProc"/>
          </w:pPr>
          <w:r>
            <w:t>Parte A</w:t>
          </w:r>
          <w:r>
            <w:fldChar w:fldCharType="begin"/>
          </w:r>
          <w:r>
            <w:instrText>styleref href</w:instrText>
          </w:r>
          <w:r>
            <w:fldChar w:fldCharType="separate"/>
          </w:r>
          <w:r w:rsidR="00DD0DFB">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20D0329" w14:textId="0E86D545" w:rsidR="008E0FAB" w:rsidRDefault="006C1DF4">
          <w:pPr>
            <w:pStyle w:val="HeaderRegProc"/>
            <w:rPr>
              <w:lang w:val="fr-FR"/>
            </w:rPr>
          </w:pPr>
          <w:fldSimple w:instr=" DOCPROPERTY &quot;Header1&quot; \* MERGEFORMAT ">
            <w:r>
              <w:t>AP</w:t>
            </w:r>
          </w:fldSimple>
          <w:r w:rsidR="008E0FAB">
            <w:fldChar w:fldCharType="begin"/>
          </w:r>
          <w:r w:rsidR="008E0FAB">
            <w:instrText>styleref href2</w:instrText>
          </w:r>
          <w:r w:rsidR="008E0FAB">
            <w:fldChar w:fldCharType="separate"/>
          </w:r>
          <w:r w:rsidR="00DD0DFB">
            <w:rPr>
              <w:noProof/>
            </w:rPr>
            <w:t>27</w:t>
          </w:r>
          <w:r w:rsidR="008E0FAB">
            <w:fldChar w:fldCharType="end"/>
          </w:r>
        </w:p>
      </w:tc>
      <w:tc>
        <w:tcPr>
          <w:tcW w:w="1701" w:type="dxa"/>
          <w:tcBorders>
            <w:top w:val="single" w:sz="6" w:space="0" w:color="auto"/>
            <w:left w:val="single" w:sz="6" w:space="0" w:color="auto"/>
            <w:bottom w:val="single" w:sz="6" w:space="0" w:color="auto"/>
            <w:right w:val="single" w:sz="6" w:space="0" w:color="auto"/>
          </w:tcBorders>
        </w:tcPr>
        <w:p w14:paraId="683F0EB0" w14:textId="77777777" w:rsidR="008E0FAB" w:rsidRDefault="008E0FAB">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A65E00">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6236B20" w14:textId="1E6F20A9" w:rsidR="008E0FAB" w:rsidRDefault="008E0FAB">
          <w:pPr>
            <w:pStyle w:val="HeaderRegProc"/>
            <w:rPr>
              <w:lang w:val="fr-CH"/>
            </w:rPr>
          </w:pPr>
          <w:proofErr w:type="spellStart"/>
          <w:proofErr w:type="gramStart"/>
          <w:r>
            <w:rPr>
              <w:lang w:val="fr-CH"/>
            </w:rPr>
            <w:t>rev</w:t>
          </w:r>
          <w:proofErr w:type="spellEnd"/>
          <w:proofErr w:type="gramEnd"/>
          <w:r>
            <w:rPr>
              <w:lang w:val="fr-CH"/>
            </w:rPr>
            <w:t>.</w:t>
          </w:r>
          <w:r w:rsidR="00A32F10">
            <w:rPr>
              <w:lang w:val="fr-CH"/>
            </w:rPr>
            <w:t xml:space="preserve"> </w:t>
          </w:r>
          <w:r>
            <w:fldChar w:fldCharType="begin"/>
          </w:r>
          <w:r>
            <w:rPr>
              <w:lang w:val="fr-CH"/>
            </w:rPr>
            <w:instrText xml:space="preserve"> DOCPROPERTY "Header10" \* MERGEFORMAT </w:instrText>
          </w:r>
          <w:r>
            <w:fldChar w:fldCharType="separate"/>
          </w:r>
          <w:r w:rsidR="006C1DF4">
            <w:rPr>
              <w:lang w:val="fr-CH"/>
            </w:rPr>
            <w:t>-</w:t>
          </w:r>
          <w:r>
            <w:fldChar w:fldCharType="end"/>
          </w:r>
        </w:p>
      </w:tc>
    </w:tr>
  </w:tbl>
  <w:p w14:paraId="2C521537" w14:textId="77777777" w:rsidR="008E0FAB" w:rsidRDefault="008E0FAB">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E0FAB" w14:paraId="77327CC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FF492D9" w14:textId="25AB7619" w:rsidR="008E0FAB" w:rsidRDefault="008E0FAB">
          <w:pPr>
            <w:pStyle w:val="HeaderRegProc"/>
          </w:pPr>
          <w:r>
            <w:t>Parte A</w:t>
          </w:r>
          <w:r>
            <w:fldChar w:fldCharType="begin"/>
          </w:r>
          <w:r>
            <w:instrText>styleref href</w:instrText>
          </w:r>
          <w:r>
            <w:fldChar w:fldCharType="separate"/>
          </w:r>
          <w:r w:rsidR="00DD0DFB">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4B25917" w14:textId="1862E5FB" w:rsidR="008E0FAB" w:rsidRDefault="006C1DF4">
          <w:pPr>
            <w:pStyle w:val="HeaderRegProc"/>
            <w:rPr>
              <w:lang w:val="fr-FR"/>
            </w:rPr>
          </w:pPr>
          <w:fldSimple w:instr=" DOCPROPERTY &quot;Header1&quot; \* MERGEFORMAT ">
            <w:r>
              <w:t>AP</w:t>
            </w:r>
          </w:fldSimple>
          <w:r w:rsidR="008E0FAB">
            <w:fldChar w:fldCharType="begin"/>
          </w:r>
          <w:r w:rsidR="008E0FAB">
            <w:instrText>styleref href2</w:instrText>
          </w:r>
          <w:r w:rsidR="008E0FAB">
            <w:fldChar w:fldCharType="separate"/>
          </w:r>
          <w:r w:rsidR="00DD0DFB">
            <w:rPr>
              <w:noProof/>
            </w:rPr>
            <w:t>27</w:t>
          </w:r>
          <w:r w:rsidR="008E0FAB">
            <w:fldChar w:fldCharType="end"/>
          </w:r>
        </w:p>
      </w:tc>
      <w:tc>
        <w:tcPr>
          <w:tcW w:w="1701" w:type="dxa"/>
          <w:tcBorders>
            <w:top w:val="single" w:sz="6" w:space="0" w:color="auto"/>
            <w:left w:val="single" w:sz="6" w:space="0" w:color="auto"/>
            <w:bottom w:val="single" w:sz="6" w:space="0" w:color="auto"/>
            <w:right w:val="single" w:sz="6" w:space="0" w:color="auto"/>
          </w:tcBorders>
        </w:tcPr>
        <w:p w14:paraId="49107B0E" w14:textId="77777777" w:rsidR="008E0FAB" w:rsidRDefault="008E0FAB">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A65E00">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84DAEAA" w14:textId="1721F261" w:rsidR="008E0FAB" w:rsidRDefault="008E0FAB">
          <w:pPr>
            <w:pStyle w:val="HeaderRegProc"/>
            <w:rPr>
              <w:lang w:val="fr-CH"/>
            </w:rPr>
          </w:pPr>
          <w:proofErr w:type="spellStart"/>
          <w:proofErr w:type="gramStart"/>
          <w:r>
            <w:rPr>
              <w:lang w:val="fr-CH"/>
            </w:rPr>
            <w:t>rev</w:t>
          </w:r>
          <w:proofErr w:type="spellEnd"/>
          <w:proofErr w:type="gramEnd"/>
          <w:r>
            <w:rPr>
              <w:lang w:val="fr-CH"/>
            </w:rPr>
            <w:t>.</w:t>
          </w:r>
          <w:r w:rsidR="00A32F10">
            <w:rPr>
              <w:lang w:val="fr-CH"/>
            </w:rPr>
            <w:t xml:space="preserve"> </w:t>
          </w:r>
          <w:r>
            <w:fldChar w:fldCharType="begin"/>
          </w:r>
          <w:r>
            <w:rPr>
              <w:lang w:val="fr-CH"/>
            </w:rPr>
            <w:instrText xml:space="preserve"> DOCPROPERTY "Header10" \* MERGEFORMAT </w:instrText>
          </w:r>
          <w:r>
            <w:fldChar w:fldCharType="separate"/>
          </w:r>
          <w:r w:rsidR="006C1DF4">
            <w:rPr>
              <w:lang w:val="fr-CH"/>
            </w:rPr>
            <w:t>-</w:t>
          </w:r>
          <w:r>
            <w:fldChar w:fldCharType="end"/>
          </w:r>
        </w:p>
      </w:tc>
    </w:tr>
  </w:tbl>
  <w:p w14:paraId="66E9FA5E" w14:textId="77777777" w:rsidR="008E0FAB" w:rsidRDefault="008E0F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DC0CA" w14:textId="77777777" w:rsidR="008E0FAB" w:rsidRDefault="008E0FA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0FAB"/>
    <w:rsid w:val="00056A78"/>
    <w:rsid w:val="006C1DF4"/>
    <w:rsid w:val="008333FF"/>
    <w:rsid w:val="008E0FAB"/>
    <w:rsid w:val="00A32F10"/>
    <w:rsid w:val="00A65E00"/>
    <w:rsid w:val="00BD3A01"/>
    <w:rsid w:val="00D201B5"/>
    <w:rsid w:val="00DD0DFB"/>
    <w:rsid w:val="00E001B9"/>
    <w:rsid w:val="00E213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0F7402"/>
  <w15:docId w15:val="{D6A6396A-E3A5-4762-A719-498B6683B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8DE7B-71CB-484F-B68A-6BD40AF6F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12</TotalTime>
  <Pages>3</Pages>
  <Words>529</Words>
  <Characters>3021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Art. 27</dc:subject>
  <dc:creator>Composition des Publications</dc:creator>
  <cp:keywords>FOLIOS:  1  -  2</cp:keywords>
  <dc:description>Edition 2009:   13.02.2009/DD (dict. ok)</dc:description>
  <cp:lastModifiedBy>Catalano Moreira, Rossana</cp:lastModifiedBy>
  <cp:revision>7</cp:revision>
  <cp:lastPrinted>2020-12-21T10:28:00Z</cp:lastPrinted>
  <dcterms:created xsi:type="dcterms:W3CDTF">2012-10-02T09:52:00Z</dcterms:created>
  <dcterms:modified xsi:type="dcterms:W3CDTF">2021-05-19T08:48:00Z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