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D4581" w14:textId="77777777" w:rsidR="00454B7A" w:rsidRPr="00DA5EF2" w:rsidRDefault="00454B7A" w:rsidP="009D5403">
      <w:pPr>
        <w:pStyle w:val="Heading1"/>
        <w:spacing w:before="240"/>
        <w:jc w:val="center"/>
        <w:rPr>
          <w:color w:val="000000"/>
          <w:lang w:val="es-ES_tradnl"/>
        </w:rPr>
      </w:pPr>
      <w:r w:rsidRPr="00DA5EF2">
        <w:rPr>
          <w:color w:val="000000"/>
          <w:lang w:val="es-ES_tradnl"/>
        </w:rPr>
        <w:t>Reglas relativas al</w:t>
      </w:r>
    </w:p>
    <w:p w14:paraId="4C802E78" w14:textId="77777777" w:rsidR="00454B7A" w:rsidRPr="00DA5EF2" w:rsidRDefault="00454B7A" w:rsidP="009D5403">
      <w:pPr>
        <w:pStyle w:val="Heading2"/>
        <w:spacing w:before="360"/>
        <w:jc w:val="center"/>
        <w:rPr>
          <w:color w:val="000000"/>
          <w:lang w:val="es-ES_tradnl"/>
        </w:rPr>
      </w:pPr>
      <w:r w:rsidRPr="00DA5EF2">
        <w:rPr>
          <w:color w:val="000000"/>
          <w:lang w:val="es-ES_tradnl"/>
        </w:rPr>
        <w:t xml:space="preserve">APÉNDICE  </w:t>
      </w:r>
      <w:r w:rsidRPr="00DA5EF2">
        <w:rPr>
          <w:rStyle w:val="href2"/>
          <w:color w:val="000000"/>
          <w:lang w:val="es-ES_tradnl"/>
        </w:rPr>
        <w:t>4</w:t>
      </w:r>
      <w:r w:rsidRPr="00DA5EF2">
        <w:rPr>
          <w:color w:val="000000"/>
          <w:lang w:val="es-ES_tradnl"/>
        </w:rPr>
        <w:t xml:space="preserve"> al RR</w:t>
      </w:r>
    </w:p>
    <w:p w14:paraId="6C838BCE" w14:textId="77777777" w:rsidR="0041084B" w:rsidRPr="00DA5EF2" w:rsidRDefault="0041084B" w:rsidP="009D5403">
      <w:pPr>
        <w:pStyle w:val="Heading8"/>
        <w:spacing w:before="240"/>
        <w:rPr>
          <w:lang w:val="es-ES_tradnl"/>
        </w:rPr>
      </w:pPr>
      <w:r w:rsidRPr="00DA5EF2">
        <w:rPr>
          <w:lang w:val="es-ES_tradnl"/>
        </w:rPr>
        <w:t xml:space="preserve">An. </w:t>
      </w:r>
      <w:r w:rsidRPr="00DA5EF2">
        <w:rPr>
          <w:rStyle w:val="href"/>
          <w:color w:val="000000"/>
          <w:lang w:val="es-ES_tradnl"/>
        </w:rPr>
        <w:t>1</w:t>
      </w:r>
    </w:p>
    <w:p w14:paraId="0D97525A" w14:textId="405E95AA" w:rsidR="0041084B" w:rsidRPr="00DA5EF2" w:rsidRDefault="0041084B" w:rsidP="00DA5EF2">
      <w:pPr>
        <w:pStyle w:val="Heading9"/>
        <w:ind w:right="7768"/>
        <w:rPr>
          <w:color w:val="000000"/>
          <w:lang w:val="es-ES_tradnl"/>
        </w:rPr>
      </w:pPr>
      <w:r w:rsidRPr="00DA5EF2">
        <w:rPr>
          <w:color w:val="000000"/>
          <w:sz w:val="21"/>
          <w:szCs w:val="21"/>
          <w:lang w:val="es-ES_tradnl"/>
        </w:rPr>
        <w:t>PUNTO 3A1</w:t>
      </w:r>
    </w:p>
    <w:p w14:paraId="013F0B8F" w14:textId="77777777" w:rsidR="00454B7A" w:rsidRPr="00DA5EF2" w:rsidRDefault="0041084B" w:rsidP="00DA5EF2">
      <w:pPr>
        <w:rPr>
          <w:color w:val="000000"/>
          <w:lang w:val="es-ES_tradnl"/>
        </w:rPr>
      </w:pPr>
      <w:r w:rsidRPr="00DA5EF2">
        <w:rPr>
          <w:color w:val="000000"/>
          <w:lang w:val="es-ES_tradnl"/>
        </w:rPr>
        <w:t xml:space="preserve">Al presentar una notificación según el procedimiento del Artículo </w:t>
      </w:r>
      <w:r w:rsidRPr="00DA5EF2">
        <w:rPr>
          <w:rStyle w:val="Artref"/>
          <w:b/>
          <w:color w:val="000000"/>
          <w:lang w:val="es-ES_tradnl"/>
        </w:rPr>
        <w:t>11</w:t>
      </w:r>
      <w:r w:rsidRPr="00DA5EF2">
        <w:rPr>
          <w:color w:val="000000"/>
          <w:lang w:val="es-ES_tradnl"/>
        </w:rPr>
        <w:t xml:space="preserve">, las administraciones deben facilitar información sobre el distintivo de llamada u otra identificación utilizada, tal como piden los números </w:t>
      </w:r>
      <w:r w:rsidRPr="00DA5EF2">
        <w:rPr>
          <w:rStyle w:val="Artref"/>
          <w:b/>
          <w:color w:val="000000"/>
          <w:lang w:val="es-ES_tradnl"/>
        </w:rPr>
        <w:t>19.7</w:t>
      </w:r>
      <w:r w:rsidRPr="00DA5EF2">
        <w:rPr>
          <w:color w:val="000000"/>
          <w:lang w:val="es-ES_tradnl"/>
        </w:rPr>
        <w:t xml:space="preserve"> a </w:t>
      </w:r>
      <w:r w:rsidRPr="00DA5EF2">
        <w:rPr>
          <w:rStyle w:val="Artref"/>
          <w:b/>
          <w:color w:val="000000"/>
          <w:lang w:val="es-ES_tradnl"/>
        </w:rPr>
        <w:t>19.9</w:t>
      </w:r>
      <w:r w:rsidRPr="00DA5EF2">
        <w:rPr>
          <w:rStyle w:val="Artref"/>
          <w:color w:val="000000"/>
          <w:lang w:val="es-ES_tradnl"/>
        </w:rPr>
        <w:t xml:space="preserve"> y </w:t>
      </w:r>
      <w:r w:rsidRPr="00DA5EF2">
        <w:rPr>
          <w:rStyle w:val="Artref"/>
          <w:b/>
          <w:color w:val="000000"/>
          <w:lang w:val="es-ES_tradnl"/>
        </w:rPr>
        <w:t>19.29</w:t>
      </w:r>
      <w:r w:rsidRPr="00DA5EF2">
        <w:rPr>
          <w:color w:val="000000"/>
          <w:lang w:val="es-ES_tradnl"/>
        </w:rPr>
        <w:t xml:space="preserve">. Teniendo presente los diversos acuerdos especiales alcanzados entre administraciones en relación con la notificación de asignaciones de frecuencia, la Junta encargó a la Oficina que no efectúe un control sistemático de los distintivos de llamada mencionados en el número </w:t>
      </w:r>
      <w:r w:rsidRPr="00DA5EF2">
        <w:rPr>
          <w:b/>
          <w:color w:val="000000"/>
          <w:lang w:val="es-ES_tradnl"/>
        </w:rPr>
        <w:t xml:space="preserve">19.29 </w:t>
      </w:r>
      <w:r w:rsidRPr="00DA5EF2">
        <w:rPr>
          <w:color w:val="000000"/>
          <w:lang w:val="es-ES_tradnl"/>
        </w:rPr>
        <w:t>durante la validación y examen de las notificaciones. No obstante, si se detecta una falta de conformidad del distintivo de llamada con las series de llamada internacional, ha de informarse de ello a la administración notificante.</w:t>
      </w:r>
    </w:p>
    <w:p w14:paraId="7A613A70" w14:textId="3DA1BB10" w:rsidR="009E482D" w:rsidRDefault="009E482D" w:rsidP="009E482D">
      <w:pPr>
        <w:rPr>
          <w:lang w:val="es-ES_tradnl"/>
        </w:rPr>
      </w:pPr>
    </w:p>
    <w:p w14:paraId="009226F0" w14:textId="5618541A" w:rsidR="00421C25" w:rsidRDefault="00421C25" w:rsidP="009E482D">
      <w:pPr>
        <w:rPr>
          <w:lang w:val="es-ES_tradnl"/>
        </w:rPr>
      </w:pPr>
    </w:p>
    <w:p w14:paraId="7E5F51C8" w14:textId="77777777" w:rsidR="00421C25" w:rsidRDefault="00421C25" w:rsidP="009E482D">
      <w:pPr>
        <w:rPr>
          <w:lang w:val="es-ES_tradnl"/>
        </w:rPr>
      </w:pPr>
    </w:p>
    <w:p w14:paraId="36431EFE" w14:textId="05297BAD" w:rsidR="00860408" w:rsidRDefault="00860408" w:rsidP="009E482D">
      <w:pPr>
        <w:rPr>
          <w:lang w:val="es-ES_tradnl"/>
        </w:rPr>
      </w:pPr>
    </w:p>
    <w:p w14:paraId="237A5791" w14:textId="2133188E" w:rsidR="00860408" w:rsidRDefault="00860408" w:rsidP="009E482D">
      <w:pPr>
        <w:rPr>
          <w:lang w:val="es-ES_tradnl"/>
        </w:rPr>
      </w:pPr>
    </w:p>
    <w:p w14:paraId="4041C858" w14:textId="22E2FA88" w:rsidR="00860408" w:rsidRDefault="00860408" w:rsidP="009E482D">
      <w:pPr>
        <w:rPr>
          <w:lang w:val="es-ES_tradnl"/>
        </w:rPr>
      </w:pPr>
    </w:p>
    <w:p w14:paraId="78B1ECF3" w14:textId="7AE03EDB" w:rsidR="00860408" w:rsidRDefault="00860408" w:rsidP="009E482D">
      <w:pPr>
        <w:rPr>
          <w:lang w:val="es-ES_tradnl"/>
        </w:rPr>
      </w:pPr>
    </w:p>
    <w:p w14:paraId="07D8507F" w14:textId="4924BD58" w:rsidR="00860408" w:rsidRDefault="00860408" w:rsidP="009E482D">
      <w:pPr>
        <w:rPr>
          <w:lang w:val="es-ES_tradnl"/>
        </w:rPr>
      </w:pPr>
    </w:p>
    <w:p w14:paraId="2180C11F" w14:textId="00CF6DC7" w:rsidR="00860408" w:rsidRDefault="00860408" w:rsidP="009E482D">
      <w:pPr>
        <w:rPr>
          <w:lang w:val="es-ES_tradnl"/>
        </w:rPr>
      </w:pPr>
    </w:p>
    <w:p w14:paraId="30B30BF7" w14:textId="77777777" w:rsidR="00860408" w:rsidRDefault="00860408" w:rsidP="009E482D">
      <w:pPr>
        <w:rPr>
          <w:lang w:val="es-ES_tradnl"/>
        </w:rPr>
      </w:pPr>
    </w:p>
    <w:p w14:paraId="16A84AFD" w14:textId="648BAA1F" w:rsidR="00421C25" w:rsidRDefault="00421C25" w:rsidP="009E482D">
      <w:pPr>
        <w:rPr>
          <w:lang w:val="es-ES_tradnl"/>
        </w:rPr>
      </w:pPr>
      <w:r>
        <w:rPr>
          <w:lang w:val="es-ES_tradnl"/>
        </w:rPr>
        <w:br w:type="page"/>
      </w:r>
    </w:p>
    <w:p w14:paraId="36327D37" w14:textId="77777777" w:rsidR="00421C25" w:rsidRPr="00DA5EF2" w:rsidRDefault="00421C25" w:rsidP="00421C25">
      <w:pPr>
        <w:pStyle w:val="Heading8"/>
        <w:rPr>
          <w:color w:val="000000"/>
          <w:lang w:val="es-ES_tradnl"/>
        </w:rPr>
      </w:pPr>
      <w:r w:rsidRPr="00DA5EF2">
        <w:rPr>
          <w:color w:val="000000"/>
          <w:lang w:val="es-ES_tradnl"/>
        </w:rPr>
        <w:lastRenderedPageBreak/>
        <w:t>An. 2</w:t>
      </w:r>
    </w:p>
    <w:p w14:paraId="5D0A6644" w14:textId="794550A3" w:rsidR="00860408" w:rsidRDefault="00860408" w:rsidP="00421C25">
      <w:pPr>
        <w:spacing w:before="0" w:line="120" w:lineRule="auto"/>
        <w:rPr>
          <w:lang w:val="es-ES_tradnl"/>
        </w:rPr>
      </w:pPr>
    </w:p>
    <w:p w14:paraId="0283497B" w14:textId="275B8CA5" w:rsidR="009D5403" w:rsidRPr="009D5403" w:rsidRDefault="009D5403" w:rsidP="00421C25">
      <w:pPr>
        <w:keepNext/>
        <w:keepLines/>
        <w:pBdr>
          <w:top w:val="single" w:sz="4" w:space="1" w:color="auto"/>
          <w:left w:val="single" w:sz="4" w:space="1" w:color="auto"/>
          <w:bottom w:val="single" w:sz="4" w:space="1" w:color="auto"/>
          <w:right w:val="single" w:sz="4" w:space="1" w:color="auto"/>
        </w:pBdr>
        <w:ind w:left="85" w:right="7938"/>
        <w:outlineLvl w:val="7"/>
        <w:rPr>
          <w:b/>
          <w:szCs w:val="24"/>
          <w:lang w:val="es-ES_tradnl"/>
        </w:rPr>
      </w:pPr>
      <w:r w:rsidRPr="009D5403">
        <w:rPr>
          <w:b/>
          <w:szCs w:val="24"/>
          <w:lang w:val="es-ES_tradnl"/>
        </w:rPr>
        <w:t>A.17.d</w:t>
      </w:r>
    </w:p>
    <w:p w14:paraId="01A69495" w14:textId="41FC03A4" w:rsidR="009D5403" w:rsidRPr="009D5403" w:rsidRDefault="009D5403" w:rsidP="00DF1284">
      <w:pPr>
        <w:rPr>
          <w:lang w:val="es-ES_tradnl"/>
        </w:rPr>
      </w:pPr>
      <w:r w:rsidRPr="009D5403">
        <w:rPr>
          <w:lang w:val="es-ES_tradnl"/>
        </w:rPr>
        <w:t>La CMR-15 modificó el punto A.17.d para que se comunique la densidad de flujo de potencia (dfp) media producida en la superficie de la Tierra por cualquier sensor a bordo de vehículo espacial, para la banda de frecuencias 9 900-10 400 MHz de sistemas de satélites que funcionan en el servicio de exploración de la Tierra por satélite (activo) según lo definido en el Cuadro</w:t>
      </w:r>
      <w:r w:rsidR="00E9776E">
        <w:rPr>
          <w:lang w:val="es-ES_tradnl"/>
        </w:rPr>
        <w:t> </w:t>
      </w:r>
      <w:r w:rsidRPr="00704901">
        <w:rPr>
          <w:b/>
          <w:bCs/>
          <w:lang w:val="es-ES_tradnl"/>
        </w:rPr>
        <w:t>21-4</w:t>
      </w:r>
      <w:r w:rsidRPr="009D5403">
        <w:rPr>
          <w:lang w:val="es-ES_tradnl"/>
        </w:rPr>
        <w:t>. Como los límites dependen del ángulo de incidencia, se debe comunicar la dfp media para cada ángulo de incidencia. La fórmula que define la dfp media mencionada en el Cuadro</w:t>
      </w:r>
      <w:r w:rsidR="00E9776E">
        <w:rPr>
          <w:lang w:val="es-ES_tradnl"/>
        </w:rPr>
        <w:t> </w:t>
      </w:r>
      <w:r w:rsidRPr="00704901">
        <w:rPr>
          <w:b/>
          <w:bCs/>
          <w:lang w:val="es-ES_tradnl"/>
        </w:rPr>
        <w:t>21-4</w:t>
      </w:r>
      <w:r w:rsidRPr="009D5403">
        <w:rPr>
          <w:lang w:val="es-ES_tradnl"/>
        </w:rPr>
        <w:t xml:space="preserve"> viene dada en el número </w:t>
      </w:r>
      <w:r w:rsidRPr="009D5403">
        <w:rPr>
          <w:b/>
          <w:bCs/>
          <w:lang w:val="es-ES_tradnl"/>
        </w:rPr>
        <w:t>21.16.8</w:t>
      </w:r>
      <w:r w:rsidRPr="009D5403">
        <w:rPr>
          <w:lang w:val="es-ES_tradnl"/>
        </w:rPr>
        <w:t>. La Oficina puede calcular la dfp media a partir del ángulo de incidencia si se comunica la información relativa al ancho de banda necesario (punto C.7a), que actualmente no se exige para los sensores pasivos o activos. La información sobre el ancho de banda necesario también es indispensable para que la Oficina pueda examinar la conformidad de las asignaciones de frecuencia presentadas con respecto al número</w:t>
      </w:r>
      <w:r w:rsidR="00E9776E">
        <w:rPr>
          <w:lang w:val="es-ES_tradnl"/>
        </w:rPr>
        <w:t> </w:t>
      </w:r>
      <w:r w:rsidRPr="009D5403">
        <w:rPr>
          <w:b/>
          <w:bCs/>
          <w:lang w:val="es-ES_tradnl"/>
        </w:rPr>
        <w:t>5.474A</w:t>
      </w:r>
      <w:r w:rsidRPr="009D5403">
        <w:rPr>
          <w:lang w:val="es-ES_tradnl"/>
        </w:rPr>
        <w:t>.</w:t>
      </w:r>
    </w:p>
    <w:p w14:paraId="6E9EC1A4" w14:textId="77DF0980" w:rsidR="0097241E" w:rsidRPr="009D5403" w:rsidRDefault="009D5403" w:rsidP="00DF1284">
      <w:pPr>
        <w:rPr>
          <w:color w:val="000000"/>
          <w:lang w:val="es-ES_tradnl"/>
        </w:rPr>
      </w:pPr>
      <w:r w:rsidRPr="009D5403">
        <w:rPr>
          <w:lang w:val="es-ES_tradnl"/>
        </w:rPr>
        <w:t xml:space="preserve">Habida cuenta de lo anterior, la Junta decidió que las Administraciones deberán presentar, además de las características pertinentes indicadas en el Apéndice </w:t>
      </w:r>
      <w:r w:rsidRPr="009D5403">
        <w:rPr>
          <w:b/>
          <w:bCs/>
          <w:lang w:val="es-ES_tradnl"/>
        </w:rPr>
        <w:t>4</w:t>
      </w:r>
      <w:r w:rsidRPr="009D5403">
        <w:rPr>
          <w:lang w:val="es-ES_tradnl"/>
        </w:rPr>
        <w:t>, la información relativa al ancho de banda de emisión RAS en el punto</w:t>
      </w:r>
      <w:r w:rsidR="00E9776E">
        <w:rPr>
          <w:lang w:val="es-ES_tradnl"/>
        </w:rPr>
        <w:t> </w:t>
      </w:r>
      <w:r w:rsidRPr="009D5403">
        <w:rPr>
          <w:lang w:val="es-ES_tradnl"/>
        </w:rPr>
        <w:t>C.7.a (ancho de banda necesario) para los sensores activos que funcionan en el servicio de exploración de la Tierra por satélite (activo) en la banda de frecuencias 9 900-10 400</w:t>
      </w:r>
      <w:r w:rsidR="00E9776E">
        <w:rPr>
          <w:lang w:val="es-ES_tradnl"/>
        </w:rPr>
        <w:t> </w:t>
      </w:r>
      <w:r w:rsidRPr="009D5403">
        <w:rPr>
          <w:lang w:val="es-ES_tradnl"/>
        </w:rPr>
        <w:t xml:space="preserve">MHz, en lugar de presentar la dfp media. La Oficina tendrá luego en cuenta estos datos al efectuar el examen con arreglo al número </w:t>
      </w:r>
      <w:r w:rsidRPr="009D5403">
        <w:rPr>
          <w:b/>
          <w:bCs/>
          <w:lang w:val="es-ES_tradnl"/>
        </w:rPr>
        <w:t>11.31</w:t>
      </w:r>
      <w:r w:rsidRPr="009D5403">
        <w:rPr>
          <w:lang w:val="es-ES_tradnl"/>
        </w:rPr>
        <w:t xml:space="preserve"> del Reglamento de Radiocomunicaciones.</w:t>
      </w:r>
    </w:p>
    <w:p w14:paraId="5B77932D" w14:textId="77777777" w:rsidR="009E482D" w:rsidRPr="00DA5EF2" w:rsidRDefault="009E482D" w:rsidP="009E482D">
      <w:pPr>
        <w:pStyle w:val="Heading9"/>
        <w:rPr>
          <w:lang w:val="es-ES_tradnl"/>
        </w:rPr>
      </w:pPr>
      <w:r w:rsidRPr="00DA5EF2">
        <w:rPr>
          <w:lang w:val="es-ES_tradnl"/>
        </w:rPr>
        <w:t xml:space="preserve">A.18 </w:t>
      </w:r>
      <w:r w:rsidRPr="00DA5EF2">
        <w:rPr>
          <w:i/>
          <w:iCs/>
          <w:lang w:val="es-ES_tradnl"/>
        </w:rPr>
        <w:t>a)</w:t>
      </w:r>
    </w:p>
    <w:p w14:paraId="15561405" w14:textId="66263A72" w:rsidR="00454B7A" w:rsidRPr="00DA5EF2" w:rsidRDefault="00454B7A">
      <w:pPr>
        <w:rPr>
          <w:color w:val="000000"/>
          <w:lang w:val="es-ES_tradnl"/>
        </w:rPr>
      </w:pPr>
      <w:r w:rsidRPr="00DA5EF2">
        <w:rPr>
          <w:color w:val="000000"/>
          <w:lang w:val="es-ES_tradnl"/>
        </w:rPr>
        <w:t>La Junta señaló que la descripción del Anexo</w:t>
      </w:r>
      <w:r w:rsidR="00E9776E">
        <w:rPr>
          <w:color w:val="000000"/>
          <w:lang w:val="es-ES_tradnl"/>
        </w:rPr>
        <w:t> </w:t>
      </w:r>
      <w:r w:rsidRPr="00DA5EF2">
        <w:rPr>
          <w:color w:val="000000"/>
          <w:lang w:val="es-ES_tradnl"/>
        </w:rPr>
        <w:t xml:space="preserve">2 del Apéndice </w:t>
      </w:r>
      <w:r w:rsidRPr="00DA5EF2">
        <w:rPr>
          <w:rStyle w:val="Appref"/>
          <w:b/>
          <w:color w:val="000000"/>
          <w:lang w:val="es-ES_tradnl"/>
        </w:rPr>
        <w:t>4</w:t>
      </w:r>
      <w:r w:rsidRPr="00DA5EF2">
        <w:rPr>
          <w:color w:val="000000"/>
          <w:lang w:val="es-ES_tradnl"/>
        </w:rPr>
        <w:t xml:space="preserve">, § A.18 </w:t>
      </w:r>
      <w:r w:rsidRPr="00DA5EF2">
        <w:rPr>
          <w:i/>
          <w:iCs/>
          <w:color w:val="000000"/>
          <w:lang w:val="es-ES_tradnl"/>
        </w:rPr>
        <w:t>a)</w:t>
      </w:r>
      <w:r w:rsidRPr="00DA5EF2">
        <w:rPr>
          <w:color w:val="000000"/>
          <w:lang w:val="es-ES_tradnl"/>
        </w:rPr>
        <w:t xml:space="preserve"> corresponde al compromiso que se requiere de una administración en el caso de la posible comunicación de estaciones terrenas de aeronave del servicio móvil aeronáutico por satélite secundario con estaciones espaciales del servicio fijo por satélite, de conformidad con el número </w:t>
      </w:r>
      <w:r w:rsidRPr="00DA5EF2">
        <w:rPr>
          <w:rStyle w:val="Artref"/>
          <w:b/>
          <w:color w:val="000000"/>
          <w:lang w:val="es-ES_tradnl"/>
        </w:rPr>
        <w:t>5.504A</w:t>
      </w:r>
      <w:r w:rsidRPr="00DA5EF2">
        <w:rPr>
          <w:color w:val="000000"/>
          <w:lang w:val="es-ES_tradnl"/>
        </w:rPr>
        <w:t>. La Junta señaló además que este dato es obligatorio en el caso de presentación de una notificación o coordinación de una red de satélite geoestacionaria o no geoestacionaria.</w:t>
      </w:r>
    </w:p>
    <w:p w14:paraId="224AC229" w14:textId="68435770" w:rsidR="00454B7A" w:rsidRPr="00DA5EF2" w:rsidRDefault="00454B7A">
      <w:pPr>
        <w:rPr>
          <w:color w:val="000000"/>
          <w:lang w:val="es-ES_tradnl"/>
        </w:rPr>
      </w:pPr>
      <w:r w:rsidRPr="00DA5EF2">
        <w:rPr>
          <w:color w:val="000000"/>
          <w:lang w:val="es-ES_tradnl"/>
        </w:rPr>
        <w:t xml:space="preserve">No obstante, este dato se requiere también para verificar según el número </w:t>
      </w:r>
      <w:r w:rsidRPr="00DA5EF2">
        <w:rPr>
          <w:rStyle w:val="Artref"/>
          <w:b/>
          <w:color w:val="000000"/>
          <w:lang w:val="es-ES_tradnl"/>
        </w:rPr>
        <w:t>11.31</w:t>
      </w:r>
      <w:r w:rsidRPr="00DA5EF2">
        <w:rPr>
          <w:color w:val="000000"/>
          <w:lang w:val="es-ES_tradnl"/>
        </w:rPr>
        <w:t xml:space="preserve"> el cumplimiento respecto al número</w:t>
      </w:r>
      <w:r w:rsidR="00E9776E">
        <w:rPr>
          <w:color w:val="000000"/>
          <w:lang w:val="es-ES_tradnl"/>
        </w:rPr>
        <w:t> </w:t>
      </w:r>
      <w:r w:rsidRPr="00DA5EF2">
        <w:rPr>
          <w:rStyle w:val="Artref"/>
          <w:b/>
          <w:color w:val="000000"/>
          <w:lang w:val="es-ES_tradnl"/>
        </w:rPr>
        <w:t>5.504A</w:t>
      </w:r>
      <w:r w:rsidRPr="00DA5EF2">
        <w:rPr>
          <w:color w:val="000000"/>
          <w:lang w:val="es-ES_tradnl"/>
        </w:rPr>
        <w:t xml:space="preserve"> de la notificación de una estación terrena de aeronave del servicio móvil aeronáutico por satélite secundario que se comunica con una estación espacial del servicio fijo por satélite. Este requisito se omitió probablemente por descuido en la CMR</w:t>
      </w:r>
      <w:r w:rsidRPr="00DA5EF2">
        <w:rPr>
          <w:color w:val="000000"/>
          <w:lang w:val="es-ES_tradnl"/>
        </w:rPr>
        <w:noBreakHyphen/>
        <w:t>03.</w:t>
      </w:r>
    </w:p>
    <w:p w14:paraId="2907572B" w14:textId="6DDE6C0E" w:rsidR="00454B7A" w:rsidRDefault="00454B7A" w:rsidP="00DF1284">
      <w:pPr>
        <w:spacing w:after="120"/>
        <w:rPr>
          <w:color w:val="000000"/>
          <w:lang w:val="es-ES_tradnl"/>
        </w:rPr>
      </w:pPr>
      <w:r w:rsidRPr="00DA5EF2">
        <w:rPr>
          <w:color w:val="000000"/>
          <w:lang w:val="es-ES_tradnl"/>
        </w:rPr>
        <w:t>Para corregir esta incongruencia, la Junta decidió que se pida a las administraciones que faciliten, además de las características pertinentes enumeradas en el Apéndice</w:t>
      </w:r>
      <w:r w:rsidR="00E9776E">
        <w:rPr>
          <w:color w:val="000000"/>
          <w:lang w:val="es-ES_tradnl"/>
        </w:rPr>
        <w:t> </w:t>
      </w:r>
      <w:r w:rsidRPr="00DA5EF2">
        <w:rPr>
          <w:rStyle w:val="Appref"/>
          <w:b/>
          <w:color w:val="000000"/>
          <w:lang w:val="es-ES_tradnl"/>
        </w:rPr>
        <w:t>4</w:t>
      </w:r>
      <w:r w:rsidRPr="00DA5EF2">
        <w:rPr>
          <w:color w:val="000000"/>
          <w:lang w:val="es-ES_tradnl"/>
        </w:rPr>
        <w:t>, el dato descrito en el § A.18</w:t>
      </w:r>
      <w:r w:rsidR="00421FBF">
        <w:rPr>
          <w:color w:val="000000"/>
          <w:lang w:val="es-ES_tradnl"/>
        </w:rPr>
        <w:t> </w:t>
      </w:r>
      <w:r w:rsidRPr="00DA5EF2">
        <w:rPr>
          <w:i/>
          <w:iCs/>
          <w:color w:val="000000"/>
          <w:lang w:val="es-ES_tradnl"/>
        </w:rPr>
        <w:t>a)</w:t>
      </w:r>
      <w:r w:rsidRPr="00DA5EF2">
        <w:rPr>
          <w:color w:val="000000"/>
          <w:lang w:val="es-ES_tradnl"/>
        </w:rPr>
        <w:t xml:space="preserve"> del Anexo</w:t>
      </w:r>
      <w:r w:rsidR="00421FBF">
        <w:rPr>
          <w:color w:val="000000"/>
          <w:lang w:val="es-ES_tradnl"/>
        </w:rPr>
        <w:t> </w:t>
      </w:r>
      <w:r w:rsidRPr="00DA5EF2">
        <w:rPr>
          <w:color w:val="000000"/>
          <w:lang w:val="es-ES_tradnl"/>
        </w:rPr>
        <w:t>2 del Apéndice</w:t>
      </w:r>
      <w:r w:rsidR="00421FBF">
        <w:rPr>
          <w:color w:val="000000"/>
          <w:lang w:val="es-ES_tradnl"/>
        </w:rPr>
        <w:t> </w:t>
      </w:r>
      <w:r w:rsidRPr="00DA5EF2">
        <w:rPr>
          <w:rStyle w:val="Appref"/>
          <w:b/>
          <w:color w:val="000000"/>
          <w:lang w:val="es-ES_tradnl"/>
        </w:rPr>
        <w:t>4</w:t>
      </w:r>
      <w:r w:rsidRPr="00DA5EF2">
        <w:rPr>
          <w:color w:val="000000"/>
          <w:lang w:val="es-ES_tradnl"/>
        </w:rPr>
        <w:t xml:space="preserve">, al presentar la información de notificación de una estación terrena de aeronave del servicio móvil aeronáutico por satélite secundario que se comunica con una estación espacial del servicio fijo por satélite, conforme al número </w:t>
      </w:r>
      <w:r w:rsidRPr="00DA5EF2">
        <w:rPr>
          <w:rStyle w:val="Artref"/>
          <w:b/>
          <w:color w:val="000000"/>
          <w:lang w:val="es-ES_tradnl"/>
        </w:rPr>
        <w:t>5.504A</w:t>
      </w:r>
      <w:r w:rsidRPr="00DA5EF2">
        <w:rPr>
          <w:color w:val="000000"/>
          <w:lang w:val="es-ES_tradnl"/>
        </w:rPr>
        <w:t>. La Oficina tendrá en cuenta posteriormente este dato del §</w:t>
      </w:r>
      <w:r w:rsidR="00421FBF">
        <w:rPr>
          <w:color w:val="000000"/>
          <w:lang w:val="es-ES_tradnl"/>
        </w:rPr>
        <w:t> </w:t>
      </w:r>
      <w:r w:rsidRPr="00DA5EF2">
        <w:rPr>
          <w:color w:val="000000"/>
          <w:lang w:val="es-ES_tradnl"/>
        </w:rPr>
        <w:t>A.18</w:t>
      </w:r>
      <w:r w:rsidR="00421FBF">
        <w:rPr>
          <w:color w:val="000000"/>
          <w:lang w:val="es-ES_tradnl"/>
        </w:rPr>
        <w:t> </w:t>
      </w:r>
      <w:r w:rsidRPr="00DA5EF2">
        <w:rPr>
          <w:i/>
          <w:iCs/>
          <w:color w:val="000000"/>
          <w:lang w:val="es-ES_tradnl"/>
        </w:rPr>
        <w:t>a)</w:t>
      </w:r>
      <w:r w:rsidRPr="00DA5EF2">
        <w:rPr>
          <w:color w:val="000000"/>
          <w:lang w:val="es-ES_tradnl"/>
        </w:rPr>
        <w:t xml:space="preserve"> en su verificación de la integridad de los datos presentados.</w:t>
      </w:r>
    </w:p>
    <w:p w14:paraId="08E435E6" w14:textId="77777777" w:rsidR="00421C25" w:rsidRDefault="00421C25" w:rsidP="00DF1284">
      <w:pPr>
        <w:spacing w:after="120"/>
        <w:rPr>
          <w:color w:val="000000"/>
          <w:lang w:val="es-ES_tradnl"/>
        </w:rPr>
      </w:pPr>
    </w:p>
    <w:p w14:paraId="6A015F09" w14:textId="77777777" w:rsidR="00421C25" w:rsidRDefault="00421C25" w:rsidP="00DF1284">
      <w:pPr>
        <w:spacing w:after="120"/>
        <w:rPr>
          <w:color w:val="000000"/>
          <w:lang w:val="es-ES_tradnl"/>
        </w:rPr>
        <w:sectPr w:rsidR="00421C25" w:rsidSect="00DF128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9A7CFE9" w14:textId="15153790" w:rsidR="00DF1284" w:rsidRDefault="00DF1284" w:rsidP="00DF1284">
      <w:pPr>
        <w:spacing w:after="120"/>
        <w:rPr>
          <w:color w:val="000000"/>
          <w:lang w:val="es-ES_tradnl"/>
        </w:rPr>
      </w:pPr>
    </w:p>
    <w:p w14:paraId="55DFD577" w14:textId="77777777" w:rsidR="00454B7A" w:rsidRPr="00DA5EF2" w:rsidRDefault="00454B7A" w:rsidP="0041084B">
      <w:pPr>
        <w:pStyle w:val="Heading9"/>
        <w:spacing w:before="0"/>
        <w:rPr>
          <w:color w:val="000000"/>
          <w:lang w:val="es-ES_tradnl"/>
        </w:rPr>
      </w:pPr>
      <w:r w:rsidRPr="00DA5EF2">
        <w:rPr>
          <w:color w:val="000000"/>
          <w:lang w:val="es-ES_tradnl"/>
        </w:rPr>
        <w:t xml:space="preserve">B.4 </w:t>
      </w:r>
      <w:r w:rsidRPr="00DA5EF2">
        <w:rPr>
          <w:i/>
          <w:color w:val="000000"/>
          <w:lang w:val="es-ES_tradnl"/>
        </w:rPr>
        <w:t>a)</w:t>
      </w:r>
    </w:p>
    <w:p w14:paraId="070D1C70" w14:textId="77777777" w:rsidR="00454B7A" w:rsidRPr="00DA5EF2" w:rsidRDefault="00454B7A">
      <w:pPr>
        <w:rPr>
          <w:color w:val="000000"/>
          <w:lang w:val="es-ES_tradnl"/>
        </w:rPr>
      </w:pPr>
      <w:r w:rsidRPr="00DA5EF2">
        <w:rPr>
          <w:color w:val="000000"/>
          <w:lang w:val="es-ES_tradnl"/>
        </w:rPr>
        <w:t xml:space="preserve">Al someter una notificación según los procedimientos aplicables de los Artículos </w:t>
      </w:r>
      <w:r w:rsidRPr="00DA5EF2">
        <w:rPr>
          <w:rStyle w:val="Artref"/>
          <w:b/>
          <w:color w:val="000000"/>
          <w:lang w:val="es-ES_tradnl"/>
        </w:rPr>
        <w:t>9</w:t>
      </w:r>
      <w:r w:rsidRPr="00DA5EF2">
        <w:rPr>
          <w:color w:val="000000"/>
          <w:lang w:val="es-ES_tradnl"/>
        </w:rPr>
        <w:t xml:space="preserve"> u </w:t>
      </w:r>
      <w:r w:rsidRPr="00DA5EF2">
        <w:rPr>
          <w:rStyle w:val="Artref"/>
          <w:b/>
          <w:color w:val="000000"/>
          <w:lang w:val="es-ES_tradnl"/>
        </w:rPr>
        <w:t>11</w:t>
      </w:r>
      <w:r w:rsidRPr="00DA5EF2">
        <w:rPr>
          <w:color w:val="000000"/>
          <w:lang w:val="es-ES_tradnl"/>
        </w:rPr>
        <w:t>, y para describir mejor la distribución de la densidad de flujo de potencia en la superficie de la Tierra resultante de las emisiones de una estación espacial a bordo de un satélite no OSG en órbita circular, puede facilitarse la información opcional siguiente, junto con los otros datos del Apéndice </w:t>
      </w:r>
      <w:r w:rsidRPr="00DA5EF2">
        <w:rPr>
          <w:rStyle w:val="Artref"/>
          <w:b/>
          <w:color w:val="000000"/>
          <w:lang w:val="es-ES_tradnl"/>
        </w:rPr>
        <w:t>4</w:t>
      </w:r>
      <w:r w:rsidRPr="00DA5EF2">
        <w:rPr>
          <w:color w:val="000000"/>
          <w:lang w:val="es-ES_tradnl"/>
        </w:rPr>
        <w:t>:</w:t>
      </w:r>
    </w:p>
    <w:p w14:paraId="1D089EE0" w14:textId="77777777" w:rsidR="00454B7A" w:rsidRPr="00DA5EF2" w:rsidRDefault="00454B7A">
      <w:pPr>
        <w:spacing w:line="240" w:lineRule="atLeast"/>
        <w:rPr>
          <w:color w:val="000000"/>
          <w:lang w:val="es-ES_tradnl"/>
        </w:rPr>
      </w:pPr>
      <w:r w:rsidRPr="00DA5EF2">
        <w:rPr>
          <w:b/>
          <w:color w:val="000000"/>
          <w:lang w:val="es-ES_tradnl"/>
        </w:rPr>
        <w:t xml:space="preserve">Apéndice </w:t>
      </w:r>
      <w:r w:rsidRPr="00DA5EF2">
        <w:rPr>
          <w:rStyle w:val="Artref"/>
          <w:b/>
          <w:color w:val="000000"/>
          <w:lang w:val="es-ES_tradnl"/>
        </w:rPr>
        <w:t>4</w:t>
      </w:r>
      <w:r w:rsidRPr="00DA5EF2">
        <w:rPr>
          <w:b/>
          <w:color w:val="000000"/>
          <w:lang w:val="es-ES_tradnl"/>
        </w:rPr>
        <w:t xml:space="preserve">, Anexo 2A, § B.4 </w:t>
      </w:r>
      <w:r w:rsidRPr="00DA5EF2">
        <w:rPr>
          <w:b/>
          <w:i/>
          <w:color w:val="000000"/>
          <w:lang w:val="es-ES_tradnl"/>
        </w:rPr>
        <w:t>a)</w:t>
      </w:r>
      <w:r w:rsidRPr="00DA5EF2">
        <w:rPr>
          <w:color w:val="000000"/>
          <w:lang w:val="es-ES_tradnl"/>
        </w:rPr>
        <w:t xml:space="preserve"> (características de la antena de la estación espacial no OSG)</w:t>
      </w:r>
    </w:p>
    <w:p w14:paraId="6EC3B4F7" w14:textId="77777777" w:rsidR="00454B7A" w:rsidRPr="00DA5EF2" w:rsidRDefault="00454B7A">
      <w:pPr>
        <w:spacing w:line="240" w:lineRule="atLeast"/>
        <w:rPr>
          <w:color w:val="000000"/>
          <w:lang w:val="es-ES_tradnl"/>
        </w:rPr>
      </w:pPr>
      <w:r w:rsidRPr="00DA5EF2">
        <w:rPr>
          <w:color w:val="000000"/>
          <w:lang w:val="es-ES_tradnl"/>
        </w:rPr>
        <w:t>1</w:t>
      </w:r>
      <w:r w:rsidRPr="00DA5EF2">
        <w:rPr>
          <w:color w:val="000000"/>
          <w:lang w:val="es-ES_tradnl"/>
        </w:rPr>
        <w:tab/>
        <w:t xml:space="preserve">Además de la información que actualmente figura en el Apéndice </w:t>
      </w:r>
      <w:r w:rsidRPr="00DA5EF2">
        <w:rPr>
          <w:rStyle w:val="Artref"/>
          <w:b/>
          <w:color w:val="000000"/>
          <w:lang w:val="es-ES_tradnl"/>
        </w:rPr>
        <w:t>4</w:t>
      </w:r>
      <w:r w:rsidRPr="00DA5EF2">
        <w:rPr>
          <w:color w:val="000000"/>
          <w:lang w:val="es-ES_tradnl"/>
        </w:rPr>
        <w:t xml:space="preserve"> y que ha de facilitarse según este punto, indíquense, si procede:</w:t>
      </w:r>
    </w:p>
    <w:p w14:paraId="65024D68" w14:textId="5F1328B2" w:rsidR="00454B7A" w:rsidRPr="00DA5EF2" w:rsidRDefault="00454B7A" w:rsidP="00DA5EF2">
      <w:pPr>
        <w:pStyle w:val="enumlev1"/>
        <w:ind w:left="0" w:firstLine="0"/>
        <w:rPr>
          <w:color w:val="000000"/>
          <w:lang w:val="es-ES_tradnl"/>
        </w:rPr>
      </w:pPr>
      <w:r w:rsidRPr="00DA5EF2">
        <w:rPr>
          <w:color w:val="000000"/>
          <w:lang w:val="es-ES_tradnl"/>
        </w:rPr>
        <w:t>1.1</w:t>
      </w:r>
      <w:r w:rsidRPr="00DA5EF2">
        <w:rPr>
          <w:color w:val="000000"/>
          <w:lang w:val="es-ES_tradnl"/>
        </w:rPr>
        <w:tab/>
        <w:t>En el caso de una estación espacial transmisora a bordo de un satélite no OSG en una órbita circular que quiere comunicar con estaciones terrenas a través de una antena trans</w:t>
      </w:r>
      <w:r w:rsidR="00DA5EF2" w:rsidRPr="00DA5EF2">
        <w:rPr>
          <w:color w:val="000000"/>
          <w:lang w:val="es-ES_tradnl"/>
        </w:rPr>
        <w:softHyphen/>
      </w:r>
      <w:r w:rsidRPr="00DA5EF2">
        <w:rPr>
          <w:color w:val="000000"/>
          <w:lang w:val="es-ES_tradnl"/>
        </w:rPr>
        <w:t>misora apuntada en una dirección fija respecto al satélite, la ganancia isótropa máxima (dBi) y los contornos de ganancia representados en una proyección radial desde el satélite al plano perpendicular al eje que va del centro de la Tierra al satélite. Los contornos de ganancia de la antena de la estación espacial se trazarán mediante líneas de igual ganancia isótropa para al menos –2, –4, –6, –10 y –20 dB y a los intervalos de 10 dB posteriores, según sea necesario, en relación a la ganancia máxima de la antena, cuando cualquiera de estos contornos esté situado total o parcialmente dentro del límite de visibilidad de la Tierra desde el satélite no</w:t>
      </w:r>
      <w:r w:rsidR="00E9776E">
        <w:rPr>
          <w:color w:val="000000"/>
          <w:lang w:val="es-ES_tradnl"/>
        </w:rPr>
        <w:t> </w:t>
      </w:r>
      <w:r w:rsidRPr="00DA5EF2">
        <w:rPr>
          <w:color w:val="000000"/>
          <w:lang w:val="es-ES_tradnl"/>
        </w:rPr>
        <w:t>OSG en cuestión.</w:t>
      </w:r>
    </w:p>
    <w:p w14:paraId="24607B5B" w14:textId="77777777" w:rsidR="00454B7A" w:rsidRPr="00DA5EF2" w:rsidRDefault="00454B7A" w:rsidP="00DA5EF2">
      <w:pPr>
        <w:rPr>
          <w:lang w:val="es-ES_tradnl"/>
        </w:rPr>
      </w:pPr>
      <w:r w:rsidRPr="00DA5EF2">
        <w:rPr>
          <w:lang w:val="es-ES_tradnl"/>
        </w:rPr>
        <w:t>1.2</w:t>
      </w:r>
      <w:r w:rsidRPr="00DA5EF2">
        <w:rPr>
          <w:lang w:val="es-ES_tradnl"/>
        </w:rPr>
        <w:tab/>
        <w:t>En el caso de una estación espacial a bordo de un satélite no OSG en una órbita circular en el que se utiliza un haz orientable, los datos sobre las características de radiación de la antena siguientes:</w:t>
      </w:r>
    </w:p>
    <w:p w14:paraId="24690D1B"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efectiva de puntería (véase el número </w:t>
      </w:r>
      <w:r w:rsidRPr="00DA5EF2">
        <w:rPr>
          <w:rStyle w:val="Artref"/>
          <w:b/>
          <w:color w:val="000000"/>
          <w:lang w:val="es-ES_tradnl"/>
        </w:rPr>
        <w:t>1.175</w:t>
      </w:r>
      <w:r w:rsidRPr="00DA5EF2">
        <w:rPr>
          <w:color w:val="000000"/>
          <w:lang w:val="es-ES_tradnl"/>
        </w:rPr>
        <w:t>) es idéntica a la zona de servicio mundial o casi mundial, se indica únicamente la ganancia máxima de la antena isótropa (dBi) que se aplica a todos los puntos en la superficie de la Tierra;</w:t>
      </w:r>
    </w:p>
    <w:p w14:paraId="6D287D61"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de puntería efectiva (véase el número </w:t>
      </w:r>
      <w:r w:rsidRPr="00DA5EF2">
        <w:rPr>
          <w:rStyle w:val="Artref"/>
          <w:b/>
          <w:color w:val="000000"/>
          <w:lang w:val="es-ES_tradnl"/>
        </w:rPr>
        <w:t>1.175</w:t>
      </w:r>
      <w:r w:rsidRPr="00DA5EF2">
        <w:rPr>
          <w:color w:val="000000"/>
          <w:lang w:val="es-ES_tradnl"/>
        </w:rPr>
        <w:t xml:space="preserve">) es inferior a la zona de servicio mundial o casi mundial, se indica la ganancia máxima isótropa y los contornos de ganancia efectiva (véase el número </w:t>
      </w:r>
      <w:r w:rsidRPr="00DA5EF2">
        <w:rPr>
          <w:rStyle w:val="Artref"/>
          <w:b/>
          <w:color w:val="000000"/>
          <w:lang w:val="es-ES_tradnl"/>
        </w:rPr>
        <w:t>1.176</w:t>
      </w:r>
      <w:r w:rsidRPr="00DA5EF2">
        <w:rPr>
          <w:color w:val="000000"/>
          <w:lang w:val="es-ES_tradnl"/>
        </w:rPr>
        <w:t>) definidos anteriormente.</w:t>
      </w:r>
    </w:p>
    <w:p w14:paraId="455ED166" w14:textId="7808A847" w:rsidR="00454B7A" w:rsidRPr="00DA5EF2" w:rsidRDefault="00454B7A">
      <w:pPr>
        <w:spacing w:before="80" w:line="240" w:lineRule="atLeast"/>
        <w:rPr>
          <w:color w:val="000000"/>
          <w:lang w:val="es-ES_tradnl"/>
        </w:rPr>
      </w:pPr>
      <w:r w:rsidRPr="00DA5EF2">
        <w:rPr>
          <w:color w:val="000000"/>
          <w:lang w:val="es-ES_tradnl"/>
        </w:rPr>
        <w:t>2</w:t>
      </w:r>
      <w:r w:rsidRPr="00DA5EF2">
        <w:rPr>
          <w:color w:val="000000"/>
          <w:lang w:val="es-ES_tradnl"/>
        </w:rPr>
        <w:tab/>
        <w:t>Se considera que la información adicional de los §</w:t>
      </w:r>
      <w:r w:rsidR="00E9776E">
        <w:rPr>
          <w:color w:val="000000"/>
          <w:lang w:val="es-ES_tradnl"/>
        </w:rPr>
        <w:t> </w:t>
      </w:r>
      <w:r w:rsidRPr="00DA5EF2">
        <w:rPr>
          <w:color w:val="000000"/>
          <w:lang w:val="es-ES_tradnl"/>
        </w:rPr>
        <w:t>1.1 y 1.2 es facultativa. Al examinar dichos casos, la Oficina utilizará la información más detallada para calcular los valores de la densidad de flujo de potencia, si se dispone de ella; en caso contrario, el cálculo se realizará como en la actualidad y se basará en la p.i.r.e. máxima transmitida.</w:t>
      </w:r>
    </w:p>
    <w:p w14:paraId="0666AA8F" w14:textId="77777777" w:rsidR="0041084B" w:rsidRPr="00DA5EF2" w:rsidRDefault="0041084B" w:rsidP="0041084B">
      <w:pPr>
        <w:jc w:val="center"/>
        <w:rPr>
          <w:color w:val="000000"/>
          <w:lang w:val="es-ES_tradnl"/>
        </w:rPr>
      </w:pPr>
      <w:r w:rsidRPr="00DA5EF2">
        <w:rPr>
          <w:color w:val="000000"/>
          <w:lang w:val="es-ES_tradnl"/>
        </w:rPr>
        <w:t>____________________</w:t>
      </w:r>
    </w:p>
    <w:p w14:paraId="2BA9EA2C" w14:textId="20F655C1" w:rsidR="0041084B" w:rsidRDefault="0041084B" w:rsidP="0041084B">
      <w:pPr>
        <w:rPr>
          <w:color w:val="000000"/>
          <w:lang w:val="es-ES_tradnl"/>
        </w:rPr>
      </w:pPr>
    </w:p>
    <w:p w14:paraId="25448649" w14:textId="77777777" w:rsidR="009F7BC6" w:rsidRDefault="009F7BC6" w:rsidP="0041084B">
      <w:pPr>
        <w:rPr>
          <w:color w:val="000000"/>
          <w:lang w:val="es-ES_tradnl"/>
        </w:rPr>
      </w:pPr>
    </w:p>
    <w:p w14:paraId="0E44AEFA" w14:textId="77777777" w:rsidR="00FB00B5" w:rsidRPr="00DA5EF2" w:rsidRDefault="00FB00B5" w:rsidP="0041084B">
      <w:pPr>
        <w:rPr>
          <w:color w:val="000000"/>
          <w:lang w:val="es-ES_tradnl"/>
        </w:rPr>
      </w:pPr>
    </w:p>
    <w:p w14:paraId="308952A2" w14:textId="77777777" w:rsidR="00DA5EF2" w:rsidRPr="00DA5EF2" w:rsidRDefault="00DA5EF2" w:rsidP="0041084B">
      <w:pPr>
        <w:rPr>
          <w:lang w:val="es-ES_tradnl"/>
        </w:rPr>
      </w:pPr>
    </w:p>
    <w:p w14:paraId="1F33D09E" w14:textId="77777777" w:rsidR="00454B7A" w:rsidRPr="00DA5EF2" w:rsidRDefault="00454B7A">
      <w:pPr>
        <w:rPr>
          <w:lang w:val="es-ES_tradnl"/>
        </w:rPr>
        <w:sectPr w:rsidR="00454B7A" w:rsidRPr="00DA5EF2" w:rsidSect="00DF1284">
          <w:headerReference w:type="default" r:id="rId9"/>
          <w:footnotePr>
            <w:pos w:val="beneathText"/>
          </w:footnotePr>
          <w:pgSz w:w="11907" w:h="16840" w:code="9"/>
          <w:pgMar w:top="1701" w:right="851" w:bottom="1134" w:left="1985" w:header="720" w:footer="482" w:gutter="0"/>
          <w:cols w:space="720"/>
          <w:vAlign w:val="both"/>
        </w:sectPr>
      </w:pPr>
    </w:p>
    <w:p w14:paraId="21D706FB" w14:textId="77777777" w:rsidR="00454B7A" w:rsidRPr="00DA5EF2" w:rsidRDefault="00454B7A">
      <w:pPr>
        <w:rPr>
          <w:lang w:val="es-ES_tradnl"/>
        </w:rPr>
      </w:pPr>
    </w:p>
    <w:sectPr w:rsidR="00454B7A" w:rsidRPr="00DA5EF2" w:rsidSect="0041084B">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48DC8" w14:textId="77777777" w:rsidR="00E97390" w:rsidRDefault="00E97390">
      <w:r>
        <w:separator/>
      </w:r>
    </w:p>
  </w:endnote>
  <w:endnote w:type="continuationSeparator" w:id="0">
    <w:p w14:paraId="43FA33F8" w14:textId="77777777" w:rsidR="00E97390" w:rsidRDefault="00E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38CE5" w14:textId="77777777" w:rsidR="00E97390" w:rsidRDefault="00E97390">
      <w:r>
        <w:rPr>
          <w:b/>
        </w:rPr>
        <w:t>_______________</w:t>
      </w:r>
    </w:p>
  </w:footnote>
  <w:footnote w:type="continuationSeparator" w:id="0">
    <w:p w14:paraId="411F5BCB" w14:textId="77777777" w:rsidR="00E97390" w:rsidRDefault="00E9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1AC9DA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112FB88" w14:textId="066A3042" w:rsidR="00860408" w:rsidRDefault="00860408">
          <w:pPr>
            <w:pStyle w:val="HeaderRegProc"/>
          </w:pPr>
          <w:r>
            <w:t>Parte A</w:t>
          </w:r>
          <w:r>
            <w:fldChar w:fldCharType="begin"/>
          </w:r>
          <w:r>
            <w:instrText>styleref href</w:instrText>
          </w:r>
          <w:r>
            <w:fldChar w:fldCharType="separate"/>
          </w:r>
          <w:r w:rsidR="00B50F24">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488332" w14:textId="0C8113D3" w:rsidR="00860408" w:rsidRDefault="00B50F24">
          <w:pPr>
            <w:pStyle w:val="HeaderRegProc"/>
            <w:rPr>
              <w:lang w:val="fr-FR"/>
            </w:rPr>
          </w:pPr>
          <w:r>
            <w:fldChar w:fldCharType="begin"/>
          </w:r>
          <w:r>
            <w:instrText xml:space="preserve"> DOCPROPERTY "Header1" \* MERGEFORMAT </w:instrText>
          </w:r>
          <w:r>
            <w:fldChar w:fldCharType="separate"/>
          </w:r>
          <w:r>
            <w:t>AP</w:t>
          </w:r>
          <w:r>
            <w:fldChar w:fldCharType="end"/>
          </w:r>
          <w:r w:rsidR="00860408">
            <w:fldChar w:fldCharType="begin"/>
          </w:r>
          <w:r w:rsidR="00860408">
            <w:instrText>styleref href2</w:instrText>
          </w:r>
          <w:r w:rsidR="00860408">
            <w:fldChar w:fldCharType="separate"/>
          </w:r>
          <w:r>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58DDF97E" w14:textId="77777777" w:rsidR="00860408" w:rsidRPr="009D5403" w:rsidRDefault="00860408" w:rsidP="00097CC6">
          <w:pPr>
            <w:pStyle w:val="HeaderRegProc"/>
            <w:rPr>
              <w:i/>
              <w:iCs/>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B938EE" w14:textId="4A612E4B" w:rsidR="00860408" w:rsidRDefault="00860408" w:rsidP="009D5403">
          <w:pPr>
            <w:pStyle w:val="HeaderRegProc"/>
            <w:rPr>
              <w:lang w:val="fr-CH"/>
            </w:rPr>
          </w:pPr>
          <w:proofErr w:type="gramStart"/>
          <w:r>
            <w:rPr>
              <w:lang w:val="fr-CH"/>
            </w:rPr>
            <w:t>rev</w:t>
          </w:r>
          <w:proofErr w:type="gramEnd"/>
          <w:r>
            <w:rPr>
              <w:lang w:val="fr-CH"/>
            </w:rPr>
            <w:t>.</w:t>
          </w:r>
          <w:r>
            <w:t xml:space="preserve"> </w:t>
          </w:r>
          <w:r w:rsidR="00421C25">
            <w:t>1</w:t>
          </w:r>
        </w:p>
      </w:tc>
    </w:tr>
  </w:tbl>
  <w:p w14:paraId="4CCA8B02" w14:textId="77777777" w:rsidR="00860408" w:rsidRDefault="0086040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692D458A"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07C97FD6" w14:textId="7596E90F" w:rsidR="00860408" w:rsidRDefault="00860408" w:rsidP="00E97390">
          <w:pPr>
            <w:pStyle w:val="HeaderRegProc"/>
          </w:pPr>
          <w:r>
            <w:t>Parte A</w:t>
          </w:r>
          <w:r>
            <w:fldChar w:fldCharType="begin"/>
          </w:r>
          <w:r>
            <w:instrText>styleref href</w:instrText>
          </w:r>
          <w:r>
            <w:fldChar w:fldCharType="separate"/>
          </w:r>
          <w:r w:rsidR="00B50F24">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39F45B" w14:textId="458643B2" w:rsidR="00860408" w:rsidRDefault="00B50F24" w:rsidP="00E97390">
          <w:pPr>
            <w:pStyle w:val="HeaderRegProc"/>
            <w:rPr>
              <w:lang w:val="fr-FR"/>
            </w:rPr>
          </w:pPr>
          <w:r>
            <w:fldChar w:fldCharType="begin"/>
          </w:r>
          <w:r>
            <w:instrText xml:space="preserve"> DOCPROPERTY "Header1" \* MERGEFORMAT </w:instrText>
          </w:r>
          <w:r>
            <w:fldChar w:fldCharType="separate"/>
          </w:r>
          <w:r>
            <w:t>AP</w:t>
          </w:r>
          <w:r>
            <w:fldChar w:fldCharType="end"/>
          </w:r>
          <w:r w:rsidR="00860408">
            <w:fldChar w:fldCharType="begin"/>
          </w:r>
          <w:r w:rsidR="00860408">
            <w:instrText>styleref href2</w:instrText>
          </w:r>
          <w:r w:rsidR="00860408">
            <w:fldChar w:fldCharType="separate"/>
          </w:r>
          <w:r>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42602911" w14:textId="77777777" w:rsidR="00860408" w:rsidRDefault="00860408" w:rsidP="00E9739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43B20" w14:textId="77205C13" w:rsidR="00860408" w:rsidRDefault="00860408" w:rsidP="00DF1284">
          <w:pPr>
            <w:pStyle w:val="HeaderRegProc"/>
            <w:rPr>
              <w:lang w:val="fr-CH"/>
            </w:rPr>
          </w:pPr>
          <w:proofErr w:type="gramStart"/>
          <w:r>
            <w:rPr>
              <w:lang w:val="fr-CH"/>
            </w:rPr>
            <w:t>rev</w:t>
          </w:r>
          <w:proofErr w:type="gramEnd"/>
          <w:r>
            <w:rPr>
              <w:lang w:val="fr-CH"/>
            </w:rPr>
            <w:t>.</w:t>
          </w:r>
          <w:r>
            <w:t xml:space="preserve"> </w:t>
          </w:r>
          <w:r w:rsidR="00421C25">
            <w:t>1</w:t>
          </w:r>
        </w:p>
      </w:tc>
    </w:tr>
  </w:tbl>
  <w:p w14:paraId="08D1B659" w14:textId="77777777" w:rsidR="00860408" w:rsidRDefault="00860408" w:rsidP="00DA5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21C25" w14:paraId="50E7A790"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54D4F432" w14:textId="56E4A21A" w:rsidR="00421C25" w:rsidRDefault="00421C25" w:rsidP="00E97390">
          <w:pPr>
            <w:pStyle w:val="HeaderRegProc"/>
          </w:pPr>
          <w:r>
            <w:t>Parte A</w:t>
          </w:r>
          <w:r>
            <w:fldChar w:fldCharType="begin"/>
          </w:r>
          <w:r>
            <w:instrText>styleref href</w:instrText>
          </w:r>
          <w:r>
            <w:fldChar w:fldCharType="separate"/>
          </w:r>
          <w:r w:rsidR="00B50F24">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A90AC5" w14:textId="4EAA4271" w:rsidR="00421C25" w:rsidRDefault="00421C25" w:rsidP="00E97390">
          <w:pPr>
            <w:pStyle w:val="HeaderRegProc"/>
            <w:rPr>
              <w:lang w:val="fr-FR"/>
            </w:rPr>
          </w:pPr>
          <w:fldSimple w:instr=" DOCPROPERTY &quot;Header1&quot; \* MERGEFORMAT ">
            <w:r w:rsidR="00B50F24">
              <w:t>AP</w:t>
            </w:r>
          </w:fldSimple>
          <w:r>
            <w:fldChar w:fldCharType="begin"/>
          </w:r>
          <w:r>
            <w:instrText>styleref href2</w:instrText>
          </w:r>
          <w:r>
            <w:fldChar w:fldCharType="separate"/>
          </w:r>
          <w:r w:rsidR="00B50F24">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0ECA8F" w14:textId="77777777" w:rsidR="00421C25" w:rsidRDefault="00421C25" w:rsidP="00E9739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DA31F" w14:textId="77777777" w:rsidR="00421C25" w:rsidRDefault="00421C25" w:rsidP="00DF1284">
          <w:pPr>
            <w:pStyle w:val="HeaderRegProc"/>
            <w:rPr>
              <w:lang w:val="fr-CH"/>
            </w:rPr>
          </w:pPr>
          <w:proofErr w:type="gramStart"/>
          <w:r>
            <w:rPr>
              <w:lang w:val="fr-CH"/>
            </w:rPr>
            <w:t>rev</w:t>
          </w:r>
          <w:proofErr w:type="gramEnd"/>
          <w:r>
            <w:rPr>
              <w:lang w:val="fr-CH"/>
            </w:rPr>
            <w:t>.</w:t>
          </w:r>
          <w:r>
            <w:t xml:space="preserve"> -</w:t>
          </w:r>
        </w:p>
      </w:tc>
    </w:tr>
  </w:tbl>
  <w:p w14:paraId="62142E34" w14:textId="77777777" w:rsidR="00421C25" w:rsidRDefault="00421C25" w:rsidP="00DA5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C3E4F" w14:textId="77777777" w:rsidR="00454B7A" w:rsidRDefault="00454B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84B"/>
    <w:rsid w:val="00097CC6"/>
    <w:rsid w:val="001D26EE"/>
    <w:rsid w:val="00276630"/>
    <w:rsid w:val="0041084B"/>
    <w:rsid w:val="00421C25"/>
    <w:rsid w:val="00421FBF"/>
    <w:rsid w:val="00454B7A"/>
    <w:rsid w:val="00571015"/>
    <w:rsid w:val="00704901"/>
    <w:rsid w:val="00860408"/>
    <w:rsid w:val="0097241E"/>
    <w:rsid w:val="009D5403"/>
    <w:rsid w:val="009E482D"/>
    <w:rsid w:val="009F7BC6"/>
    <w:rsid w:val="00B34A03"/>
    <w:rsid w:val="00B50F24"/>
    <w:rsid w:val="00D105BE"/>
    <w:rsid w:val="00DA5EF2"/>
    <w:rsid w:val="00DF1284"/>
    <w:rsid w:val="00E97390"/>
    <w:rsid w:val="00E9776E"/>
    <w:rsid w:val="00F95C20"/>
    <w:rsid w:val="00FB00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A2D58"/>
  <w15:docId w15:val="{EFAA09F6-62EE-452A-8E40-C85CC2B8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A320-BBC9-428A-9618-2D1120FA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TotalTime>
  <Pages>4</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AP4</dc:subject>
  <dc:creator>Composition des Publications</dc:creator>
  <cp:keywords>FOLIOS:  1  -  2</cp:keywords>
  <dc:description>Edition 2009:  13.02.2009/DD (dict. ok)</dc:description>
  <cp:lastModifiedBy>Al-Yammouni, Hala</cp:lastModifiedBy>
  <cp:revision>20</cp:revision>
  <cp:lastPrinted>2021-10-28T10:13:00Z</cp:lastPrinted>
  <dcterms:created xsi:type="dcterms:W3CDTF">2012-10-02T09:54:00Z</dcterms:created>
  <dcterms:modified xsi:type="dcterms:W3CDTF">2021-10-28T10:14:00Z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