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491B0" w14:textId="77777777" w:rsidR="0064786D" w:rsidRPr="005B34CF" w:rsidRDefault="0064786D" w:rsidP="005B34CF">
      <w:pPr>
        <w:pStyle w:val="Heading1"/>
        <w:spacing w:before="300"/>
        <w:jc w:val="center"/>
        <w:rPr>
          <w:lang w:val="es-ES_tradnl"/>
        </w:rPr>
      </w:pPr>
      <w:r w:rsidRPr="005B34CF">
        <w:rPr>
          <w:lang w:val="es-ES_tradnl"/>
        </w:rPr>
        <w:t>Reglas relativas al</w:t>
      </w:r>
    </w:p>
    <w:p w14:paraId="1DB5D027" w14:textId="77777777" w:rsidR="0064786D" w:rsidRDefault="0064786D">
      <w:pPr>
        <w:pStyle w:val="Heading2"/>
        <w:jc w:val="center"/>
        <w:rPr>
          <w:lang w:val="es-ES_tradnl"/>
        </w:rPr>
      </w:pPr>
      <w:r w:rsidRPr="005B34CF">
        <w:rPr>
          <w:lang w:val="es-ES_tradnl"/>
        </w:rPr>
        <w:t xml:space="preserve">ARTÍCULO </w:t>
      </w:r>
      <w:r w:rsidR="005B34CF" w:rsidRPr="005B34CF">
        <w:rPr>
          <w:lang w:val="es-ES_tradnl"/>
        </w:rPr>
        <w:t xml:space="preserve"> </w:t>
      </w:r>
      <w:r w:rsidRPr="005B34CF">
        <w:rPr>
          <w:rStyle w:val="href2"/>
          <w:lang w:val="es-ES_tradnl"/>
        </w:rPr>
        <w:t>21</w:t>
      </w:r>
      <w:r w:rsidRPr="005B34CF">
        <w:rPr>
          <w:lang w:val="es-ES_tradnl"/>
        </w:rPr>
        <w:t xml:space="preserve"> del RR</w:t>
      </w:r>
    </w:p>
    <w:p w14:paraId="62FF1905" w14:textId="77777777" w:rsidR="00F32E9A" w:rsidRPr="00F32E9A" w:rsidRDefault="00F32E9A" w:rsidP="00F32E9A">
      <w:pPr>
        <w:rPr>
          <w:lang w:val="es-ES_tradnl"/>
        </w:rPr>
      </w:pPr>
    </w:p>
    <w:p w14:paraId="6F6FBF23" w14:textId="249914AE" w:rsidR="00F32E9A" w:rsidRPr="00F32E9A" w:rsidRDefault="00F32E9A" w:rsidP="000A1454">
      <w:pPr>
        <w:pStyle w:val="Heading8"/>
        <w:pBdr>
          <w:right w:val="double" w:sz="6" w:space="5" w:color="auto"/>
        </w:pBdr>
        <w:tabs>
          <w:tab w:val="clear" w:pos="1134"/>
        </w:tabs>
        <w:spacing w:before="240"/>
        <w:ind w:right="7795"/>
        <w:rPr>
          <w:lang w:val="es-ES_tradnl"/>
        </w:rPr>
      </w:pPr>
      <w:r w:rsidRPr="00F32E9A">
        <w:rPr>
          <w:rFonts w:ascii="Times New Roman Bold" w:hAnsi="Times New Roman Bold" w:cs="Times New Roman Bold"/>
          <w:spacing w:val="-10"/>
          <w:szCs w:val="24"/>
          <w:lang w:val="es-ES_tradnl" w:eastAsia="zh-CN"/>
        </w:rPr>
        <w:t>Cuadro 21-2</w:t>
      </w:r>
    </w:p>
    <w:p w14:paraId="2D049841" w14:textId="77777777" w:rsidR="00F32E9A" w:rsidRPr="00F32E9A" w:rsidRDefault="00F32E9A" w:rsidP="00F32E9A">
      <w:pPr>
        <w:rPr>
          <w:lang w:val="es-ES_tradnl"/>
        </w:rPr>
      </w:pPr>
      <w:r w:rsidRPr="00F32E9A">
        <w:rPr>
          <w:lang w:val="es-ES_tradnl"/>
        </w:rPr>
        <w:t xml:space="preserve">El Cuadro </w:t>
      </w:r>
      <w:r w:rsidRPr="00F32E9A">
        <w:rPr>
          <w:b/>
          <w:bCs/>
          <w:lang w:val="es-ES_tradnl"/>
        </w:rPr>
        <w:t>21-2</w:t>
      </w:r>
      <w:r w:rsidRPr="00F32E9A">
        <w:rPr>
          <w:lang w:val="es-ES_tradnl"/>
        </w:rPr>
        <w:t xml:space="preserve"> especifica las bandas de frecuencia compartidas con igualdad de derechos entre los servicios espaciales, por un lado, y los servicio fijo y móvil, por otro lado, cuando la estación terrenal está sujeta a los límites de potencia especificados en las disposiciones de los números </w:t>
      </w:r>
      <w:r w:rsidRPr="00F32E9A">
        <w:rPr>
          <w:b/>
          <w:bCs/>
          <w:lang w:val="es-ES_tradnl"/>
        </w:rPr>
        <w:t>21.2</w:t>
      </w:r>
      <w:r w:rsidRPr="00F32E9A">
        <w:rPr>
          <w:lang w:val="es-ES_tradnl"/>
        </w:rPr>
        <w:t xml:space="preserve"> y </w:t>
      </w:r>
      <w:r w:rsidRPr="00F32E9A">
        <w:rPr>
          <w:b/>
          <w:bCs/>
          <w:lang w:val="es-ES_tradnl"/>
        </w:rPr>
        <w:t>21.5A</w:t>
      </w:r>
      <w:r w:rsidRPr="00F32E9A">
        <w:rPr>
          <w:lang w:val="es-ES_tradnl"/>
        </w:rPr>
        <w:t xml:space="preserve">. Estos límites de potencia se verifican durante el procesamiento de las asignaciones de frecuencia por la Oficina bajo las </w:t>
      </w:r>
      <w:r w:rsidRPr="004955B1">
        <w:rPr>
          <w:i/>
          <w:iCs/>
          <w:lang w:val="es-ES_tradnl"/>
        </w:rPr>
        <w:t>«demás disposiciones»</w:t>
      </w:r>
      <w:r w:rsidRPr="00F32E9A">
        <w:rPr>
          <w:lang w:val="es-ES_tradnl"/>
        </w:rPr>
        <w:t xml:space="preserve"> mencionadas en el número </w:t>
      </w:r>
      <w:r w:rsidRPr="00F32E9A">
        <w:rPr>
          <w:b/>
          <w:bCs/>
          <w:lang w:val="es-ES_tradnl"/>
        </w:rPr>
        <w:t>11.31</w:t>
      </w:r>
      <w:r w:rsidRPr="00F32E9A">
        <w:rPr>
          <w:lang w:val="es-ES_tradnl"/>
        </w:rPr>
        <w:t xml:space="preserve"> que son obligatorias de verificar durante el examen reglamentario.</w:t>
      </w:r>
    </w:p>
    <w:p w14:paraId="2451B6E1" w14:textId="77777777" w:rsidR="00F32E9A" w:rsidRPr="00F32E9A" w:rsidRDefault="00F32E9A" w:rsidP="00F32E9A">
      <w:pPr>
        <w:rPr>
          <w:lang w:val="es-ES_tradnl"/>
        </w:rPr>
      </w:pPr>
      <w:r w:rsidRPr="00F32E9A">
        <w:rPr>
          <w:lang w:val="es-ES_tradnl"/>
        </w:rPr>
        <w:t xml:space="preserve">La CMR-12 atribuyó la banda de frecuencias 24,75-25,25 GHz al servicio fijo por satélite en sentido Tierra-espacio en la Región 1. En consecuencia, esta banda está compartida con igualdad de derechos entre el servicio fijo por satélite (Tierra-espacio) y el servicio fijo; sin embargo, esta situación no aparece reflejada en el Cuadro </w:t>
      </w:r>
      <w:r w:rsidRPr="00F32E9A">
        <w:rPr>
          <w:b/>
          <w:bCs/>
          <w:lang w:val="es-ES_tradnl"/>
        </w:rPr>
        <w:t>21-2</w:t>
      </w:r>
      <w:r w:rsidRPr="00F32E9A">
        <w:rPr>
          <w:lang w:val="es-ES_tradnl"/>
        </w:rPr>
        <w:t xml:space="preserve">. Reconociendo la necesidad de emplear un método coherente para la protección del servicio fijo por satélite en las Regiones 1 y 3, la Junta decidió que los límites de potencia especificados en los números </w:t>
      </w:r>
      <w:r w:rsidRPr="00F32E9A">
        <w:rPr>
          <w:b/>
          <w:bCs/>
          <w:lang w:val="es-ES_tradnl"/>
        </w:rPr>
        <w:t>21.3</w:t>
      </w:r>
      <w:r w:rsidRPr="00F32E9A">
        <w:rPr>
          <w:lang w:val="es-ES_tradnl"/>
        </w:rPr>
        <w:t xml:space="preserve"> y </w:t>
      </w:r>
      <w:r w:rsidRPr="00F32E9A">
        <w:rPr>
          <w:b/>
          <w:bCs/>
          <w:lang w:val="es-ES_tradnl"/>
        </w:rPr>
        <w:t>21.5</w:t>
      </w:r>
      <w:r w:rsidRPr="00F32E9A">
        <w:rPr>
          <w:lang w:val="es-ES_tradnl"/>
        </w:rPr>
        <w:t xml:space="preserve"> se apliquen a las asignaciones de frecuencia del servicio fijo en la banda 24,75-25,25 GHz en la Región 1.</w:t>
      </w:r>
    </w:p>
    <w:p w14:paraId="6DE1913B" w14:textId="77777777" w:rsidR="0064786D" w:rsidRPr="005B34CF" w:rsidRDefault="0064786D" w:rsidP="005B34CF">
      <w:pPr>
        <w:pStyle w:val="Heading8"/>
        <w:rPr>
          <w:lang w:val="es-ES_tradnl"/>
        </w:rPr>
      </w:pPr>
      <w:r w:rsidRPr="005B34CF">
        <w:rPr>
          <w:lang w:val="es-ES_tradnl"/>
        </w:rPr>
        <w:t>21.11</w:t>
      </w:r>
    </w:p>
    <w:p w14:paraId="018D66D2" w14:textId="77777777" w:rsidR="0064786D" w:rsidRPr="005B34CF" w:rsidRDefault="0064786D" w:rsidP="005B34CF">
      <w:pPr>
        <w:rPr>
          <w:lang w:val="es-ES_tradnl"/>
        </w:rPr>
      </w:pPr>
      <w:r w:rsidRPr="005B34CF">
        <w:rPr>
          <w:lang w:val="es-ES_tradnl"/>
        </w:rPr>
        <w:t>1</w:t>
      </w:r>
      <w:r w:rsidRPr="005B34CF">
        <w:rPr>
          <w:lang w:val="es-ES_tradnl"/>
        </w:rPr>
        <w:tab/>
      </w:r>
      <w:proofErr w:type="gramStart"/>
      <w:r w:rsidRPr="005B34CF">
        <w:rPr>
          <w:lang w:val="es-ES_tradnl"/>
        </w:rPr>
        <w:t>Cuando</w:t>
      </w:r>
      <w:proofErr w:type="gramEnd"/>
      <w:r w:rsidRPr="005B34CF">
        <w:rPr>
          <w:lang w:val="es-ES_tradnl"/>
        </w:rPr>
        <w:t xml:space="preserve"> no se obtiene el acuerdo de una administración interesada, la asignación no está en conformidad con el Reglamento de Radiocomunicaciones. A fin de identificar las administraciones afectadas, la Oficina calcula un contorno nominal basado en todos los </w:t>
      </w:r>
      <w:proofErr w:type="spellStart"/>
      <w:r w:rsidRPr="005B34CF">
        <w:rPr>
          <w:lang w:val="es-ES_tradnl"/>
        </w:rPr>
        <w:t>acimutes</w:t>
      </w:r>
      <w:proofErr w:type="spellEnd"/>
      <w:r w:rsidRPr="005B34CF">
        <w:rPr>
          <w:lang w:val="es-ES_tradnl"/>
        </w:rPr>
        <w:t xml:space="preserve"> en los límites especificados en el número </w:t>
      </w:r>
      <w:r w:rsidRPr="005B34CF">
        <w:rPr>
          <w:rStyle w:val="Artref"/>
          <w:b/>
          <w:bCs/>
          <w:color w:val="000000"/>
          <w:lang w:val="es-ES_tradnl"/>
        </w:rPr>
        <w:t>21.8</w:t>
      </w:r>
      <w:r w:rsidRPr="005B34CF">
        <w:rPr>
          <w:lang w:val="es-ES_tradnl"/>
        </w:rPr>
        <w:t xml:space="preserve"> y lo compara con el contorno apro</w:t>
      </w:r>
      <w:r w:rsidR="005B34CF" w:rsidRPr="005B34CF">
        <w:rPr>
          <w:lang w:val="es-ES_tradnl"/>
        </w:rPr>
        <w:softHyphen/>
      </w:r>
      <w:r w:rsidRPr="005B34CF">
        <w:rPr>
          <w:lang w:val="es-ES_tradnl"/>
        </w:rPr>
        <w:t xml:space="preserve">piado resultante de la </w:t>
      </w:r>
      <w:proofErr w:type="spellStart"/>
      <w:r w:rsidRPr="005B34CF">
        <w:rPr>
          <w:lang w:val="es-ES_tradnl"/>
        </w:rPr>
        <w:t>p.i.r.e</w:t>
      </w:r>
      <w:proofErr w:type="spellEnd"/>
      <w:r w:rsidRPr="005B34CF">
        <w:rPr>
          <w:lang w:val="es-ES_tradnl"/>
        </w:rPr>
        <w:t>. notificada y el diagrama de radiación de la antena. En cualquier acimut donde el segundo contorno exceda del primero, se requiere un acuerdo, de confor</w:t>
      </w:r>
      <w:r w:rsidR="005B34CF" w:rsidRPr="005B34CF">
        <w:rPr>
          <w:lang w:val="es-ES_tradnl"/>
        </w:rPr>
        <w:softHyphen/>
      </w:r>
      <w:r w:rsidRPr="005B34CF">
        <w:rPr>
          <w:lang w:val="es-ES_tradnl"/>
        </w:rPr>
        <w:t>midad con esta disposición, con cualquier administración que tenga un territorio que esté dentro del contorno. Se requiere la comunicación a la Oficina del acuerdo de esta adminis</w:t>
      </w:r>
      <w:r w:rsidR="005B34CF" w:rsidRPr="005B34CF">
        <w:rPr>
          <w:lang w:val="es-ES_tradnl"/>
        </w:rPr>
        <w:softHyphen/>
      </w:r>
      <w:r w:rsidRPr="005B34CF">
        <w:rPr>
          <w:lang w:val="es-ES_tradnl"/>
        </w:rPr>
        <w:t>tración para la formulación de una conclusión favorable con respecto al número </w:t>
      </w:r>
      <w:r w:rsidRPr="005B34CF">
        <w:rPr>
          <w:rStyle w:val="Artref"/>
          <w:b/>
          <w:bCs/>
          <w:color w:val="000000"/>
          <w:lang w:val="es-ES_tradnl"/>
        </w:rPr>
        <w:t>11.31</w:t>
      </w:r>
      <w:r w:rsidRPr="005B34CF">
        <w:rPr>
          <w:lang w:val="es-ES_tradnl"/>
        </w:rPr>
        <w:t>.</w:t>
      </w:r>
    </w:p>
    <w:p w14:paraId="28AE266F" w14:textId="77777777" w:rsidR="0064786D" w:rsidRDefault="0064786D">
      <w:pPr>
        <w:rPr>
          <w:lang w:val="es-ES_tradnl"/>
        </w:rPr>
      </w:pPr>
      <w:r w:rsidRPr="005B34CF">
        <w:rPr>
          <w:lang w:val="es-ES_tradnl"/>
        </w:rPr>
        <w:t>2</w:t>
      </w:r>
      <w:r w:rsidRPr="005B34CF">
        <w:rPr>
          <w:lang w:val="es-ES_tradnl"/>
        </w:rPr>
        <w:tab/>
      </w:r>
      <w:proofErr w:type="gramStart"/>
      <w:r w:rsidRPr="005B34CF">
        <w:rPr>
          <w:lang w:val="es-ES_tradnl"/>
        </w:rPr>
        <w:t>De</w:t>
      </w:r>
      <w:proofErr w:type="gramEnd"/>
      <w:r w:rsidRPr="005B34CF">
        <w:rPr>
          <w:lang w:val="es-ES_tradnl"/>
        </w:rPr>
        <w:t xml:space="preserve"> conformidad con esta disposición, toda asignación de frecuencia que tenga una </w:t>
      </w:r>
      <w:proofErr w:type="spellStart"/>
      <w:r w:rsidRPr="005B34CF">
        <w:rPr>
          <w:lang w:val="es-ES_tradnl"/>
        </w:rPr>
        <w:t>p.i.r.e</w:t>
      </w:r>
      <w:proofErr w:type="spellEnd"/>
      <w:r w:rsidRPr="005B34CF">
        <w:rPr>
          <w:lang w:val="es-ES_tradnl"/>
        </w:rPr>
        <w:t>. que rebase los límites en más de 10 dB recibirá una conclusión desfavorable con respecto al número </w:t>
      </w:r>
      <w:r w:rsidRPr="005B34CF">
        <w:rPr>
          <w:rStyle w:val="Artref"/>
          <w:b/>
          <w:bCs/>
          <w:color w:val="000000"/>
          <w:lang w:val="es-ES_tradnl"/>
        </w:rPr>
        <w:t>11.31</w:t>
      </w:r>
      <w:r w:rsidRPr="005B34CF">
        <w:rPr>
          <w:lang w:val="es-ES_tradnl"/>
        </w:rPr>
        <w:t>.</w:t>
      </w:r>
    </w:p>
    <w:p w14:paraId="3C05473E" w14:textId="77777777" w:rsidR="00F32E9A" w:rsidRDefault="00F32E9A">
      <w:pPr>
        <w:rPr>
          <w:lang w:val="es-ES_tradnl"/>
        </w:rPr>
      </w:pPr>
      <w:r>
        <w:rPr>
          <w:lang w:val="es-ES_tradnl"/>
        </w:rPr>
        <w:br w:type="page"/>
      </w:r>
    </w:p>
    <w:p w14:paraId="318AEF7A" w14:textId="77777777" w:rsidR="0064786D" w:rsidRPr="005B34CF" w:rsidRDefault="0064786D">
      <w:pPr>
        <w:pStyle w:val="Heading8"/>
        <w:rPr>
          <w:lang w:val="es-ES_tradnl"/>
        </w:rPr>
      </w:pPr>
      <w:r w:rsidRPr="005B34CF">
        <w:rPr>
          <w:lang w:val="es-ES_tradnl"/>
        </w:rPr>
        <w:lastRenderedPageBreak/>
        <w:t>21.14</w:t>
      </w:r>
    </w:p>
    <w:p w14:paraId="3A11E44D" w14:textId="77777777" w:rsidR="0064786D" w:rsidRPr="005B34CF" w:rsidRDefault="0064786D">
      <w:pPr>
        <w:rPr>
          <w:lang w:val="es-ES_tradnl"/>
        </w:rPr>
      </w:pPr>
      <w:r w:rsidRPr="005B34CF">
        <w:rPr>
          <w:lang w:val="es-ES_tradnl"/>
        </w:rPr>
        <w:t xml:space="preserve">Los ángulos de elevación inferiores a 3° producirán un alto valor de la </w:t>
      </w:r>
      <w:proofErr w:type="spellStart"/>
      <w:r w:rsidRPr="005B34CF">
        <w:rPr>
          <w:lang w:val="es-ES_tradnl"/>
        </w:rPr>
        <w:t>p.i.r.e</w:t>
      </w:r>
      <w:proofErr w:type="spellEnd"/>
      <w:r w:rsidRPr="005B34CF">
        <w:rPr>
          <w:lang w:val="es-ES_tradnl"/>
        </w:rPr>
        <w:t>. hacia el horizonte. La Junta determina que esta disposición ha de utilizarse junto con la Sección III del Artículo </w:t>
      </w:r>
      <w:r w:rsidRPr="005B34CF">
        <w:rPr>
          <w:rStyle w:val="Artref"/>
          <w:b/>
          <w:bCs/>
          <w:color w:val="000000"/>
          <w:lang w:val="es-ES_tradnl"/>
        </w:rPr>
        <w:t>21</w:t>
      </w:r>
      <w:r w:rsidRPr="005B34CF">
        <w:rPr>
          <w:lang w:val="es-ES_tradnl"/>
        </w:rPr>
        <w:t>. Esto significa que:</w:t>
      </w:r>
    </w:p>
    <w:p w14:paraId="5B7034AA" w14:textId="77777777" w:rsidR="0064786D" w:rsidRDefault="0064786D">
      <w:pPr>
        <w:rPr>
          <w:lang w:val="es-ES_tradnl"/>
        </w:rPr>
      </w:pPr>
      <w:r w:rsidRPr="005B34CF">
        <w:rPr>
          <w:lang w:val="es-ES_tradnl"/>
        </w:rPr>
        <w:t xml:space="preserve">Independientemente de la </w:t>
      </w:r>
      <w:proofErr w:type="spellStart"/>
      <w:r w:rsidRPr="005B34CF">
        <w:rPr>
          <w:lang w:val="es-ES_tradnl"/>
        </w:rPr>
        <w:t>p.i.r.e</w:t>
      </w:r>
      <w:proofErr w:type="spellEnd"/>
      <w:r w:rsidRPr="005B34CF">
        <w:rPr>
          <w:lang w:val="es-ES_tradnl"/>
        </w:rPr>
        <w:t>. de la estación terrena, un ángulo de elevación inferior a 3° está sujeto al acuerdo de las administraciones interesadas. En el caso de estaciones terrenas receptoras, para identificar las administraciones afectadas se traza un contorno de coordinación nominal en un ángulo de elevación de 3° y se compara con el contorno para el ángulo de elevación notificado. En cualquier acimut donde el segundo contorno exceda del primero, se requiere un acuerdo, de conformidad con esta disposición, con cualquier adminis</w:t>
      </w:r>
      <w:r w:rsidR="005B34CF" w:rsidRPr="005B34CF">
        <w:rPr>
          <w:lang w:val="es-ES_tradnl"/>
        </w:rPr>
        <w:softHyphen/>
      </w:r>
      <w:r w:rsidRPr="005B34CF">
        <w:rPr>
          <w:lang w:val="es-ES_tradnl"/>
        </w:rPr>
        <w:t xml:space="preserve">tración que tenga un territorio que esté dentro de la zona de coordinación. La Oficina formula una conclusión favorable con respecto al número </w:t>
      </w:r>
      <w:r w:rsidRPr="005B34CF">
        <w:rPr>
          <w:rStyle w:val="Artref"/>
          <w:b/>
          <w:bCs/>
          <w:color w:val="000000"/>
          <w:lang w:val="es-ES_tradnl"/>
        </w:rPr>
        <w:t>11.31</w:t>
      </w:r>
      <w:r w:rsidRPr="005B34CF">
        <w:rPr>
          <w:lang w:val="es-ES_tradnl"/>
        </w:rPr>
        <w:t xml:space="preserve"> solamente cuando se le informa del acuerdo oficial de estas administraciones.</w:t>
      </w:r>
    </w:p>
    <w:p w14:paraId="7AA13DAA" w14:textId="577FF9FA" w:rsidR="003B2289" w:rsidRPr="003B2289" w:rsidRDefault="003B2289" w:rsidP="003B2289">
      <w:pPr>
        <w:rPr>
          <w:rFonts w:asciiTheme="majorBidi" w:hAnsiTheme="majorBidi" w:cstheme="majorBidi"/>
          <w:szCs w:val="24"/>
          <w:lang w:val="es-ES_tradnl"/>
        </w:rPr>
      </w:pPr>
      <w:r w:rsidRPr="003B2289">
        <w:rPr>
          <w:rFonts w:asciiTheme="majorBidi" w:hAnsiTheme="majorBidi" w:cstheme="majorBidi"/>
          <w:b/>
          <w:bCs/>
          <w:szCs w:val="24"/>
          <w:lang w:val="es-ES_tradnl"/>
        </w:rPr>
        <w:t>Nota</w:t>
      </w:r>
      <w:r w:rsidR="00F75143">
        <w:rPr>
          <w:lang w:val="es-ES_tradnl"/>
        </w:rPr>
        <w:t> </w:t>
      </w:r>
      <w:r w:rsidRPr="003B2289">
        <w:rPr>
          <w:lang w:val="es-ES_tradnl"/>
        </w:rPr>
        <w:t>–</w:t>
      </w:r>
      <w:r w:rsidR="00F75143">
        <w:rPr>
          <w:lang w:val="es-ES_tradnl"/>
        </w:rPr>
        <w:t> </w:t>
      </w:r>
      <w:r w:rsidRPr="003B2289">
        <w:rPr>
          <w:rFonts w:asciiTheme="majorBidi" w:hAnsiTheme="majorBidi" w:cstheme="majorBidi"/>
          <w:szCs w:val="24"/>
          <w:lang w:val="es-ES_tradnl"/>
        </w:rPr>
        <w:t>La CMR-15 tomó una decisión relacionada con la Regla de Procedimiento relativa al número</w:t>
      </w:r>
      <w:r w:rsidR="00F75143">
        <w:rPr>
          <w:rFonts w:asciiTheme="majorBidi" w:hAnsiTheme="majorBidi" w:cstheme="majorBidi"/>
          <w:szCs w:val="24"/>
          <w:lang w:val="es-ES_tradnl"/>
        </w:rPr>
        <w:t> </w:t>
      </w:r>
      <w:r w:rsidRPr="003B2289">
        <w:rPr>
          <w:rFonts w:asciiTheme="majorBidi" w:hAnsiTheme="majorBidi" w:cstheme="majorBidi"/>
          <w:b/>
          <w:bCs/>
          <w:szCs w:val="24"/>
          <w:lang w:val="es-ES_tradnl"/>
        </w:rPr>
        <w:t xml:space="preserve">21.14 </w:t>
      </w:r>
      <w:r w:rsidRPr="003B2289">
        <w:rPr>
          <w:rFonts w:asciiTheme="majorBidi" w:hAnsiTheme="majorBidi" w:cstheme="majorBidi"/>
          <w:szCs w:val="24"/>
          <w:lang w:val="es-ES_tradnl"/>
        </w:rPr>
        <w:t>durante la 8ª</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 xml:space="preserve">Sesión </w:t>
      </w:r>
      <w:r w:rsidRPr="003B2289">
        <w:rPr>
          <w:lang w:val="es-ES_tradnl"/>
        </w:rPr>
        <w:t>Plenaria</w:t>
      </w:r>
      <w:r w:rsidRPr="003B2289">
        <w:rPr>
          <w:rFonts w:asciiTheme="majorBidi" w:hAnsiTheme="majorBidi" w:cstheme="majorBidi"/>
          <w:szCs w:val="24"/>
          <w:lang w:val="es-ES_tradnl"/>
        </w:rPr>
        <w:t xml:space="preserve"> (véanse los párrafos</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1.39 a 1.42 del Documento</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505 de la CMR-15) con la aprobación del Documento</w:t>
      </w:r>
      <w:r w:rsidR="00F75143">
        <w:rPr>
          <w:rFonts w:asciiTheme="majorBidi" w:hAnsiTheme="majorBidi" w:cstheme="majorBidi"/>
          <w:szCs w:val="24"/>
          <w:lang w:val="es-ES_tradnl"/>
        </w:rPr>
        <w:t> </w:t>
      </w:r>
      <w:r w:rsidRPr="003B2289">
        <w:rPr>
          <w:rFonts w:asciiTheme="majorBidi" w:hAnsiTheme="majorBidi" w:cstheme="majorBidi"/>
          <w:szCs w:val="24"/>
          <w:lang w:val="es-ES_tradnl"/>
        </w:rPr>
        <w:t>416 de la CMR-15 en relación con el apartado 3.2.5.2.6 del Documento 4 (Add.</w:t>
      </w:r>
      <w:proofErr w:type="gramStart"/>
      <w:r w:rsidRPr="003B2289">
        <w:rPr>
          <w:rFonts w:asciiTheme="majorBidi" w:hAnsiTheme="majorBidi" w:cstheme="majorBidi"/>
          <w:szCs w:val="24"/>
          <w:lang w:val="es-ES_tradnl"/>
        </w:rPr>
        <w:t>2)(</w:t>
      </w:r>
      <w:proofErr w:type="gramEnd"/>
      <w:r w:rsidRPr="003B2289">
        <w:rPr>
          <w:rFonts w:asciiTheme="majorBidi" w:hAnsiTheme="majorBidi" w:cstheme="majorBidi"/>
          <w:szCs w:val="24"/>
          <w:lang w:val="es-ES_tradnl"/>
        </w:rPr>
        <w:t>Rev.1)</w:t>
      </w:r>
      <w:r w:rsidRPr="003B2289">
        <w:rPr>
          <w:rFonts w:asciiTheme="majorBidi" w:eastAsia="SimSun" w:hAnsiTheme="majorBidi" w:cstheme="majorBidi"/>
          <w:szCs w:val="24"/>
          <w:lang w:val="es-ES_tradnl" w:eastAsia="zh-CN"/>
        </w:rPr>
        <w:t xml:space="preserve">, </w:t>
      </w:r>
      <w:r w:rsidRPr="003B2289">
        <w:rPr>
          <w:rFonts w:asciiTheme="majorBidi" w:hAnsiTheme="majorBidi" w:cstheme="majorBidi"/>
          <w:szCs w:val="24"/>
          <w:lang w:val="es-ES_tradnl"/>
        </w:rPr>
        <w:t>y estipuló lo siguiente</w:t>
      </w:r>
      <w:r w:rsidRPr="003B2289">
        <w:rPr>
          <w:rFonts w:asciiTheme="majorBidi" w:eastAsia="SimSun" w:hAnsiTheme="majorBidi" w:cstheme="majorBidi"/>
          <w:szCs w:val="24"/>
          <w:lang w:val="es-ES_tradnl" w:eastAsia="zh-CN"/>
        </w:rPr>
        <w:t>:</w:t>
      </w:r>
    </w:p>
    <w:p w14:paraId="16C78FC8" w14:textId="77777777" w:rsidR="003B2289" w:rsidRPr="003B2289" w:rsidRDefault="003B2289" w:rsidP="003B2289">
      <w:pPr>
        <w:rPr>
          <w:i/>
          <w:iCs/>
          <w:lang w:val="es-ES_tradnl"/>
        </w:rPr>
      </w:pPr>
      <w:r w:rsidRPr="003B2289">
        <w:rPr>
          <w:i/>
          <w:iCs/>
          <w:lang w:val="es-ES_tradnl"/>
        </w:rPr>
        <w:t xml:space="preserve">«La CMR-15 examinó si la práctica existente de limitar los puntos de cuadrícula a una elevación de 3° al identificar a las administraciones y redes afectadas en virtud de los números </w:t>
      </w:r>
      <w:r w:rsidRPr="003B2289">
        <w:rPr>
          <w:b/>
          <w:bCs/>
          <w:i/>
          <w:iCs/>
          <w:lang w:val="es-ES_tradnl"/>
        </w:rPr>
        <w:t>9.36</w:t>
      </w:r>
      <w:r w:rsidRPr="003B2289">
        <w:rPr>
          <w:i/>
          <w:iCs/>
          <w:lang w:val="es-ES_tradnl"/>
        </w:rPr>
        <w:t xml:space="preserve"> y </w:t>
      </w:r>
      <w:r w:rsidRPr="003B2289">
        <w:rPr>
          <w:b/>
          <w:bCs/>
          <w:i/>
          <w:iCs/>
          <w:lang w:val="es-ES_tradnl"/>
        </w:rPr>
        <w:t>9.36.2</w:t>
      </w:r>
      <w:r w:rsidRPr="003B2289">
        <w:rPr>
          <w:i/>
          <w:iCs/>
          <w:lang w:val="es-ES_tradnl"/>
        </w:rPr>
        <w:t xml:space="preserve"> y, posiblemente, ampliarla a las solicitudes en virtud del número </w:t>
      </w:r>
      <w:r w:rsidRPr="003B2289">
        <w:rPr>
          <w:b/>
          <w:bCs/>
          <w:i/>
          <w:iCs/>
          <w:lang w:val="es-ES_tradnl"/>
        </w:rPr>
        <w:t>9.41</w:t>
      </w:r>
      <w:r w:rsidRPr="003B2289">
        <w:rPr>
          <w:i/>
          <w:iCs/>
          <w:lang w:val="es-ES_tradnl"/>
        </w:rPr>
        <w:t xml:space="preserve"> de las administraciones o si debe suprimir esta limitación del software GIBC/AP8/PXT.</w:t>
      </w:r>
    </w:p>
    <w:p w14:paraId="00E3AA3A" w14:textId="15F16594" w:rsidR="003B2289" w:rsidRPr="003B2289" w:rsidRDefault="003B2289" w:rsidP="000A1454">
      <w:pPr>
        <w:rPr>
          <w:lang w:val="es-ES_tradnl"/>
        </w:rPr>
      </w:pPr>
      <w:r w:rsidRPr="003B2289">
        <w:rPr>
          <w:i/>
          <w:iCs/>
          <w:lang w:val="es-ES_tradnl"/>
        </w:rPr>
        <w:t>La Conferencia decidió pedir a la BR que elimine la limitación de 3 grados.»</w:t>
      </w:r>
    </w:p>
    <w:p w14:paraId="390619E2" w14:textId="77777777" w:rsidR="0064786D" w:rsidRPr="005B34CF" w:rsidRDefault="0064786D">
      <w:pPr>
        <w:pStyle w:val="Heading8"/>
        <w:rPr>
          <w:lang w:val="es-ES_tradnl"/>
        </w:rPr>
      </w:pPr>
      <w:r w:rsidRPr="005B34CF">
        <w:rPr>
          <w:lang w:val="es-ES_tradnl"/>
        </w:rPr>
        <w:t>21.16</w:t>
      </w:r>
    </w:p>
    <w:p w14:paraId="3A1BD064" w14:textId="777DD5E2" w:rsidR="0064786D" w:rsidRDefault="0064786D">
      <w:pPr>
        <w:pStyle w:val="Headingb"/>
        <w:spacing w:before="240"/>
        <w:rPr>
          <w:lang w:val="es-ES_tradnl"/>
        </w:rPr>
      </w:pPr>
      <w:r w:rsidRPr="005B34CF">
        <w:rPr>
          <w:lang w:val="es-ES_tradnl"/>
        </w:rPr>
        <w:t>Aplicación de los límites de la densidad de flujo de potencia (DFP) a los haces orientables</w:t>
      </w:r>
    </w:p>
    <w:p w14:paraId="581650BD" w14:textId="77777777" w:rsidR="00783D45" w:rsidRDefault="0064786D" w:rsidP="00783D45">
      <w:pPr>
        <w:rPr>
          <w:lang w:val="es-ES_tradnl"/>
        </w:rPr>
      </w:pPr>
      <w:r w:rsidRPr="005B34CF">
        <w:rPr>
          <w:lang w:val="es-ES_tradnl"/>
        </w:rPr>
        <w:t>1</w:t>
      </w:r>
      <w:r w:rsidRPr="005B34CF">
        <w:rPr>
          <w:lang w:val="es-ES_tradnl"/>
        </w:rPr>
        <w:tab/>
      </w:r>
      <w:proofErr w:type="gramStart"/>
      <w:r w:rsidRPr="005B34CF">
        <w:rPr>
          <w:lang w:val="es-ES_tradnl"/>
        </w:rPr>
        <w:t>Se</w:t>
      </w:r>
      <w:proofErr w:type="gramEnd"/>
      <w:r w:rsidRPr="005B34CF">
        <w:rPr>
          <w:lang w:val="es-ES_tradnl"/>
        </w:rPr>
        <w:t xml:space="preserve"> está generalizando la utilización de haces orientables. Los valores de la DFP que producen las asignaciones de los haces orientables suelen exceder los estrictos límites de la DFP aplicables en algunas o en todas las posiciones de dichos haces. En esos casos, las administraciones tienden a indicar que los límites de la DFP se cumplirán y en ciertos casos aportan descripciones técnicas apropiadas en cuanto a la forma de hacerlo.</w:t>
      </w:r>
    </w:p>
    <w:p w14:paraId="6B243647" w14:textId="77777777" w:rsidR="0064786D" w:rsidRPr="005B34CF" w:rsidRDefault="0064786D" w:rsidP="00783D45">
      <w:pPr>
        <w:rPr>
          <w:lang w:val="es-ES_tradnl"/>
        </w:rPr>
      </w:pPr>
      <w:r w:rsidRPr="005B34CF">
        <w:rPr>
          <w:lang w:val="es-ES_tradnl"/>
        </w:rPr>
        <w:t>2</w:t>
      </w:r>
      <w:r w:rsidRPr="005B34CF">
        <w:rPr>
          <w:lang w:val="es-ES_tradnl"/>
        </w:rPr>
        <w:tab/>
      </w:r>
      <w:proofErr w:type="gramStart"/>
      <w:r w:rsidRPr="005B34CF">
        <w:rPr>
          <w:lang w:val="es-ES_tradnl"/>
        </w:rPr>
        <w:t>A</w:t>
      </w:r>
      <w:proofErr w:type="gramEnd"/>
      <w:r w:rsidRPr="005B34CF">
        <w:rPr>
          <w:lang w:val="es-ES_tradnl"/>
        </w:rPr>
        <w:t xml:space="preserve"> efectos de transparencia y para fijar un límite superior de la medida aceptable del control de la DFP, evitando la subjetividad en la evaluación del método de control de dicha DFP, la Junta llegó a la conclusión de que, hasta que se disponga de una Recomen</w:t>
      </w:r>
      <w:r w:rsidR="005B34CF" w:rsidRPr="005B34CF">
        <w:rPr>
          <w:lang w:val="es-ES_tradnl"/>
        </w:rPr>
        <w:softHyphen/>
      </w:r>
      <w:r w:rsidRPr="005B34CF">
        <w:rPr>
          <w:lang w:val="es-ES_tradnl"/>
        </w:rPr>
        <w:t>dación UIT-R pertinente, se aplique la Regla siguiente, con carácter provisional.</w:t>
      </w:r>
    </w:p>
    <w:p w14:paraId="674336E7" w14:textId="77777777" w:rsidR="000A1454" w:rsidRDefault="000A1454">
      <w:pPr>
        <w:rPr>
          <w:lang w:val="es-ES" w:eastAsia="zh-CN"/>
        </w:rPr>
      </w:pPr>
      <w:r>
        <w:rPr>
          <w:lang w:val="es-ES" w:eastAsia="zh-CN"/>
        </w:rPr>
        <w:br w:type="page"/>
      </w:r>
    </w:p>
    <w:p w14:paraId="189E3887" w14:textId="77777777" w:rsidR="0064786D" w:rsidRPr="007B0BAC" w:rsidRDefault="005F4794" w:rsidP="000A1454">
      <w:pPr>
        <w:rPr>
          <w:sz w:val="16"/>
          <w:szCs w:val="16"/>
          <w:lang w:val="es-ES_tradnl"/>
        </w:rPr>
      </w:pPr>
      <w:r w:rsidRPr="00334991">
        <w:rPr>
          <w:lang w:val="es-ES" w:eastAsia="zh-CN"/>
        </w:rPr>
        <w:lastRenderedPageBreak/>
        <w:t xml:space="preserve">3 </w:t>
      </w:r>
      <w:r w:rsidRPr="00334991">
        <w:rPr>
          <w:lang w:val="es-ES" w:eastAsia="zh-CN"/>
        </w:rPr>
        <w:tab/>
      </w:r>
      <w:proofErr w:type="gramStart"/>
      <w:r w:rsidRPr="00334991">
        <w:rPr>
          <w:lang w:val="es-ES"/>
        </w:rPr>
        <w:t>En</w:t>
      </w:r>
      <w:proofErr w:type="gramEnd"/>
      <w:r w:rsidRPr="00334991">
        <w:rPr>
          <w:lang w:val="es-ES"/>
        </w:rPr>
        <w:t xml:space="preserve"> los casos en que las asignaciones de frecuencia de haces orientables de una red de satélite,</w:t>
      </w:r>
      <w:r w:rsidRPr="00334991">
        <w:rPr>
          <w:lang w:val="es-ES" w:eastAsia="zh-CN"/>
        </w:rPr>
        <w:t xml:space="preserve"> excepto las asignaciones de frecuencia a que se aplica el </w:t>
      </w:r>
      <w:r w:rsidRPr="005F4794">
        <w:rPr>
          <w:lang w:val="es-ES" w:eastAsia="zh-CN"/>
        </w:rPr>
        <w:t xml:space="preserve">Apéndice </w:t>
      </w:r>
      <w:r w:rsidRPr="005F4794">
        <w:rPr>
          <w:b/>
          <w:bCs/>
          <w:lang w:val="es-ES" w:eastAsia="zh-CN"/>
        </w:rPr>
        <w:t>30B</w:t>
      </w:r>
      <w:r w:rsidRPr="00334991">
        <w:rPr>
          <w:lang w:val="es-ES" w:eastAsia="zh-CN"/>
        </w:rPr>
        <w:t>,</w:t>
      </w:r>
      <w:r w:rsidRPr="00334991">
        <w:rPr>
          <w:lang w:val="es-ES"/>
        </w:rPr>
        <w:t xml:space="preserve"> excedan los estrictos límites aplicables de la DFP, la Junta establecerá una conclusión favorable únicamente si:</w:t>
      </w:r>
      <w:r w:rsidR="007B0BAC">
        <w:rPr>
          <w:lang w:val="es-ES"/>
        </w:rPr>
        <w:t xml:space="preserve">   </w:t>
      </w:r>
    </w:p>
    <w:p w14:paraId="08EB4925" w14:textId="77777777" w:rsidR="0064786D" w:rsidRPr="005B34CF" w:rsidRDefault="0064786D">
      <w:pPr>
        <w:pStyle w:val="enumlev1"/>
        <w:rPr>
          <w:u w:val="single"/>
          <w:lang w:val="es-ES_tradnl"/>
        </w:rPr>
      </w:pPr>
      <w:r w:rsidRPr="005B34CF">
        <w:rPr>
          <w:i/>
          <w:lang w:val="es-ES_tradnl"/>
        </w:rPr>
        <w:t>a)</w:t>
      </w:r>
      <w:r w:rsidRPr="005B34CF">
        <w:rPr>
          <w:lang w:val="es-ES_tradnl"/>
        </w:rPr>
        <w:tab/>
        <w:t>hay al menos una posición del haz orientable en la que se cumplen los límites de la DFP aplicable sin reducción alguna de la densidad de potencia notificada; y</w:t>
      </w:r>
    </w:p>
    <w:p w14:paraId="4561C976" w14:textId="77777777" w:rsidR="0064786D" w:rsidRPr="005B34CF" w:rsidRDefault="0064786D">
      <w:pPr>
        <w:pStyle w:val="enumlev1"/>
        <w:rPr>
          <w:lang w:val="es-ES_tradnl"/>
        </w:rPr>
      </w:pPr>
      <w:r w:rsidRPr="005B34CF">
        <w:rPr>
          <w:i/>
          <w:lang w:val="es-ES_tradnl"/>
        </w:rPr>
        <w:t>b)</w:t>
      </w:r>
      <w:r w:rsidRPr="005B34CF">
        <w:rPr>
          <w:lang w:val="es-ES_tradnl"/>
        </w:rPr>
        <w:tab/>
        <w:t>la administración declara que los límites aplicables de la DFP se cumplirán aplicando un método cuya descripción debe someterse a la Oficina. En el Anexo a la presente Regla se describe un posible ejemplo de método de este tipo.</w:t>
      </w:r>
    </w:p>
    <w:p w14:paraId="537A9679" w14:textId="77777777" w:rsidR="0064786D" w:rsidRPr="005B34CF" w:rsidRDefault="0064786D" w:rsidP="005B34CF">
      <w:pPr>
        <w:rPr>
          <w:lang w:val="es-ES_tradnl"/>
        </w:rPr>
      </w:pPr>
    </w:p>
    <w:p w14:paraId="20EB7B4C" w14:textId="77777777" w:rsidR="0064786D" w:rsidRPr="005B34CF" w:rsidRDefault="0064786D">
      <w:pPr>
        <w:pStyle w:val="Annex"/>
        <w:rPr>
          <w:lang w:val="es-ES_tradnl"/>
        </w:rPr>
      </w:pPr>
      <w:r w:rsidRPr="005B34CF">
        <w:rPr>
          <w:lang w:val="es-ES_tradnl"/>
        </w:rPr>
        <w:t>ANEXO  1</w:t>
      </w:r>
    </w:p>
    <w:p w14:paraId="04E5D633" w14:textId="77777777" w:rsidR="0064786D" w:rsidRPr="005B34CF" w:rsidRDefault="0064786D">
      <w:pPr>
        <w:pStyle w:val="AnnexTitle"/>
        <w:rPr>
          <w:lang w:val="es-ES_tradnl"/>
        </w:rPr>
      </w:pPr>
      <w:r w:rsidRPr="005B34CF">
        <w:rPr>
          <w:lang w:val="es-ES_tradnl"/>
        </w:rPr>
        <w:t>Método aplicable para cumplir los límites reglamentarios de la DFP</w:t>
      </w:r>
      <w:r w:rsidRPr="005B34CF">
        <w:rPr>
          <w:lang w:val="es-ES_tradnl"/>
        </w:rPr>
        <w:br/>
        <w:t>cuando se utilizan haces orientables</w:t>
      </w:r>
    </w:p>
    <w:p w14:paraId="00570FDD" w14:textId="77777777" w:rsidR="0064786D" w:rsidRPr="005B34CF" w:rsidRDefault="0064786D">
      <w:pPr>
        <w:pStyle w:val="Normalaftertitle"/>
        <w:rPr>
          <w:lang w:val="es-ES_tradnl"/>
        </w:rPr>
      </w:pPr>
      <w:r w:rsidRPr="005B34CF">
        <w:rPr>
          <w:lang w:val="es-ES_tradnl"/>
        </w:rPr>
        <w:t>Cuando en las redes de satélite se utilizan haces orientables, puede ser necesario aplicar medidas operacionales para ajustar la densidad de potencia de la estación espacial a fin de cumplir los límites reglamentarios aplicables de la DFP en posiciones del haz específicas. En dichos casos, las administraciones aplicarán el método siguiente para cada posición específica del haz orientable y para cada asignación de dicho haz:</w:t>
      </w:r>
    </w:p>
    <w:p w14:paraId="270840A4" w14:textId="77777777" w:rsidR="0064786D" w:rsidRPr="005B34CF" w:rsidRDefault="0064786D" w:rsidP="005B34CF">
      <w:pPr>
        <w:rPr>
          <w:lang w:val="es-ES_tradnl"/>
        </w:rPr>
      </w:pPr>
      <w:r w:rsidRPr="005B34CF">
        <w:rPr>
          <w:i/>
          <w:lang w:val="es-ES_tradnl"/>
        </w:rPr>
        <w:t>Paso</w:t>
      </w:r>
      <w:r w:rsidR="005B34CF" w:rsidRPr="005B34CF">
        <w:rPr>
          <w:i/>
          <w:lang w:val="es-ES_tradnl"/>
        </w:rPr>
        <w:t> </w:t>
      </w:r>
      <w:r w:rsidRPr="005B34CF">
        <w:rPr>
          <w:i/>
          <w:lang w:val="es-ES_tradnl"/>
        </w:rPr>
        <w:t>1</w:t>
      </w:r>
      <w:r w:rsidRPr="005B34CF">
        <w:rPr>
          <w:lang w:val="es-ES_tradnl"/>
        </w:rPr>
        <w:t>:</w:t>
      </w:r>
      <w:r w:rsidRPr="005B34CF">
        <w:rPr>
          <w:lang w:val="es-ES_tradnl"/>
        </w:rPr>
        <w:tab/>
        <w:t>Para una posición del haz específica, se efectúa una representación de los contornos de ganancia del haz sobre un mapa de la Tierra que muestre líneas de elevación equivalente.</w:t>
      </w:r>
    </w:p>
    <w:p w14:paraId="02A4A5A1" w14:textId="77777777" w:rsidR="0064786D" w:rsidRPr="005B34CF" w:rsidRDefault="0064786D" w:rsidP="005B34CF">
      <w:pPr>
        <w:rPr>
          <w:lang w:val="es-ES_tradnl"/>
        </w:rPr>
      </w:pPr>
      <w:r w:rsidRPr="005B34CF">
        <w:rPr>
          <w:i/>
          <w:lang w:val="es-ES_tradnl"/>
        </w:rPr>
        <w:t>Paso</w:t>
      </w:r>
      <w:r w:rsidR="005B34CF" w:rsidRPr="005B34CF">
        <w:rPr>
          <w:i/>
          <w:lang w:val="es-ES_tradnl"/>
        </w:rPr>
        <w:t> </w:t>
      </w:r>
      <w:r w:rsidRPr="005B34CF">
        <w:rPr>
          <w:i/>
          <w:lang w:val="es-ES_tradnl"/>
        </w:rPr>
        <w:t>2</w:t>
      </w:r>
      <w:r w:rsidRPr="005B34CF">
        <w:rPr>
          <w:lang w:val="es-ES_tradnl"/>
        </w:rPr>
        <w:t>:</w:t>
      </w:r>
      <w:r w:rsidRPr="005B34CF">
        <w:rPr>
          <w:lang w:val="es-ES_tradnl"/>
        </w:rPr>
        <w:tab/>
        <w:t>Utilizando la densidad de potencia notificada de la asignación particular, se determina si la DFP producida en la cresta del haz o en cualquier otro punto sobre la Tierra rebasa los límites aplicables de la DFP. En caso afirmativo, se determina el nivel máximo del exceso de la DFP (es decir, se determina el punto con el exceso máximo respecto al límite).</w:t>
      </w:r>
    </w:p>
    <w:p w14:paraId="0172CF62" w14:textId="77777777" w:rsidR="0064786D" w:rsidRPr="005B34CF" w:rsidRDefault="0064786D" w:rsidP="005B34CF">
      <w:pPr>
        <w:rPr>
          <w:lang w:val="es-ES_tradnl"/>
        </w:rPr>
      </w:pPr>
      <w:r w:rsidRPr="005B34CF">
        <w:rPr>
          <w:i/>
          <w:lang w:val="es-ES_tradnl"/>
        </w:rPr>
        <w:t>Paso</w:t>
      </w:r>
      <w:r w:rsidR="005B34CF" w:rsidRPr="005B34CF">
        <w:rPr>
          <w:i/>
          <w:lang w:val="es-ES_tradnl"/>
        </w:rPr>
        <w:t> </w:t>
      </w:r>
      <w:r w:rsidRPr="005B34CF">
        <w:rPr>
          <w:i/>
          <w:lang w:val="es-ES_tradnl"/>
        </w:rPr>
        <w:t>3</w:t>
      </w:r>
      <w:r w:rsidRPr="005B34CF">
        <w:rPr>
          <w:lang w:val="es-ES_tradnl"/>
        </w:rPr>
        <w:t>:</w:t>
      </w:r>
      <w:r w:rsidRPr="005B34CF">
        <w:rPr>
          <w:lang w:val="es-ES_tradnl"/>
        </w:rPr>
        <w:tab/>
        <w:t>Se ajusta, es decir, se reduce la densidad de potencia operacional de la asignación al menos en el nivel máximo determinado en el Paso 2, de forma que la DFP producida en cualquier punto de la Tierra cumpla los límites aplicables de dicha DFP.</w:t>
      </w:r>
    </w:p>
    <w:p w14:paraId="2C8A976E" w14:textId="77777777" w:rsidR="0064786D" w:rsidRPr="005B34CF" w:rsidRDefault="0064786D">
      <w:pPr>
        <w:rPr>
          <w:lang w:val="es-ES_tradnl"/>
        </w:rPr>
      </w:pPr>
      <w:r w:rsidRPr="005B34CF">
        <w:rPr>
          <w:lang w:val="es-ES_tradnl"/>
        </w:rPr>
        <w:t>Para los satélites no OSG en órbitas elípticas, su distancia a los puntos sobre la Tierra cambia también a medida que el satélite se desplaza a lo largo de la órbita. Para hallar el nivel máximo del exceso de la DFP en este caso, hay que repetir los Pasos 1 y 2 anteriores para varias posiciones orbitales del satélite.</w:t>
      </w:r>
    </w:p>
    <w:p w14:paraId="5BE0239B" w14:textId="532FB3F3" w:rsidR="00783D45" w:rsidRDefault="0064786D" w:rsidP="00783D45">
      <w:pPr>
        <w:rPr>
          <w:lang w:val="es-ES_tradnl"/>
        </w:rPr>
      </w:pPr>
      <w:r w:rsidRPr="005B34CF">
        <w:rPr>
          <w:lang w:val="es-ES_tradnl"/>
        </w:rPr>
        <w:t xml:space="preserve">La aplicación de este método se ilustra en el ejemplo siguiente. Supóngase que el haz orientable se sitúa tal como se representa en la </w:t>
      </w:r>
      <w:r w:rsidR="00F84487" w:rsidRPr="005B34CF">
        <w:rPr>
          <w:lang w:val="es-ES_tradnl"/>
        </w:rPr>
        <w:t>f</w:t>
      </w:r>
      <w:r w:rsidR="00F32E9A">
        <w:rPr>
          <w:lang w:val="es-ES_tradnl"/>
        </w:rPr>
        <w:t>igura siguiente.</w:t>
      </w:r>
    </w:p>
    <w:p w14:paraId="40C2D766" w14:textId="77777777" w:rsidR="00E2792F" w:rsidRDefault="00E2792F" w:rsidP="00783D45">
      <w:pPr>
        <w:rPr>
          <w:lang w:val="es-ES_tradnl"/>
        </w:rPr>
      </w:pPr>
      <w:r>
        <w:rPr>
          <w:lang w:val="es-ES_tradnl"/>
        </w:rPr>
        <w:br w:type="page"/>
      </w:r>
    </w:p>
    <w:p w14:paraId="0DCE3D5F" w14:textId="77777777" w:rsidR="00E6417B" w:rsidRPr="00A74D77" w:rsidRDefault="00E6417B" w:rsidP="00E6417B">
      <w:pPr>
        <w:jc w:val="center"/>
      </w:pPr>
      <w:r>
        <w:object w:dxaOrig="4344" w:dyaOrig="3588" w14:anchorId="5C30F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236.25pt;mso-position-vertical:absolute" o:ole="">
            <v:imagedata r:id="rId7" o:title="" cropright="-3173f"/>
          </v:shape>
          <o:OLEObject Type="Embed" ProgID="CorelDraw.Graphic.16" ShapeID="_x0000_i1025" DrawAspect="Content" ObjectID="_1682926509" r:id="rId8"/>
        </w:object>
      </w:r>
    </w:p>
    <w:p w14:paraId="3C152CC5" w14:textId="77A39785" w:rsidR="0064786D" w:rsidRPr="005B34CF" w:rsidRDefault="0064786D">
      <w:pPr>
        <w:rPr>
          <w:lang w:val="es-ES_tradnl"/>
        </w:rPr>
      </w:pPr>
      <w:r w:rsidRPr="005B34CF">
        <w:rPr>
          <w:lang w:val="es-ES_tradnl"/>
        </w:rPr>
        <w:t>La cresta del haz está en el punto A y su ángulo de elevación puede calcularse utilizando métodos geométricos. El contorno de –3 dB toca la línea de 10° de elevación en el punto B, y el contorno de –4</w:t>
      </w:r>
      <w:r w:rsidR="00F75143">
        <w:rPr>
          <w:lang w:val="es-ES_tradnl"/>
        </w:rPr>
        <w:t> </w:t>
      </w:r>
      <w:r w:rsidRPr="005B34CF">
        <w:rPr>
          <w:lang w:val="es-ES_tradnl"/>
        </w:rPr>
        <w:t>dB toca la línea de 5° de elevación en el punto</w:t>
      </w:r>
      <w:r w:rsidR="00F75143">
        <w:rPr>
          <w:lang w:val="es-ES_tradnl"/>
        </w:rPr>
        <w:t> </w:t>
      </w:r>
      <w:r w:rsidRPr="005B34CF">
        <w:rPr>
          <w:lang w:val="es-ES_tradnl"/>
        </w:rPr>
        <w:t>C. Para estos puntos, el Cuadro que viene a continuación da los valores de la DFP, los límites de la DFP aplicables y el exceso respecto a los límites (de haberlo). Los valores corresponden a frecuencias por encima de 15</w:t>
      </w:r>
      <w:r w:rsidR="00F75143">
        <w:rPr>
          <w:lang w:val="es-ES_tradnl"/>
        </w:rPr>
        <w:t> </w:t>
      </w:r>
      <w:r w:rsidRPr="005B34CF">
        <w:rPr>
          <w:lang w:val="es-ES_tradnl"/>
        </w:rPr>
        <w:t>GHz y la anchura de banda de referencia es de 1</w:t>
      </w:r>
      <w:r w:rsidR="00F75143">
        <w:rPr>
          <w:lang w:val="es-ES_tradnl"/>
        </w:rPr>
        <w:t> </w:t>
      </w:r>
      <w:r w:rsidRPr="005B34CF">
        <w:rPr>
          <w:lang w:val="es-ES_tradnl"/>
        </w:rPr>
        <w:t>MHz. Los datos del Cuadro muestran que en esta posición particular de haz orientable es necesario reducir la densidad de potencia notificada en 2 dB para cumplir el límite reglamentario de la DFP.</w:t>
      </w:r>
    </w:p>
    <w:p w14:paraId="13635171" w14:textId="77777777" w:rsidR="0064786D" w:rsidRPr="005B34CF" w:rsidRDefault="0064786D">
      <w:pPr>
        <w:spacing w:before="0"/>
        <w:rPr>
          <w:sz w:val="12"/>
          <w:lang w:val="es-ES_tradnl"/>
        </w:rPr>
      </w:pPr>
    </w:p>
    <w:p w14:paraId="643827A7" w14:textId="77777777" w:rsidR="0064786D" w:rsidRPr="005B34CF" w:rsidRDefault="0064786D">
      <w:pPr>
        <w:tabs>
          <w:tab w:val="clear" w:pos="1134"/>
          <w:tab w:val="clear" w:pos="1871"/>
          <w:tab w:val="clear" w:pos="2268"/>
          <w:tab w:val="left" w:pos="2552"/>
          <w:tab w:val="left" w:pos="4933"/>
          <w:tab w:val="left" w:pos="5103"/>
        </w:tabs>
        <w:rPr>
          <w:sz w:val="20"/>
          <w:lang w:val="es-ES_tradnl"/>
        </w:rPr>
      </w:pPr>
      <w:r w:rsidRPr="005B34CF">
        <w:rPr>
          <w:sz w:val="20"/>
          <w:lang w:val="es-ES_tradnl"/>
        </w:rPr>
        <w:t xml:space="preserve">Nombre del haz:  </w:t>
      </w:r>
      <w:r w:rsidRPr="005B34CF">
        <w:rPr>
          <w:b/>
          <w:sz w:val="20"/>
          <w:lang w:val="es-ES_tradnl"/>
        </w:rPr>
        <w:t>AAR</w:t>
      </w:r>
      <w:r w:rsidRPr="005B34CF">
        <w:rPr>
          <w:b/>
          <w:sz w:val="20"/>
          <w:lang w:val="es-ES_tradnl"/>
        </w:rPr>
        <w:tab/>
      </w:r>
      <w:r w:rsidRPr="005B34CF">
        <w:rPr>
          <w:sz w:val="20"/>
          <w:lang w:val="es-ES_tradnl"/>
        </w:rPr>
        <w:t xml:space="preserve">Emisión:  </w:t>
      </w:r>
      <w:r w:rsidRPr="005B34CF">
        <w:rPr>
          <w:b/>
          <w:sz w:val="20"/>
          <w:lang w:val="es-ES_tradnl"/>
        </w:rPr>
        <w:t>11M7G7W--</w:t>
      </w:r>
      <w:r w:rsidRPr="005B34CF">
        <w:rPr>
          <w:b/>
          <w:sz w:val="20"/>
          <w:lang w:val="es-ES_tradnl"/>
        </w:rPr>
        <w:tab/>
      </w:r>
      <w:r w:rsidRPr="005B34CF">
        <w:rPr>
          <w:sz w:val="20"/>
          <w:lang w:val="es-ES_tradnl"/>
        </w:rPr>
        <w:t xml:space="preserve">Densidad de potencia notificada:  </w:t>
      </w:r>
      <w:r w:rsidRPr="005B34CF">
        <w:rPr>
          <w:b/>
          <w:sz w:val="20"/>
          <w:lang w:val="es-ES_tradnl"/>
        </w:rPr>
        <w:t>–55,7 dB(W/Hz)</w:t>
      </w:r>
    </w:p>
    <w:p w14:paraId="59561612" w14:textId="77777777" w:rsidR="0064786D" w:rsidRPr="005B34CF" w:rsidRDefault="0064786D">
      <w:pPr>
        <w:spacing w:before="0"/>
        <w:rPr>
          <w:sz w:val="20"/>
          <w:lang w:val="es-ES_tradn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right w:w="0" w:type="dxa"/>
        </w:tblCellMar>
        <w:tblLook w:val="0000" w:firstRow="0" w:lastRow="0" w:firstColumn="0" w:lastColumn="0" w:noHBand="0" w:noVBand="0"/>
      </w:tblPr>
      <w:tblGrid>
        <w:gridCol w:w="4221"/>
        <w:gridCol w:w="1738"/>
        <w:gridCol w:w="1120"/>
        <w:gridCol w:w="979"/>
        <w:gridCol w:w="1014"/>
      </w:tblGrid>
      <w:tr w:rsidR="0064786D" w:rsidRPr="005B34CF" w14:paraId="2B8B9DB9" w14:textId="77777777">
        <w:trPr>
          <w:jc w:val="center"/>
        </w:trPr>
        <w:tc>
          <w:tcPr>
            <w:tcW w:w="4221" w:type="dxa"/>
            <w:tcBorders>
              <w:top w:val="single" w:sz="6" w:space="0" w:color="auto"/>
              <w:left w:val="single" w:sz="6" w:space="0" w:color="auto"/>
              <w:bottom w:val="single" w:sz="6" w:space="0" w:color="auto"/>
              <w:right w:val="nil"/>
            </w:tcBorders>
          </w:tcPr>
          <w:p w14:paraId="569999AA" w14:textId="77777777" w:rsidR="0064786D" w:rsidRPr="005B34CF" w:rsidRDefault="0064786D">
            <w:pPr>
              <w:pStyle w:val="TableHead"/>
              <w:framePr w:hSpace="181" w:wrap="notBeside" w:vAnchor="text" w:hAnchor="text" w:xAlign="center" w:y="1"/>
              <w:ind w:left="57" w:right="57"/>
              <w:rPr>
                <w:lang w:val="es-ES_tradnl"/>
              </w:rPr>
            </w:pPr>
          </w:p>
        </w:tc>
        <w:tc>
          <w:tcPr>
            <w:tcW w:w="1738" w:type="dxa"/>
            <w:tcBorders>
              <w:top w:val="single" w:sz="6" w:space="0" w:color="auto"/>
              <w:left w:val="nil"/>
              <w:bottom w:val="single" w:sz="6" w:space="0" w:color="auto"/>
              <w:right w:val="single" w:sz="6" w:space="0" w:color="auto"/>
            </w:tcBorders>
          </w:tcPr>
          <w:p w14:paraId="5DA8E287" w14:textId="77777777" w:rsidR="0064786D" w:rsidRPr="005B34CF" w:rsidRDefault="0064786D">
            <w:pPr>
              <w:pStyle w:val="TableHead"/>
              <w:framePr w:hSpace="181" w:wrap="notBeside" w:vAnchor="text" w:hAnchor="text" w:xAlign="center" w:y="1"/>
              <w:ind w:right="170"/>
              <w:jc w:val="right"/>
              <w:rPr>
                <w:lang w:val="es-ES_tradnl"/>
              </w:rPr>
            </w:pPr>
          </w:p>
        </w:tc>
        <w:tc>
          <w:tcPr>
            <w:tcW w:w="1120" w:type="dxa"/>
            <w:tcBorders>
              <w:top w:val="single" w:sz="6" w:space="0" w:color="auto"/>
              <w:left w:val="single" w:sz="6" w:space="0" w:color="auto"/>
              <w:bottom w:val="single" w:sz="6" w:space="0" w:color="auto"/>
              <w:right w:val="single" w:sz="6" w:space="0" w:color="auto"/>
            </w:tcBorders>
          </w:tcPr>
          <w:p w14:paraId="330731BB" w14:textId="77777777" w:rsidR="0064786D" w:rsidRPr="005B34CF" w:rsidRDefault="0064786D">
            <w:pPr>
              <w:pStyle w:val="TableHead"/>
              <w:framePr w:hSpace="181" w:wrap="notBeside" w:vAnchor="text" w:hAnchor="text" w:xAlign="center" w:y="1"/>
              <w:ind w:left="57" w:right="57"/>
              <w:rPr>
                <w:lang w:val="es-ES_tradnl"/>
              </w:rPr>
            </w:pPr>
            <w:r w:rsidRPr="005B34CF">
              <w:rPr>
                <w:lang w:val="es-ES_tradnl"/>
              </w:rPr>
              <w:t>Punto A</w:t>
            </w:r>
          </w:p>
        </w:tc>
        <w:tc>
          <w:tcPr>
            <w:tcW w:w="979" w:type="dxa"/>
            <w:tcBorders>
              <w:top w:val="single" w:sz="6" w:space="0" w:color="auto"/>
              <w:left w:val="single" w:sz="6" w:space="0" w:color="auto"/>
              <w:bottom w:val="single" w:sz="6" w:space="0" w:color="auto"/>
              <w:right w:val="single" w:sz="6" w:space="0" w:color="auto"/>
            </w:tcBorders>
          </w:tcPr>
          <w:p w14:paraId="360BA0DC" w14:textId="77777777" w:rsidR="0064786D" w:rsidRPr="005B34CF" w:rsidRDefault="0064786D">
            <w:pPr>
              <w:pStyle w:val="TableHead"/>
              <w:framePr w:hSpace="181" w:wrap="notBeside" w:vAnchor="text" w:hAnchor="text" w:xAlign="center" w:y="1"/>
              <w:ind w:left="57" w:right="57"/>
              <w:rPr>
                <w:lang w:val="es-ES_tradnl"/>
              </w:rPr>
            </w:pPr>
            <w:r w:rsidRPr="005B34CF">
              <w:rPr>
                <w:lang w:val="es-ES_tradnl"/>
              </w:rPr>
              <w:t>Punto B</w:t>
            </w:r>
          </w:p>
        </w:tc>
        <w:tc>
          <w:tcPr>
            <w:tcW w:w="1014" w:type="dxa"/>
            <w:tcBorders>
              <w:top w:val="single" w:sz="6" w:space="0" w:color="auto"/>
              <w:left w:val="single" w:sz="6" w:space="0" w:color="auto"/>
              <w:bottom w:val="single" w:sz="6" w:space="0" w:color="auto"/>
              <w:right w:val="single" w:sz="6" w:space="0" w:color="auto"/>
            </w:tcBorders>
          </w:tcPr>
          <w:p w14:paraId="7726EE29" w14:textId="77777777" w:rsidR="0064786D" w:rsidRPr="005B34CF" w:rsidRDefault="0064786D">
            <w:pPr>
              <w:pStyle w:val="TableHead"/>
              <w:framePr w:hSpace="181" w:wrap="notBeside" w:vAnchor="text" w:hAnchor="text" w:xAlign="center" w:y="1"/>
              <w:ind w:left="57" w:right="57"/>
              <w:rPr>
                <w:lang w:val="es-ES_tradnl"/>
              </w:rPr>
            </w:pPr>
            <w:r w:rsidRPr="005B34CF">
              <w:rPr>
                <w:lang w:val="es-ES_tradnl"/>
              </w:rPr>
              <w:t>Punto C</w:t>
            </w:r>
          </w:p>
        </w:tc>
      </w:tr>
      <w:tr w:rsidR="0064786D" w:rsidRPr="005B34CF" w14:paraId="12A995F8"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262E7B61"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Densidad de potencia notificada por Hz (dB(W/Hz))</w:t>
            </w:r>
          </w:p>
        </w:tc>
        <w:tc>
          <w:tcPr>
            <w:tcW w:w="3113" w:type="dxa"/>
            <w:gridSpan w:val="3"/>
            <w:tcBorders>
              <w:top w:val="single" w:sz="6" w:space="0" w:color="auto"/>
              <w:left w:val="single" w:sz="6" w:space="0" w:color="auto"/>
              <w:bottom w:val="single" w:sz="6" w:space="0" w:color="auto"/>
              <w:right w:val="single" w:sz="6" w:space="0" w:color="auto"/>
            </w:tcBorders>
          </w:tcPr>
          <w:p w14:paraId="6040026A"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–55,7</w:t>
            </w:r>
          </w:p>
        </w:tc>
      </w:tr>
      <w:tr w:rsidR="0064786D" w:rsidRPr="005B34CF" w14:paraId="3F1948E8"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0EEB0F6F"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Densidad de potencia notificada por 1 MHz (dB(W/MHz))</w:t>
            </w:r>
          </w:p>
        </w:tc>
        <w:tc>
          <w:tcPr>
            <w:tcW w:w="3113" w:type="dxa"/>
            <w:gridSpan w:val="3"/>
            <w:tcBorders>
              <w:top w:val="single" w:sz="6" w:space="0" w:color="auto"/>
              <w:left w:val="single" w:sz="6" w:space="0" w:color="auto"/>
              <w:bottom w:val="single" w:sz="6" w:space="0" w:color="auto"/>
              <w:right w:val="single" w:sz="6" w:space="0" w:color="auto"/>
            </w:tcBorders>
          </w:tcPr>
          <w:p w14:paraId="6ABBBB9C"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4,3</w:t>
            </w:r>
          </w:p>
        </w:tc>
      </w:tr>
      <w:tr w:rsidR="0064786D" w:rsidRPr="005B34CF" w14:paraId="3B8FF907"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480EC213"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Ganancia de la antena hacia un punto (dBi)</w:t>
            </w:r>
          </w:p>
        </w:tc>
        <w:tc>
          <w:tcPr>
            <w:tcW w:w="1120" w:type="dxa"/>
            <w:tcBorders>
              <w:top w:val="single" w:sz="6" w:space="0" w:color="auto"/>
              <w:left w:val="single" w:sz="6" w:space="0" w:color="auto"/>
              <w:bottom w:val="single" w:sz="6" w:space="0" w:color="auto"/>
              <w:right w:val="single" w:sz="6" w:space="0" w:color="auto"/>
            </w:tcBorders>
          </w:tcPr>
          <w:p w14:paraId="79382BEA"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50,0</w:t>
            </w:r>
          </w:p>
        </w:tc>
        <w:tc>
          <w:tcPr>
            <w:tcW w:w="979" w:type="dxa"/>
            <w:tcBorders>
              <w:top w:val="single" w:sz="6" w:space="0" w:color="auto"/>
              <w:left w:val="single" w:sz="6" w:space="0" w:color="auto"/>
              <w:bottom w:val="single" w:sz="6" w:space="0" w:color="auto"/>
              <w:right w:val="single" w:sz="6" w:space="0" w:color="auto"/>
            </w:tcBorders>
          </w:tcPr>
          <w:p w14:paraId="7AF9A81D"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47,0</w:t>
            </w:r>
          </w:p>
        </w:tc>
        <w:tc>
          <w:tcPr>
            <w:tcW w:w="1014" w:type="dxa"/>
            <w:tcBorders>
              <w:top w:val="single" w:sz="6" w:space="0" w:color="auto"/>
              <w:left w:val="single" w:sz="6" w:space="0" w:color="auto"/>
              <w:bottom w:val="single" w:sz="6" w:space="0" w:color="auto"/>
              <w:right w:val="single" w:sz="6" w:space="0" w:color="auto"/>
            </w:tcBorders>
          </w:tcPr>
          <w:p w14:paraId="56B36755"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46,0</w:t>
            </w:r>
          </w:p>
        </w:tc>
      </w:tr>
      <w:tr w:rsidR="0064786D" w:rsidRPr="005B34CF" w14:paraId="57AA5B33"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1D515085" w14:textId="77777777" w:rsidR="0064786D" w:rsidRPr="005B34CF" w:rsidRDefault="0064786D">
            <w:pPr>
              <w:pStyle w:val="TableText"/>
              <w:framePr w:hSpace="181" w:wrap="notBeside" w:vAnchor="text" w:hAnchor="text" w:xAlign="center" w:y="1"/>
              <w:ind w:right="170"/>
              <w:jc w:val="left"/>
              <w:rPr>
                <w:lang w:val="es-ES_tradnl"/>
              </w:rPr>
            </w:pPr>
            <w:proofErr w:type="spellStart"/>
            <w:r w:rsidRPr="005B34CF">
              <w:rPr>
                <w:lang w:val="es-ES_tradnl"/>
              </w:rPr>
              <w:t>p.i.r.e</w:t>
            </w:r>
            <w:proofErr w:type="spellEnd"/>
            <w:r w:rsidRPr="005B34CF">
              <w:rPr>
                <w:lang w:val="es-ES_tradnl"/>
              </w:rPr>
              <w:t>. hacia un punto (</w:t>
            </w:r>
            <w:proofErr w:type="gramStart"/>
            <w:r w:rsidRPr="005B34CF">
              <w:rPr>
                <w:lang w:val="es-ES_tradnl"/>
              </w:rPr>
              <w:t>dB(</w:t>
            </w:r>
            <w:proofErr w:type="gramEnd"/>
            <w:r w:rsidRPr="005B34CF">
              <w:rPr>
                <w:lang w:val="es-ES_tradnl"/>
              </w:rPr>
              <w:t>W/1 MHz))</w:t>
            </w:r>
          </w:p>
        </w:tc>
        <w:tc>
          <w:tcPr>
            <w:tcW w:w="1120" w:type="dxa"/>
            <w:tcBorders>
              <w:top w:val="single" w:sz="6" w:space="0" w:color="auto"/>
              <w:left w:val="single" w:sz="6" w:space="0" w:color="auto"/>
              <w:bottom w:val="single" w:sz="6" w:space="0" w:color="auto"/>
              <w:right w:val="single" w:sz="6" w:space="0" w:color="auto"/>
            </w:tcBorders>
          </w:tcPr>
          <w:p w14:paraId="538AC306"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54,3</w:t>
            </w:r>
          </w:p>
        </w:tc>
        <w:tc>
          <w:tcPr>
            <w:tcW w:w="979" w:type="dxa"/>
            <w:tcBorders>
              <w:top w:val="single" w:sz="6" w:space="0" w:color="auto"/>
              <w:left w:val="single" w:sz="6" w:space="0" w:color="auto"/>
              <w:bottom w:val="single" w:sz="6" w:space="0" w:color="auto"/>
              <w:right w:val="single" w:sz="6" w:space="0" w:color="auto"/>
            </w:tcBorders>
          </w:tcPr>
          <w:p w14:paraId="0D68ACAD"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51,3</w:t>
            </w:r>
          </w:p>
        </w:tc>
        <w:tc>
          <w:tcPr>
            <w:tcW w:w="1014" w:type="dxa"/>
            <w:tcBorders>
              <w:top w:val="single" w:sz="6" w:space="0" w:color="auto"/>
              <w:left w:val="single" w:sz="6" w:space="0" w:color="auto"/>
              <w:bottom w:val="single" w:sz="6" w:space="0" w:color="auto"/>
              <w:right w:val="single" w:sz="6" w:space="0" w:color="auto"/>
            </w:tcBorders>
          </w:tcPr>
          <w:p w14:paraId="03B5271E"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50,3</w:t>
            </w:r>
          </w:p>
        </w:tc>
      </w:tr>
      <w:tr w:rsidR="0064786D" w:rsidRPr="005B34CF" w14:paraId="46543277"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3D79A14C"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Longitud de trayecto (km)</w:t>
            </w:r>
          </w:p>
        </w:tc>
        <w:tc>
          <w:tcPr>
            <w:tcW w:w="1120" w:type="dxa"/>
            <w:tcBorders>
              <w:top w:val="single" w:sz="6" w:space="0" w:color="auto"/>
              <w:left w:val="single" w:sz="6" w:space="0" w:color="auto"/>
              <w:bottom w:val="single" w:sz="6" w:space="0" w:color="auto"/>
              <w:right w:val="single" w:sz="6" w:space="0" w:color="auto"/>
            </w:tcBorders>
          </w:tcPr>
          <w:p w14:paraId="7E2DBE6B"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39</w:t>
            </w:r>
            <w:r w:rsidRPr="005B34CF">
              <w:rPr>
                <w:rFonts w:ascii="Tms Rmn" w:hAnsi="Tms Rmn"/>
                <w:sz w:val="12"/>
                <w:lang w:val="es-ES_tradnl"/>
              </w:rPr>
              <w:t> </w:t>
            </w:r>
            <w:r w:rsidRPr="005B34CF">
              <w:rPr>
                <w:lang w:val="es-ES_tradnl"/>
              </w:rPr>
              <w:t>532</w:t>
            </w:r>
          </w:p>
        </w:tc>
        <w:tc>
          <w:tcPr>
            <w:tcW w:w="979" w:type="dxa"/>
            <w:tcBorders>
              <w:top w:val="single" w:sz="6" w:space="0" w:color="auto"/>
              <w:left w:val="single" w:sz="6" w:space="0" w:color="auto"/>
              <w:bottom w:val="single" w:sz="6" w:space="0" w:color="auto"/>
              <w:right w:val="single" w:sz="6" w:space="0" w:color="auto"/>
            </w:tcBorders>
          </w:tcPr>
          <w:p w14:paraId="3BEEF898"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40</w:t>
            </w:r>
            <w:r w:rsidRPr="005B34CF">
              <w:rPr>
                <w:rFonts w:ascii="Tms Rmn" w:hAnsi="Tms Rmn"/>
                <w:sz w:val="12"/>
                <w:lang w:val="es-ES_tradnl"/>
              </w:rPr>
              <w:t> </w:t>
            </w:r>
            <w:r w:rsidRPr="005B34CF">
              <w:rPr>
                <w:lang w:val="es-ES_tradnl"/>
              </w:rPr>
              <w:t>584</w:t>
            </w:r>
          </w:p>
        </w:tc>
        <w:tc>
          <w:tcPr>
            <w:tcW w:w="1014" w:type="dxa"/>
            <w:tcBorders>
              <w:top w:val="single" w:sz="6" w:space="0" w:color="auto"/>
              <w:left w:val="single" w:sz="6" w:space="0" w:color="auto"/>
              <w:bottom w:val="single" w:sz="6" w:space="0" w:color="auto"/>
              <w:right w:val="single" w:sz="6" w:space="0" w:color="auto"/>
            </w:tcBorders>
          </w:tcPr>
          <w:p w14:paraId="59C3C472"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41</w:t>
            </w:r>
            <w:r w:rsidRPr="005B34CF">
              <w:rPr>
                <w:rFonts w:ascii="Tms Rmn" w:hAnsi="Tms Rmn"/>
                <w:sz w:val="12"/>
                <w:lang w:val="es-ES_tradnl"/>
              </w:rPr>
              <w:t> </w:t>
            </w:r>
            <w:r w:rsidRPr="005B34CF">
              <w:rPr>
                <w:lang w:val="es-ES_tradnl"/>
              </w:rPr>
              <w:t>125</w:t>
            </w:r>
          </w:p>
        </w:tc>
      </w:tr>
      <w:tr w:rsidR="0064786D" w:rsidRPr="005B34CF" w14:paraId="23696231"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2720CC09"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Pérdidas de dispersión (dB)</w:t>
            </w:r>
          </w:p>
        </w:tc>
        <w:tc>
          <w:tcPr>
            <w:tcW w:w="1120" w:type="dxa"/>
            <w:tcBorders>
              <w:top w:val="single" w:sz="6" w:space="0" w:color="auto"/>
              <w:left w:val="single" w:sz="6" w:space="0" w:color="auto"/>
              <w:bottom w:val="single" w:sz="6" w:space="0" w:color="auto"/>
              <w:right w:val="single" w:sz="6" w:space="0" w:color="auto"/>
            </w:tcBorders>
          </w:tcPr>
          <w:p w14:paraId="30402FB7"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162,9</w:t>
            </w:r>
          </w:p>
        </w:tc>
        <w:tc>
          <w:tcPr>
            <w:tcW w:w="979" w:type="dxa"/>
            <w:tcBorders>
              <w:top w:val="single" w:sz="6" w:space="0" w:color="auto"/>
              <w:left w:val="single" w:sz="6" w:space="0" w:color="auto"/>
              <w:bottom w:val="single" w:sz="6" w:space="0" w:color="auto"/>
              <w:right w:val="single" w:sz="6" w:space="0" w:color="auto"/>
            </w:tcBorders>
          </w:tcPr>
          <w:p w14:paraId="29734D08"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163,2</w:t>
            </w:r>
          </w:p>
        </w:tc>
        <w:tc>
          <w:tcPr>
            <w:tcW w:w="1014" w:type="dxa"/>
            <w:tcBorders>
              <w:top w:val="single" w:sz="6" w:space="0" w:color="auto"/>
              <w:left w:val="single" w:sz="6" w:space="0" w:color="auto"/>
              <w:bottom w:val="single" w:sz="6" w:space="0" w:color="auto"/>
              <w:right w:val="single" w:sz="6" w:space="0" w:color="auto"/>
            </w:tcBorders>
          </w:tcPr>
          <w:p w14:paraId="475F05AC"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163,3</w:t>
            </w:r>
          </w:p>
        </w:tc>
      </w:tr>
      <w:tr w:rsidR="0064786D" w:rsidRPr="005B34CF" w14:paraId="0DEC07BF"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1CE8A8F3"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DFP producida en un punto (</w:t>
            </w:r>
            <w:proofErr w:type="gramStart"/>
            <w:r w:rsidRPr="005B34CF">
              <w:rPr>
                <w:lang w:val="es-ES_tradnl"/>
              </w:rPr>
              <w:t>dB(</w:t>
            </w:r>
            <w:proofErr w:type="gramEnd"/>
            <w:r w:rsidRPr="005B34CF">
              <w:rPr>
                <w:lang w:val="es-ES_tradnl"/>
              </w:rPr>
              <w:t>W/(m</w:t>
            </w:r>
            <w:r w:rsidRPr="007B0BAC">
              <w:rPr>
                <w:vertAlign w:val="superscript"/>
                <w:lang w:val="es-ES_tradnl"/>
              </w:rPr>
              <w:t>2</w:t>
            </w:r>
            <w:r w:rsidRPr="005B34CF">
              <w:rPr>
                <w:lang w:val="es-ES_tradnl"/>
              </w:rPr>
              <w:t> · 1 MHz)))</w:t>
            </w:r>
          </w:p>
        </w:tc>
        <w:tc>
          <w:tcPr>
            <w:tcW w:w="1120" w:type="dxa"/>
            <w:tcBorders>
              <w:top w:val="single" w:sz="6" w:space="0" w:color="auto"/>
              <w:left w:val="single" w:sz="6" w:space="0" w:color="auto"/>
              <w:bottom w:val="single" w:sz="6" w:space="0" w:color="auto"/>
              <w:right w:val="single" w:sz="6" w:space="0" w:color="auto"/>
            </w:tcBorders>
          </w:tcPr>
          <w:p w14:paraId="24A64021"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–108,6</w:t>
            </w:r>
          </w:p>
        </w:tc>
        <w:tc>
          <w:tcPr>
            <w:tcW w:w="979" w:type="dxa"/>
            <w:tcBorders>
              <w:top w:val="single" w:sz="6" w:space="0" w:color="auto"/>
              <w:left w:val="single" w:sz="6" w:space="0" w:color="auto"/>
              <w:bottom w:val="single" w:sz="6" w:space="0" w:color="auto"/>
              <w:right w:val="single" w:sz="6" w:space="0" w:color="auto"/>
            </w:tcBorders>
          </w:tcPr>
          <w:p w14:paraId="18F70144"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–111,9</w:t>
            </w:r>
          </w:p>
        </w:tc>
        <w:tc>
          <w:tcPr>
            <w:tcW w:w="1014" w:type="dxa"/>
            <w:tcBorders>
              <w:top w:val="single" w:sz="6" w:space="0" w:color="auto"/>
              <w:left w:val="single" w:sz="6" w:space="0" w:color="auto"/>
              <w:bottom w:val="single" w:sz="6" w:space="0" w:color="auto"/>
              <w:right w:val="single" w:sz="6" w:space="0" w:color="auto"/>
            </w:tcBorders>
          </w:tcPr>
          <w:p w14:paraId="56F847EC"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–113,0</w:t>
            </w:r>
          </w:p>
        </w:tc>
      </w:tr>
      <w:tr w:rsidR="0064786D" w:rsidRPr="005B34CF" w14:paraId="293853A4"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32F1EA27" w14:textId="4E81203D" w:rsidR="0064786D" w:rsidRPr="005B34CF" w:rsidRDefault="0064786D" w:rsidP="00F75143">
            <w:pPr>
              <w:pStyle w:val="TableText"/>
              <w:framePr w:hSpace="181" w:wrap="notBeside" w:vAnchor="text" w:hAnchor="text" w:xAlign="center" w:y="1"/>
              <w:ind w:right="57"/>
              <w:jc w:val="left"/>
              <w:rPr>
                <w:lang w:val="es-ES_tradnl"/>
              </w:rPr>
            </w:pPr>
            <w:r w:rsidRPr="005B34CF">
              <w:rPr>
                <w:lang w:val="es-ES_tradnl"/>
              </w:rPr>
              <w:t xml:space="preserve">Límite de la DFP del número </w:t>
            </w:r>
            <w:r w:rsidRPr="005B34CF">
              <w:rPr>
                <w:rStyle w:val="Artref"/>
                <w:b/>
                <w:bCs/>
                <w:color w:val="000000"/>
                <w:lang w:val="es-ES_tradnl"/>
              </w:rPr>
              <w:t>21.16</w:t>
            </w:r>
            <w:r w:rsidRPr="005B34CF">
              <w:rPr>
                <w:lang w:val="es-ES_tradnl"/>
              </w:rPr>
              <w:t xml:space="preserve"> en un punto (</w:t>
            </w:r>
            <w:proofErr w:type="gramStart"/>
            <w:r w:rsidRPr="005B34CF">
              <w:rPr>
                <w:lang w:val="es-ES_tradnl"/>
              </w:rPr>
              <w:t>dB(</w:t>
            </w:r>
            <w:proofErr w:type="gramEnd"/>
            <w:r w:rsidRPr="005B34CF">
              <w:rPr>
                <w:lang w:val="es-ES_tradnl"/>
              </w:rPr>
              <w:t>W/(m</w:t>
            </w:r>
            <w:r w:rsidRPr="007B0BAC">
              <w:rPr>
                <w:vertAlign w:val="superscript"/>
                <w:lang w:val="es-ES_tradnl"/>
              </w:rPr>
              <w:t>2</w:t>
            </w:r>
            <w:r w:rsidRPr="005B34CF">
              <w:rPr>
                <w:lang w:val="es-ES_tradnl"/>
              </w:rPr>
              <w:t> · 1 MHz))</w:t>
            </w:r>
            <w:r w:rsidR="00F75143">
              <w:rPr>
                <w:lang w:val="es-ES_tradnl"/>
              </w:rPr>
              <w:t>)</w:t>
            </w:r>
          </w:p>
        </w:tc>
        <w:tc>
          <w:tcPr>
            <w:tcW w:w="1120" w:type="dxa"/>
            <w:tcBorders>
              <w:top w:val="single" w:sz="6" w:space="0" w:color="auto"/>
              <w:left w:val="single" w:sz="6" w:space="0" w:color="auto"/>
              <w:bottom w:val="single" w:sz="6" w:space="0" w:color="auto"/>
              <w:right w:val="single" w:sz="6" w:space="0" w:color="auto"/>
            </w:tcBorders>
          </w:tcPr>
          <w:p w14:paraId="05B0A3C0"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–108,5</w:t>
            </w:r>
          </w:p>
        </w:tc>
        <w:tc>
          <w:tcPr>
            <w:tcW w:w="979" w:type="dxa"/>
            <w:tcBorders>
              <w:top w:val="single" w:sz="6" w:space="0" w:color="auto"/>
              <w:left w:val="single" w:sz="6" w:space="0" w:color="auto"/>
              <w:bottom w:val="single" w:sz="6" w:space="0" w:color="auto"/>
              <w:right w:val="single" w:sz="6" w:space="0" w:color="auto"/>
            </w:tcBorders>
          </w:tcPr>
          <w:p w14:paraId="6486BE76"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–112,5</w:t>
            </w:r>
          </w:p>
        </w:tc>
        <w:tc>
          <w:tcPr>
            <w:tcW w:w="1014" w:type="dxa"/>
            <w:tcBorders>
              <w:top w:val="single" w:sz="6" w:space="0" w:color="auto"/>
              <w:left w:val="single" w:sz="6" w:space="0" w:color="auto"/>
              <w:bottom w:val="single" w:sz="6" w:space="0" w:color="auto"/>
              <w:right w:val="single" w:sz="6" w:space="0" w:color="auto"/>
            </w:tcBorders>
          </w:tcPr>
          <w:p w14:paraId="20459A2C"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–115,0</w:t>
            </w:r>
          </w:p>
        </w:tc>
      </w:tr>
      <w:tr w:rsidR="0064786D" w:rsidRPr="005B34CF" w14:paraId="34474972"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70ED8342"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Exceso respecto al límite de la DFP (dB)</w:t>
            </w:r>
          </w:p>
        </w:tc>
        <w:tc>
          <w:tcPr>
            <w:tcW w:w="1120" w:type="dxa"/>
            <w:tcBorders>
              <w:top w:val="single" w:sz="6" w:space="0" w:color="auto"/>
              <w:left w:val="single" w:sz="6" w:space="0" w:color="auto"/>
              <w:bottom w:val="single" w:sz="6" w:space="0" w:color="auto"/>
              <w:right w:val="single" w:sz="6" w:space="0" w:color="auto"/>
            </w:tcBorders>
          </w:tcPr>
          <w:p w14:paraId="62D15C28"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w:t>
            </w:r>
          </w:p>
        </w:tc>
        <w:tc>
          <w:tcPr>
            <w:tcW w:w="979" w:type="dxa"/>
            <w:tcBorders>
              <w:top w:val="single" w:sz="6" w:space="0" w:color="auto"/>
              <w:left w:val="single" w:sz="6" w:space="0" w:color="auto"/>
              <w:bottom w:val="single" w:sz="6" w:space="0" w:color="auto"/>
              <w:right w:val="single" w:sz="6" w:space="0" w:color="auto"/>
            </w:tcBorders>
          </w:tcPr>
          <w:p w14:paraId="14C95B00"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0,6</w:t>
            </w:r>
          </w:p>
        </w:tc>
        <w:tc>
          <w:tcPr>
            <w:tcW w:w="1014" w:type="dxa"/>
            <w:tcBorders>
              <w:top w:val="single" w:sz="6" w:space="0" w:color="auto"/>
              <w:left w:val="single" w:sz="6" w:space="0" w:color="auto"/>
              <w:bottom w:val="single" w:sz="6" w:space="0" w:color="auto"/>
              <w:right w:val="single" w:sz="6" w:space="0" w:color="auto"/>
            </w:tcBorders>
          </w:tcPr>
          <w:p w14:paraId="0BB4DB21"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2,0</w:t>
            </w:r>
          </w:p>
        </w:tc>
      </w:tr>
      <w:tr w:rsidR="0064786D" w:rsidRPr="005B34CF" w14:paraId="6A1AF2B2"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2DD966B1" w14:textId="77777777"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Reducción necesaria de la densidad de potencia para cumplir el límite (dB)</w:t>
            </w:r>
          </w:p>
        </w:tc>
        <w:tc>
          <w:tcPr>
            <w:tcW w:w="3113" w:type="dxa"/>
            <w:gridSpan w:val="3"/>
            <w:tcBorders>
              <w:top w:val="single" w:sz="6" w:space="0" w:color="auto"/>
              <w:left w:val="single" w:sz="6" w:space="0" w:color="auto"/>
              <w:bottom w:val="single" w:sz="6" w:space="0" w:color="auto"/>
              <w:right w:val="single" w:sz="6" w:space="0" w:color="auto"/>
            </w:tcBorders>
          </w:tcPr>
          <w:p w14:paraId="08456AB2"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2,0</w:t>
            </w:r>
          </w:p>
        </w:tc>
      </w:tr>
      <w:tr w:rsidR="0064786D" w:rsidRPr="005B34CF" w14:paraId="55ED031D" w14:textId="77777777">
        <w:trPr>
          <w:jc w:val="center"/>
        </w:trPr>
        <w:tc>
          <w:tcPr>
            <w:tcW w:w="5959" w:type="dxa"/>
            <w:gridSpan w:val="2"/>
            <w:tcBorders>
              <w:top w:val="single" w:sz="6" w:space="0" w:color="auto"/>
              <w:left w:val="single" w:sz="6" w:space="0" w:color="auto"/>
              <w:bottom w:val="single" w:sz="6" w:space="0" w:color="auto"/>
              <w:right w:val="single" w:sz="6" w:space="0" w:color="auto"/>
            </w:tcBorders>
          </w:tcPr>
          <w:p w14:paraId="26DD942C" w14:textId="6CC58120" w:rsidR="0064786D" w:rsidRPr="005B34CF" w:rsidRDefault="0064786D">
            <w:pPr>
              <w:pStyle w:val="TableText"/>
              <w:framePr w:hSpace="181" w:wrap="notBeside" w:vAnchor="text" w:hAnchor="text" w:xAlign="center" w:y="1"/>
              <w:ind w:right="170"/>
              <w:jc w:val="left"/>
              <w:rPr>
                <w:lang w:val="es-ES_tradnl"/>
              </w:rPr>
            </w:pPr>
            <w:r w:rsidRPr="005B34CF">
              <w:rPr>
                <w:lang w:val="es-ES_tradnl"/>
              </w:rPr>
              <w:t>Densidad de potencia máxima que debe utilizarse en esta posición</w:t>
            </w:r>
            <w:r w:rsidR="00F75143">
              <w:rPr>
                <w:lang w:val="es-ES_tradnl"/>
              </w:rPr>
              <w:t xml:space="preserve"> </w:t>
            </w:r>
            <w:r w:rsidRPr="005B34CF">
              <w:rPr>
                <w:lang w:val="es-ES_tradnl"/>
              </w:rPr>
              <w:t>del haz (dB(W/Hz))</w:t>
            </w:r>
          </w:p>
        </w:tc>
        <w:tc>
          <w:tcPr>
            <w:tcW w:w="3113" w:type="dxa"/>
            <w:gridSpan w:val="3"/>
            <w:tcBorders>
              <w:top w:val="single" w:sz="6" w:space="0" w:color="auto"/>
              <w:left w:val="single" w:sz="6" w:space="0" w:color="auto"/>
              <w:bottom w:val="single" w:sz="6" w:space="0" w:color="auto"/>
              <w:right w:val="single" w:sz="6" w:space="0" w:color="auto"/>
            </w:tcBorders>
          </w:tcPr>
          <w:p w14:paraId="1D8A18FA" w14:textId="77777777" w:rsidR="0064786D" w:rsidRPr="005B34CF" w:rsidRDefault="0064786D">
            <w:pPr>
              <w:pStyle w:val="TableText"/>
              <w:framePr w:hSpace="181" w:wrap="notBeside" w:vAnchor="text" w:hAnchor="text" w:xAlign="center" w:y="1"/>
              <w:ind w:left="57" w:right="57"/>
              <w:jc w:val="center"/>
              <w:rPr>
                <w:lang w:val="es-ES_tradnl"/>
              </w:rPr>
            </w:pPr>
            <w:r w:rsidRPr="005B34CF">
              <w:rPr>
                <w:lang w:val="es-ES_tradnl"/>
              </w:rPr>
              <w:t>–</w:t>
            </w:r>
            <w:r w:rsidRPr="005B34CF">
              <w:rPr>
                <w:rFonts w:ascii="Tms Rmn" w:hAnsi="Tms Rmn"/>
                <w:lang w:val="es-ES_tradnl"/>
              </w:rPr>
              <w:t>57,7</w:t>
            </w:r>
          </w:p>
        </w:tc>
      </w:tr>
    </w:tbl>
    <w:p w14:paraId="009D56A4" w14:textId="77777777" w:rsidR="0064786D" w:rsidRPr="005B34CF" w:rsidRDefault="0064786D">
      <w:pPr>
        <w:pStyle w:val="TableFin"/>
        <w:rPr>
          <w:lang w:val="es-ES_tradnl"/>
        </w:rPr>
      </w:pPr>
    </w:p>
    <w:p w14:paraId="2F1182A8" w14:textId="77777777" w:rsidR="005B34CF" w:rsidRPr="005B34CF" w:rsidRDefault="0064786D" w:rsidP="003658FD">
      <w:pPr>
        <w:jc w:val="center"/>
        <w:rPr>
          <w:lang w:val="es-ES_tradnl"/>
        </w:rPr>
      </w:pPr>
      <w:r w:rsidRPr="005B34CF">
        <w:rPr>
          <w:lang w:val="es-ES_tradnl"/>
        </w:rPr>
        <w:t>____________________</w:t>
      </w:r>
    </w:p>
    <w:p w14:paraId="4DCE3FE6" w14:textId="77777777" w:rsidR="0064786D" w:rsidRPr="005B34CF" w:rsidRDefault="0064786D">
      <w:pPr>
        <w:rPr>
          <w:lang w:val="es-ES_tradnl"/>
        </w:rPr>
        <w:sectPr w:rsidR="0064786D" w:rsidRPr="005B34CF" w:rsidSect="00022DBF">
          <w:headerReference w:type="even" r:id="rId9"/>
          <w:headerReference w:type="default" r:id="rId10"/>
          <w:headerReference w:type="first" r:id="rId11"/>
          <w:footnotePr>
            <w:pos w:val="beneathText"/>
          </w:footnotePr>
          <w:pgSz w:w="11907" w:h="16840" w:code="9"/>
          <w:pgMar w:top="1701" w:right="851" w:bottom="1134" w:left="1985" w:header="720" w:footer="482" w:gutter="0"/>
          <w:cols w:space="720"/>
          <w:vAlign w:val="both"/>
          <w:titlePg/>
        </w:sectPr>
      </w:pPr>
    </w:p>
    <w:p w14:paraId="7C7629DD" w14:textId="77777777" w:rsidR="0064786D" w:rsidRPr="005B34CF" w:rsidRDefault="0064786D">
      <w:pPr>
        <w:rPr>
          <w:lang w:val="es-ES_tradnl"/>
        </w:rPr>
      </w:pPr>
    </w:p>
    <w:sectPr w:rsidR="0064786D" w:rsidRPr="005B34CF" w:rsidSect="003658FD">
      <w:headerReference w:type="first" r:id="rId12"/>
      <w:footnotePr>
        <w:pos w:val="beneathText"/>
      </w:footnotePr>
      <w:type w:val="even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8E1DD" w14:textId="77777777" w:rsidR="004C616F" w:rsidRDefault="004C616F">
      <w:r>
        <w:separator/>
      </w:r>
    </w:p>
  </w:endnote>
  <w:endnote w:type="continuationSeparator" w:id="0">
    <w:p w14:paraId="694287AE" w14:textId="77777777" w:rsidR="004C616F" w:rsidRDefault="004C6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99378" w14:textId="77777777" w:rsidR="004C616F" w:rsidRDefault="004C616F">
      <w:r>
        <w:rPr>
          <w:b/>
        </w:rPr>
        <w:t>_______________</w:t>
      </w:r>
    </w:p>
  </w:footnote>
  <w:footnote w:type="continuationSeparator" w:id="0">
    <w:p w14:paraId="2169ACEA" w14:textId="77777777" w:rsidR="004C616F" w:rsidRDefault="004C6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3D45" w14:paraId="14D2816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D5E8457" w14:textId="77777777" w:rsidR="00783D45" w:rsidRDefault="00783D4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E07D7BE" w14:textId="468B0806" w:rsidR="00783D45" w:rsidRDefault="004955B1">
          <w:pPr>
            <w:pStyle w:val="HeaderRegProc"/>
            <w:rPr>
              <w:lang w:val="fr-FR"/>
            </w:rPr>
          </w:pPr>
          <w:r>
            <w:fldChar w:fldCharType="begin"/>
          </w:r>
          <w:r>
            <w:instrText xml:space="preserve"> DOCPROPERTY "Header" \* MERGEFORMAT </w:instrText>
          </w:r>
          <w:r>
            <w:fldChar w:fldCharType="separate"/>
          </w:r>
          <w:r w:rsidR="00FD0CB9">
            <w:t>AR</w:t>
          </w:r>
          <w:r>
            <w:fldChar w:fldCharType="end"/>
          </w:r>
          <w:r w:rsidR="00783D45">
            <w:fldChar w:fldCharType="begin"/>
          </w:r>
          <w:r w:rsidR="00783D45">
            <w:instrText>styleref href2</w:instrText>
          </w:r>
          <w:r w:rsidR="00783D45">
            <w:fldChar w:fldCharType="separate"/>
          </w:r>
          <w:r>
            <w:rPr>
              <w:noProof/>
            </w:rPr>
            <w:t>21</w:t>
          </w:r>
          <w:r w:rsidR="00783D45">
            <w:fldChar w:fldCharType="end"/>
          </w:r>
        </w:p>
      </w:tc>
      <w:tc>
        <w:tcPr>
          <w:tcW w:w="1701" w:type="dxa"/>
          <w:tcBorders>
            <w:top w:val="single" w:sz="6" w:space="0" w:color="auto"/>
            <w:left w:val="single" w:sz="6" w:space="0" w:color="auto"/>
            <w:bottom w:val="single" w:sz="6" w:space="0" w:color="auto"/>
            <w:right w:val="single" w:sz="6" w:space="0" w:color="auto"/>
          </w:tcBorders>
        </w:tcPr>
        <w:p w14:paraId="3DEC8192" w14:textId="77777777" w:rsidR="00783D45" w:rsidRDefault="00783D45">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6417B">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338718" w14:textId="1F362584" w:rsidR="00783D45" w:rsidRDefault="00783D45">
          <w:pPr>
            <w:pStyle w:val="HeaderRegProc"/>
            <w:rPr>
              <w:lang w:val="fr-CH"/>
            </w:rPr>
          </w:pPr>
          <w:proofErr w:type="spellStart"/>
          <w:proofErr w:type="gramStart"/>
          <w:r>
            <w:rPr>
              <w:lang w:val="fr-CH"/>
            </w:rPr>
            <w:t>rev</w:t>
          </w:r>
          <w:proofErr w:type="spellEnd"/>
          <w:proofErr w:type="gramEnd"/>
          <w:r>
            <w:rPr>
              <w:lang w:val="fr-CH"/>
            </w:rPr>
            <w:t>.</w:t>
          </w:r>
          <w:r w:rsidR="00F75143">
            <w:rPr>
              <w:lang w:val="fr-CH"/>
            </w:rPr>
            <w:t xml:space="preserve"> </w:t>
          </w:r>
          <w:r>
            <w:fldChar w:fldCharType="begin"/>
          </w:r>
          <w:r>
            <w:rPr>
              <w:lang w:val="fr-CH"/>
            </w:rPr>
            <w:instrText xml:space="preserve"> DOCPROPERTY "Header10" \* MERGEFORMAT </w:instrText>
          </w:r>
          <w:r>
            <w:fldChar w:fldCharType="separate"/>
          </w:r>
          <w:r w:rsidR="00FD0CB9">
            <w:rPr>
              <w:lang w:val="fr-CH"/>
            </w:rPr>
            <w:t>-</w:t>
          </w:r>
          <w:r>
            <w:fldChar w:fldCharType="end"/>
          </w:r>
        </w:p>
      </w:tc>
    </w:tr>
  </w:tbl>
  <w:p w14:paraId="6ABA4206" w14:textId="77777777" w:rsidR="00783D45" w:rsidRDefault="00783D45">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2792F" w14:paraId="26930E37" w14:textId="77777777" w:rsidTr="00E2792F">
      <w:trPr>
        <w:cantSplit/>
        <w:jc w:val="right"/>
      </w:trPr>
      <w:tc>
        <w:tcPr>
          <w:tcW w:w="1701" w:type="dxa"/>
          <w:tcBorders>
            <w:top w:val="single" w:sz="6" w:space="0" w:color="auto"/>
            <w:left w:val="single" w:sz="6" w:space="0" w:color="auto"/>
            <w:bottom w:val="single" w:sz="6" w:space="0" w:color="auto"/>
            <w:right w:val="single" w:sz="6" w:space="0" w:color="auto"/>
          </w:tcBorders>
        </w:tcPr>
        <w:p w14:paraId="097261BD" w14:textId="77777777" w:rsidR="00E2792F" w:rsidRDefault="00E2792F" w:rsidP="00E2792F">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41C4144" w14:textId="65729459" w:rsidR="00E2792F" w:rsidRDefault="004955B1" w:rsidP="00E2792F">
          <w:pPr>
            <w:pStyle w:val="HeaderRegProc"/>
            <w:rPr>
              <w:lang w:val="fr-FR"/>
            </w:rPr>
          </w:pPr>
          <w:r>
            <w:fldChar w:fldCharType="begin"/>
          </w:r>
          <w:r>
            <w:instrText xml:space="preserve"> DOCPROPERTY "Header" \* MERGEFORMAT </w:instrText>
          </w:r>
          <w:r>
            <w:fldChar w:fldCharType="separate"/>
          </w:r>
          <w:r w:rsidR="00FD0CB9">
            <w:t>AR</w:t>
          </w:r>
          <w:r>
            <w:fldChar w:fldCharType="end"/>
          </w:r>
          <w:r w:rsidR="00E2792F">
            <w:fldChar w:fldCharType="begin"/>
          </w:r>
          <w:r w:rsidR="00E2792F">
            <w:instrText>styleref href2</w:instrText>
          </w:r>
          <w:r w:rsidR="00E2792F">
            <w:fldChar w:fldCharType="separate"/>
          </w:r>
          <w:r>
            <w:rPr>
              <w:noProof/>
            </w:rPr>
            <w:t>21</w:t>
          </w:r>
          <w:r w:rsidR="00E2792F">
            <w:fldChar w:fldCharType="end"/>
          </w:r>
        </w:p>
      </w:tc>
      <w:tc>
        <w:tcPr>
          <w:tcW w:w="1701" w:type="dxa"/>
          <w:tcBorders>
            <w:top w:val="single" w:sz="6" w:space="0" w:color="auto"/>
            <w:left w:val="single" w:sz="6" w:space="0" w:color="auto"/>
            <w:bottom w:val="single" w:sz="6" w:space="0" w:color="auto"/>
            <w:right w:val="single" w:sz="6" w:space="0" w:color="auto"/>
          </w:tcBorders>
        </w:tcPr>
        <w:p w14:paraId="4B008A9F" w14:textId="77777777" w:rsidR="00E2792F" w:rsidRDefault="00E2792F" w:rsidP="00E2792F">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6417B">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D2C316" w14:textId="2F96C2EC" w:rsidR="00E2792F" w:rsidRDefault="00E2792F" w:rsidP="00E2792F">
          <w:pPr>
            <w:pStyle w:val="HeaderRegProc"/>
            <w:rPr>
              <w:lang w:val="fr-CH"/>
            </w:rPr>
          </w:pPr>
          <w:proofErr w:type="spellStart"/>
          <w:proofErr w:type="gramStart"/>
          <w:r>
            <w:rPr>
              <w:lang w:val="fr-CH"/>
            </w:rPr>
            <w:t>rev</w:t>
          </w:r>
          <w:proofErr w:type="spellEnd"/>
          <w:proofErr w:type="gramEnd"/>
          <w:r>
            <w:rPr>
              <w:lang w:val="fr-CH"/>
            </w:rPr>
            <w:t>.</w:t>
          </w:r>
          <w:r w:rsidR="00F75143">
            <w:rPr>
              <w:lang w:val="fr-CH"/>
            </w:rPr>
            <w:t xml:space="preserve"> </w:t>
          </w:r>
          <w:r>
            <w:fldChar w:fldCharType="begin"/>
          </w:r>
          <w:r>
            <w:rPr>
              <w:lang w:val="fr-CH"/>
            </w:rPr>
            <w:instrText xml:space="preserve"> DOCPROPERTY "Header10" \* MERGEFORMAT </w:instrText>
          </w:r>
          <w:r>
            <w:fldChar w:fldCharType="separate"/>
          </w:r>
          <w:r w:rsidR="00FD0CB9">
            <w:rPr>
              <w:lang w:val="fr-CH"/>
            </w:rPr>
            <w:t>-</w:t>
          </w:r>
          <w:r>
            <w:fldChar w:fldCharType="end"/>
          </w:r>
        </w:p>
      </w:tc>
    </w:tr>
  </w:tbl>
  <w:p w14:paraId="72952B1F" w14:textId="77777777" w:rsidR="00E2792F" w:rsidRDefault="00E27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3D45" w14:paraId="760FCAE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790ACD8" w14:textId="77777777" w:rsidR="00783D45" w:rsidRDefault="00783D4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443A925" w14:textId="4F7C59DA" w:rsidR="00783D45" w:rsidRDefault="00783D45">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FD0CB9">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955B1">
            <w:rPr>
              <w:noProof/>
              <w:color w:val="000000"/>
            </w:rPr>
            <w:t>21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2BCBFA3" w14:textId="77777777" w:rsidR="00783D45" w:rsidRDefault="00783D45" w:rsidP="00FA503B">
          <w:pPr>
            <w:pStyle w:val="HeaderRegProc"/>
            <w:rPr>
              <w:color w:val="000000"/>
              <w:lang w:val="fr-CH"/>
            </w:rPr>
          </w:pPr>
          <w:r>
            <w:rPr>
              <w:color w:val="000000"/>
            </w:rPr>
            <w:t xml:space="preserve">página </w:t>
          </w:r>
          <w:r w:rsidR="00E2792F">
            <w:rPr>
              <w:rStyle w:val="PageNumber"/>
            </w:rPr>
            <w:fldChar w:fldCharType="begin"/>
          </w:r>
          <w:r w:rsidR="00E2792F">
            <w:rPr>
              <w:rStyle w:val="PageNumber"/>
            </w:rPr>
            <w:instrText xml:space="preserve"> PAGE   \* MERGEFORMAT </w:instrText>
          </w:r>
          <w:r w:rsidR="00E2792F">
            <w:rPr>
              <w:rStyle w:val="PageNumber"/>
            </w:rPr>
            <w:fldChar w:fldCharType="separate"/>
          </w:r>
          <w:r w:rsidR="00E6417B">
            <w:rPr>
              <w:rStyle w:val="PageNumber"/>
              <w:noProof/>
            </w:rPr>
            <w:t>1</w:t>
          </w:r>
          <w:r w:rsidR="00E2792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0D031" w14:textId="0E3DD823" w:rsidR="00783D45" w:rsidRDefault="00783D45">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w:t>
          </w:r>
          <w:r w:rsidR="00F75143">
            <w:rPr>
              <w:color w:val="000000"/>
              <w:lang w:val="fr-CH"/>
            </w:rPr>
            <w:t xml:space="preserve"> </w:t>
          </w:r>
          <w:r>
            <w:rPr>
              <w:color w:val="000000"/>
            </w:rPr>
            <w:t>-</w:t>
          </w:r>
        </w:p>
      </w:tc>
    </w:tr>
  </w:tbl>
  <w:p w14:paraId="56E8F236" w14:textId="77777777" w:rsidR="00783D45" w:rsidRDefault="00783D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CBCB0" w14:textId="77777777" w:rsidR="0064786D" w:rsidRDefault="006478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4CF"/>
    <w:rsid w:val="00022DBF"/>
    <w:rsid w:val="000A1454"/>
    <w:rsid w:val="00174195"/>
    <w:rsid w:val="00185445"/>
    <w:rsid w:val="001A1C6A"/>
    <w:rsid w:val="00234E34"/>
    <w:rsid w:val="003658FD"/>
    <w:rsid w:val="003B2289"/>
    <w:rsid w:val="004955B1"/>
    <w:rsid w:val="004C616F"/>
    <w:rsid w:val="00511A78"/>
    <w:rsid w:val="005B34CF"/>
    <w:rsid w:val="005C3AE6"/>
    <w:rsid w:val="005F4794"/>
    <w:rsid w:val="0064786D"/>
    <w:rsid w:val="00783D45"/>
    <w:rsid w:val="007946BA"/>
    <w:rsid w:val="007B0BAC"/>
    <w:rsid w:val="0093358B"/>
    <w:rsid w:val="00A775CC"/>
    <w:rsid w:val="00C02105"/>
    <w:rsid w:val="00E2792F"/>
    <w:rsid w:val="00E6417B"/>
    <w:rsid w:val="00EA29AF"/>
    <w:rsid w:val="00F32E9A"/>
    <w:rsid w:val="00F75143"/>
    <w:rsid w:val="00F84487"/>
    <w:rsid w:val="00FA503B"/>
    <w:rsid w:val="00FC787E"/>
    <w:rsid w:val="00FD0C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60F422"/>
  <w15:docId w15:val="{07D2EE38-E089-4390-9E56-D822375B4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paragraph" w:styleId="BalloonText">
    <w:name w:val="Balloon Text"/>
    <w:basedOn w:val="Normal"/>
    <w:link w:val="BalloonTextChar"/>
    <w:rsid w:val="005F4794"/>
    <w:pPr>
      <w:spacing w:before="0"/>
    </w:pPr>
    <w:rPr>
      <w:rFonts w:ascii="Tahoma" w:hAnsi="Tahoma" w:cs="Tahoma"/>
      <w:sz w:val="16"/>
      <w:szCs w:val="16"/>
    </w:rPr>
  </w:style>
  <w:style w:type="character" w:customStyle="1" w:styleId="BalloonTextChar">
    <w:name w:val="Balloon Text Char"/>
    <w:basedOn w:val="DefaultParagraphFont"/>
    <w:link w:val="BalloonText"/>
    <w:rsid w:val="005F479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0276E-55FD-4C24-8856-A6160766D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225</TotalTime>
  <Pages>6</Pages>
  <Words>1345</Words>
  <Characters>7672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21</dc:subject>
  <dc:creator>Composition des Publications</dc:creator>
  <cp:keywords>Folios: 1 - 4 (blanc)</cp:keywords>
  <dc:description>Edition 2009:  12.02.2009/DD (dict. ok)</dc:description>
  <cp:lastModifiedBy>Catalano Moreira, Rossana</cp:lastModifiedBy>
  <cp:revision>27</cp:revision>
  <cp:lastPrinted>2020-12-21T10:01:00Z</cp:lastPrinted>
  <dcterms:created xsi:type="dcterms:W3CDTF">2012-10-02T12:18:00Z</dcterms:created>
  <dcterms:modified xsi:type="dcterms:W3CDTF">2021-05-19T08:47:00Z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