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6BB7B" w14:textId="77777777" w:rsidR="00EC6757" w:rsidRPr="00292A81" w:rsidRDefault="00EC6757" w:rsidP="00292A81">
      <w:pPr>
        <w:pStyle w:val="Heading1"/>
        <w:spacing w:before="300"/>
        <w:jc w:val="center"/>
        <w:rPr>
          <w:lang w:val="es-ES_tradnl"/>
        </w:rPr>
      </w:pPr>
      <w:r w:rsidRPr="00292A81">
        <w:rPr>
          <w:lang w:val="es-ES_tradnl"/>
        </w:rPr>
        <w:t>Reglas relativas al</w:t>
      </w:r>
    </w:p>
    <w:p w14:paraId="3A2333C7" w14:textId="77777777" w:rsidR="00EC6757" w:rsidRDefault="00EC6757">
      <w:pPr>
        <w:pStyle w:val="Heading2"/>
        <w:jc w:val="center"/>
        <w:rPr>
          <w:lang w:val="es-ES_tradnl"/>
        </w:rPr>
      </w:pPr>
      <w:r w:rsidRPr="00292A81">
        <w:rPr>
          <w:lang w:val="es-ES_tradnl"/>
        </w:rPr>
        <w:t xml:space="preserve">ARTÍCULO </w:t>
      </w:r>
      <w:r w:rsidR="00292A81" w:rsidRPr="00292A81">
        <w:rPr>
          <w:lang w:val="es-ES_tradnl"/>
        </w:rPr>
        <w:t xml:space="preserve"> </w:t>
      </w:r>
      <w:r w:rsidRPr="00292A81">
        <w:rPr>
          <w:lang w:val="es-ES_tradnl"/>
        </w:rPr>
        <w:t>12 del RR</w:t>
      </w:r>
    </w:p>
    <w:p w14:paraId="738627D1" w14:textId="77777777" w:rsidR="0055601B" w:rsidRPr="0055601B" w:rsidRDefault="0055601B" w:rsidP="0055601B">
      <w:pPr>
        <w:spacing w:before="0"/>
        <w:rPr>
          <w:lang w:val="es-ES_tradnl"/>
        </w:rPr>
      </w:pPr>
    </w:p>
    <w:p w14:paraId="7CB2648C" w14:textId="77777777" w:rsidR="00EC6757" w:rsidRPr="00292A81" w:rsidRDefault="00EC6757" w:rsidP="00292A81">
      <w:pPr>
        <w:pStyle w:val="Heading8"/>
        <w:rPr>
          <w:lang w:val="es-ES_tradnl"/>
        </w:rPr>
      </w:pPr>
      <w:r w:rsidRPr="00292A81">
        <w:rPr>
          <w:rStyle w:val="href2"/>
          <w:lang w:val="es-ES_tradnl"/>
        </w:rPr>
        <w:t>12</w:t>
      </w:r>
      <w:r w:rsidRPr="00292A81">
        <w:rPr>
          <w:lang w:val="es-ES_tradnl"/>
        </w:rPr>
        <w:t>.9</w:t>
      </w:r>
    </w:p>
    <w:p w14:paraId="62C85727" w14:textId="77777777" w:rsidR="00EC6757" w:rsidRPr="00292A81" w:rsidRDefault="00EC6757">
      <w:pPr>
        <w:pStyle w:val="headingb1"/>
      </w:pPr>
      <w:r w:rsidRPr="00292A81">
        <w:t>Análisis técnicos</w:t>
      </w:r>
    </w:p>
    <w:p w14:paraId="3AC45C98" w14:textId="77777777" w:rsidR="00EC6757" w:rsidRPr="00292A81" w:rsidRDefault="00EC6757" w:rsidP="00292A81">
      <w:pPr>
        <w:rPr>
          <w:lang w:val="es-ES_tradnl"/>
        </w:rPr>
      </w:pPr>
      <w:r w:rsidRPr="00292A81">
        <w:rPr>
          <w:lang w:val="es-ES_tradnl"/>
        </w:rPr>
        <w:t>Los análisis técnicos se componen del cálculo de la propagación y del análisis de compati</w:t>
      </w:r>
      <w:r w:rsidRPr="00292A81">
        <w:rPr>
          <w:lang w:val="es-ES_tradnl"/>
        </w:rPr>
        <w:softHyphen/>
        <w:t>bilidad. Para ambos módulos, el cálculo de los diagramas de antena se efectuará utilizando la actual Recomendación UIT</w:t>
      </w:r>
      <w:r w:rsidRPr="00292A81">
        <w:rPr>
          <w:lang w:val="es-ES_tradnl"/>
        </w:rPr>
        <w:noBreakHyphen/>
        <w:t>R BS.705, la propagación se calculará conforme a la Recomen</w:t>
      </w:r>
      <w:r w:rsidR="00292A81" w:rsidRPr="00292A81">
        <w:rPr>
          <w:lang w:val="es-ES_tradnl"/>
        </w:rPr>
        <w:softHyphen/>
      </w:r>
      <w:r w:rsidRPr="00292A81">
        <w:rPr>
          <w:lang w:val="es-ES_tradnl"/>
        </w:rPr>
        <w:t>dación UIT</w:t>
      </w:r>
      <w:r w:rsidRPr="00292A81">
        <w:rPr>
          <w:lang w:val="es-ES_tradnl"/>
        </w:rPr>
        <w:noBreakHyphen/>
        <w:t>R P.533 y la fiabilidad conforme a la Recomendación UIT</w:t>
      </w:r>
      <w:r w:rsidRPr="00292A81">
        <w:rPr>
          <w:lang w:val="es-ES_tradnl"/>
        </w:rPr>
        <w:noBreakHyphen/>
        <w:t>R</w:t>
      </w:r>
      <w:r w:rsidR="00292A81">
        <w:rPr>
          <w:lang w:val="es-ES_tradnl"/>
        </w:rPr>
        <w:t xml:space="preserve"> </w:t>
      </w:r>
      <w:r w:rsidRPr="00292A81">
        <w:rPr>
          <w:lang w:val="es-ES_tradnl"/>
        </w:rPr>
        <w:t>P.842. Si se modifican algunas de estas Recomendaciones, la Oficina informará a todas las administra</w:t>
      </w:r>
      <w:r w:rsidR="00292A81">
        <w:rPr>
          <w:lang w:val="es-ES_tradnl"/>
        </w:rPr>
        <w:softHyphen/>
      </w:r>
      <w:r w:rsidRPr="00292A81">
        <w:rPr>
          <w:lang w:val="es-ES_tradnl"/>
        </w:rPr>
        <w:t>ciones cuando se aplique la modificación.</w:t>
      </w:r>
    </w:p>
    <w:p w14:paraId="1A20FC80" w14:textId="77777777" w:rsidR="00EC6757" w:rsidRPr="00292A81" w:rsidRDefault="00EC6757">
      <w:pPr>
        <w:rPr>
          <w:lang w:val="es-ES_tradnl"/>
        </w:rPr>
      </w:pPr>
      <w:r w:rsidRPr="00292A81">
        <w:rPr>
          <w:lang w:val="es-ES_tradnl"/>
        </w:rPr>
        <w:t>Los puntos de prueba a los que se refieren los cálculos de la propagación y el análisis de compatibilidad son los convenidos en la CAMR HFBC</w:t>
      </w:r>
      <w:r w:rsidRPr="00292A81">
        <w:rPr>
          <w:lang w:val="es-ES_tradnl"/>
        </w:rPr>
        <w:noBreakHyphen/>
        <w:t>87.</w:t>
      </w:r>
    </w:p>
    <w:p w14:paraId="7E8386B3" w14:textId="57A56445" w:rsidR="00EC6757" w:rsidRPr="00292A81" w:rsidRDefault="00EC6757">
      <w:pPr>
        <w:spacing w:line="240" w:lineRule="atLeast"/>
        <w:rPr>
          <w:lang w:val="es-ES_tradnl"/>
        </w:rPr>
      </w:pPr>
      <w:r w:rsidRPr="00292A81">
        <w:rPr>
          <w:b/>
          <w:lang w:val="es-ES_tradnl"/>
        </w:rPr>
        <w:t>El cálculo de la propagación</w:t>
      </w:r>
      <w:r w:rsidRPr="00292A81">
        <w:rPr>
          <w:lang w:val="es-ES_tradnl"/>
        </w:rPr>
        <w:t xml:space="preserve"> se efectuará para todas las bandas a las que se aplique el Artículo </w:t>
      </w:r>
      <w:r w:rsidRPr="00292A81">
        <w:rPr>
          <w:rStyle w:val="Artref"/>
          <w:b/>
          <w:bCs/>
          <w:color w:val="000000"/>
          <w:lang w:val="es-ES_tradnl"/>
        </w:rPr>
        <w:t>12</w:t>
      </w:r>
      <w:r w:rsidRPr="00292A81">
        <w:rPr>
          <w:lang w:val="es-ES_tradnl"/>
        </w:rPr>
        <w:t xml:space="preserve"> y en todos los puntos de prueba de la zona de servicio requerida. El cálculo se efectuará a la frecuencia central de la banda de radiodifusión en cuestión. Habrá un cálculo para cada hora de utilización total o parcial y este cálculo se efectuará para la hora H+30 min. Por ejemplo, un horario de funcionamiento de 02H15 a 04H05 dará lugar a cálculos a las</w:t>
      </w:r>
      <w:r w:rsidR="003C13AA">
        <w:rPr>
          <w:lang w:val="es-ES_tradnl"/>
        </w:rPr>
        <w:t xml:space="preserve"> </w:t>
      </w:r>
      <w:r w:rsidRPr="00292A81">
        <w:rPr>
          <w:lang w:val="es-ES_tradnl"/>
        </w:rPr>
        <w:t>02H30, 03H30 y 04H30.</w:t>
      </w:r>
    </w:p>
    <w:p w14:paraId="16D376D1" w14:textId="77777777" w:rsidR="00EC6757" w:rsidRPr="00292A81" w:rsidRDefault="00EC6757">
      <w:pPr>
        <w:spacing w:line="240" w:lineRule="atLeast"/>
        <w:rPr>
          <w:lang w:val="es-ES_tradnl"/>
        </w:rPr>
      </w:pPr>
      <w:r w:rsidRPr="00292A81">
        <w:rPr>
          <w:lang w:val="es-ES_tradnl"/>
        </w:rPr>
        <w:t>Los resultados se darán para cada hora en forma de:</w:t>
      </w:r>
    </w:p>
    <w:p w14:paraId="4981F815" w14:textId="77777777" w:rsidR="00EC6757" w:rsidRPr="00292A81" w:rsidRDefault="00EC6757">
      <w:pPr>
        <w:pStyle w:val="enumlev1"/>
        <w:spacing w:line="240" w:lineRule="atLeast"/>
        <w:rPr>
          <w:lang w:val="es-ES_tradnl"/>
        </w:rPr>
      </w:pPr>
      <w:r w:rsidRPr="00292A81">
        <w:rPr>
          <w:lang w:val="es-ES_tradnl"/>
        </w:rPr>
        <w:t>–</w:t>
      </w:r>
      <w:r w:rsidRPr="00292A81">
        <w:rPr>
          <w:lang w:val="es-ES_tradnl"/>
        </w:rPr>
        <w:tab/>
        <w:t>la fiabilidad básica del servicio en la zona de servicio solicitada;</w:t>
      </w:r>
    </w:p>
    <w:p w14:paraId="1A171466" w14:textId="77777777" w:rsidR="00EC6757" w:rsidRPr="00292A81" w:rsidRDefault="00EC6757">
      <w:pPr>
        <w:pStyle w:val="enumlev1"/>
        <w:spacing w:line="240" w:lineRule="atLeast"/>
        <w:rPr>
          <w:lang w:val="es-ES_tradnl"/>
        </w:rPr>
      </w:pPr>
      <w:r w:rsidRPr="00292A81">
        <w:rPr>
          <w:lang w:val="es-ES_tradnl"/>
        </w:rPr>
        <w:t>–</w:t>
      </w:r>
      <w:r w:rsidRPr="00292A81">
        <w:rPr>
          <w:lang w:val="es-ES_tradnl"/>
        </w:rPr>
        <w:tab/>
        <w:t>o la fiabilidad básica del circuito para cada punto de prueba en la zona de servicio requerida;</w:t>
      </w:r>
    </w:p>
    <w:p w14:paraId="02764D92" w14:textId="77777777" w:rsidR="00EC6757" w:rsidRPr="00292A81" w:rsidRDefault="00EC6757">
      <w:pPr>
        <w:pStyle w:val="enumlev1"/>
        <w:spacing w:line="240" w:lineRule="atLeast"/>
        <w:rPr>
          <w:lang w:val="es-ES_tradnl"/>
        </w:rPr>
      </w:pPr>
      <w:r w:rsidRPr="00292A81">
        <w:rPr>
          <w:lang w:val="es-ES_tradnl"/>
        </w:rPr>
        <w:t>–</w:t>
      </w:r>
      <w:r w:rsidRPr="00292A81">
        <w:rPr>
          <w:lang w:val="es-ES_tradnl"/>
        </w:rPr>
        <w:tab/>
        <w:t>o la potencia en el receptor para cada punto de prueba en la zona de servicio requerida;</w:t>
      </w:r>
    </w:p>
    <w:p w14:paraId="0F8A9C94" w14:textId="77777777" w:rsidR="00EC6757" w:rsidRPr="00292A81" w:rsidRDefault="00EC6757">
      <w:pPr>
        <w:pStyle w:val="enumlev1"/>
        <w:spacing w:line="240" w:lineRule="atLeast"/>
        <w:rPr>
          <w:lang w:val="es-ES_tradnl"/>
        </w:rPr>
      </w:pPr>
      <w:r w:rsidRPr="00292A81">
        <w:rPr>
          <w:lang w:val="es-ES_tradnl"/>
        </w:rPr>
        <w:t>–</w:t>
      </w:r>
      <w:r w:rsidRPr="00292A81">
        <w:rPr>
          <w:lang w:val="es-ES_tradnl"/>
        </w:rPr>
        <w:tab/>
        <w:t>o la intensidad de campo recibida por la antena receptora de referencia.</w:t>
      </w:r>
    </w:p>
    <w:p w14:paraId="53A598A2" w14:textId="77777777" w:rsidR="00EC6757" w:rsidRPr="00292A81" w:rsidRDefault="00EC6757" w:rsidP="00292A81">
      <w:pPr>
        <w:rPr>
          <w:lang w:val="es-ES_tradnl"/>
        </w:rPr>
      </w:pPr>
      <w:r w:rsidRPr="00292A81">
        <w:rPr>
          <w:b/>
          <w:lang w:val="es-ES_tradnl"/>
        </w:rPr>
        <w:t>El análisis de compatibilidad</w:t>
      </w:r>
      <w:r w:rsidRPr="00292A81">
        <w:rPr>
          <w:lang w:val="es-ES_tradnl"/>
        </w:rPr>
        <w:t xml:space="preserve"> se efectuará en todos los puntos de prueba dentro de la zona de servicio requerida. Puede basarse en valores </w:t>
      </w:r>
      <w:proofErr w:type="spellStart"/>
      <w:r w:rsidRPr="00292A81">
        <w:rPr>
          <w:lang w:val="es-ES_tradnl"/>
        </w:rPr>
        <w:t>precalculados</w:t>
      </w:r>
      <w:proofErr w:type="spellEnd"/>
      <w:r w:rsidRPr="00292A81">
        <w:rPr>
          <w:lang w:val="es-ES_tradnl"/>
        </w:rPr>
        <w:t xml:space="preserve"> o en la potencia recibida en los 911 puntos de prueba, o en valores que han de calcularse en el computador del usuario. Las horas para las que se realizan los cálculos vienen determinadas en la misma forma que en el cálculo de propagación.</w:t>
      </w:r>
    </w:p>
    <w:p w14:paraId="12DD588B" w14:textId="2F2C1544" w:rsidR="00EC6757" w:rsidRDefault="00EC6757">
      <w:pPr>
        <w:rPr>
          <w:lang w:val="es-ES_tradnl"/>
        </w:rPr>
      </w:pPr>
      <w:r w:rsidRPr="00292A81">
        <w:rPr>
          <w:lang w:val="es-ES_tradnl"/>
        </w:rPr>
        <w:t>El análisis de compatibilidad muestra la fiabilidad total del servicio para todos los puntos de prueba en la zona de servicio requerida y la fiabilidad total de la zona para estos puntos de prueba. También se indicarán las fuentes máximas de interferencia en cada punto de prueba.</w:t>
      </w:r>
    </w:p>
    <w:p w14:paraId="4938A1F3" w14:textId="4C38C004" w:rsidR="00E31033" w:rsidRDefault="00E31033" w:rsidP="00E31033">
      <w:pPr>
        <w:rPr>
          <w:lang w:val="es-ES_tradnl"/>
        </w:rPr>
      </w:pPr>
      <w:r>
        <w:rPr>
          <w:lang w:val="es-ES_tradnl"/>
        </w:rPr>
        <w:br w:type="page"/>
      </w:r>
    </w:p>
    <w:p w14:paraId="509A903B" w14:textId="4B820439" w:rsidR="00EC6757" w:rsidRPr="00292A81" w:rsidRDefault="00EC6757" w:rsidP="0055601B">
      <w:pPr>
        <w:rPr>
          <w:lang w:val="es-ES_tradnl"/>
        </w:rPr>
      </w:pPr>
      <w:r w:rsidRPr="00292A81">
        <w:rPr>
          <w:lang w:val="es-ES_tradnl"/>
        </w:rPr>
        <w:lastRenderedPageBreak/>
        <w:t>Para estos cálculos, los valores de fiabilidad se refieren a la utilización de una sola frecuencia. En el caso de emisiones DBL, la relación señal/ruido en RF será de 34</w:t>
      </w:r>
      <w:r w:rsidR="00292A81">
        <w:rPr>
          <w:lang w:val="es-ES_tradnl"/>
        </w:rPr>
        <w:t xml:space="preserve"> </w:t>
      </w:r>
      <w:r w:rsidRPr="00292A81">
        <w:rPr>
          <w:lang w:val="es-ES_tradnl"/>
        </w:rPr>
        <w:t>dB y las relaciones de protección en RF se tomarán del Anexo</w:t>
      </w:r>
      <w:r w:rsidR="0055601B">
        <w:rPr>
          <w:lang w:val="es-ES_tradnl"/>
        </w:rPr>
        <w:t xml:space="preserve"> </w:t>
      </w:r>
      <w:r w:rsidRPr="00292A81">
        <w:rPr>
          <w:lang w:val="es-ES_tradnl"/>
        </w:rPr>
        <w:t>4 a la Recomendación UIT</w:t>
      </w:r>
      <w:r w:rsidRPr="00292A81">
        <w:rPr>
          <w:lang w:val="es-ES_tradnl"/>
        </w:rPr>
        <w:noBreakHyphen/>
        <w:t>R</w:t>
      </w:r>
      <w:r w:rsidR="00292A81">
        <w:rPr>
          <w:lang w:val="es-ES_tradnl"/>
        </w:rPr>
        <w:t xml:space="preserve"> </w:t>
      </w:r>
      <w:r w:rsidRPr="00292A81">
        <w:rPr>
          <w:lang w:val="es-ES_tradnl"/>
        </w:rPr>
        <w:t xml:space="preserve">BS.560 (17 dB para la relación </w:t>
      </w:r>
      <w:proofErr w:type="spellStart"/>
      <w:r w:rsidRPr="00292A81">
        <w:rPr>
          <w:lang w:val="es-ES_tradnl"/>
        </w:rPr>
        <w:t>cocanal</w:t>
      </w:r>
      <w:proofErr w:type="spellEnd"/>
      <w:r w:rsidRPr="00292A81">
        <w:rPr>
          <w:lang w:val="es-ES_tradnl"/>
        </w:rPr>
        <w:t>). En el caso de emisiones digitales, las relaciones deseadas señal/ruido en RF figuran en la versión más reciente de la Recomendación UIT-R BS.1615 y las relaciones de protección en RF figuran en la Sección 1 del Anexo a la Resolución </w:t>
      </w:r>
      <w:r w:rsidRPr="00292A81">
        <w:rPr>
          <w:rStyle w:val="Resref"/>
          <w:b/>
          <w:bCs/>
          <w:color w:val="000000"/>
          <w:lang w:val="es-ES_tradnl"/>
        </w:rPr>
        <w:t>543</w:t>
      </w:r>
      <w:r w:rsidRPr="00292A81">
        <w:rPr>
          <w:lang w:val="es-ES_tradnl"/>
        </w:rPr>
        <w:t xml:space="preserve"> </w:t>
      </w:r>
      <w:r w:rsidRPr="00292A81">
        <w:rPr>
          <w:b/>
          <w:bCs/>
          <w:lang w:val="es-ES_tradnl"/>
        </w:rPr>
        <w:t>(</w:t>
      </w:r>
      <w:r w:rsidR="00757AF8">
        <w:rPr>
          <w:b/>
          <w:bCs/>
          <w:lang w:val="es-ES_tradnl"/>
        </w:rPr>
        <w:t>Rev.</w:t>
      </w:r>
      <w:r w:rsidRPr="00292A81">
        <w:rPr>
          <w:b/>
          <w:bCs/>
          <w:lang w:val="es-ES_tradnl"/>
        </w:rPr>
        <w:t>CMR</w:t>
      </w:r>
      <w:r w:rsidRPr="00292A81">
        <w:rPr>
          <w:b/>
          <w:bCs/>
          <w:lang w:val="es-ES_tradnl"/>
        </w:rPr>
        <w:noBreakHyphen/>
      </w:r>
      <w:r w:rsidR="00D92A9D">
        <w:rPr>
          <w:b/>
          <w:bCs/>
          <w:lang w:val="es-ES_tradnl"/>
        </w:rPr>
        <w:t>19</w:t>
      </w:r>
      <w:r w:rsidRPr="00292A81">
        <w:rPr>
          <w:b/>
          <w:bCs/>
          <w:lang w:val="es-ES_tradnl"/>
        </w:rPr>
        <w:t>)</w:t>
      </w:r>
      <w:r w:rsidRPr="00292A81">
        <w:rPr>
          <w:lang w:val="es-ES_tradnl"/>
        </w:rPr>
        <w:t>.</w:t>
      </w:r>
    </w:p>
    <w:p w14:paraId="549C0910" w14:textId="77777777" w:rsidR="00EC6757" w:rsidRPr="00292A81" w:rsidRDefault="00EC6757">
      <w:pPr>
        <w:rPr>
          <w:lang w:val="es-ES_tradnl"/>
        </w:rPr>
      </w:pPr>
      <w:r w:rsidRPr="00292A81">
        <w:rPr>
          <w:lang w:val="es-ES_tradnl"/>
        </w:rPr>
        <w:t xml:space="preserve">El usuario puede decidir la elección de otros valores de la relación señal/ruido y de la relación de protección en RF </w:t>
      </w:r>
      <w:proofErr w:type="spellStart"/>
      <w:r w:rsidRPr="00292A81">
        <w:rPr>
          <w:lang w:val="es-ES_tradnl"/>
        </w:rPr>
        <w:t>cocanal</w:t>
      </w:r>
      <w:proofErr w:type="spellEnd"/>
      <w:r w:rsidRPr="00292A81">
        <w:rPr>
          <w:lang w:val="es-ES_tradnl"/>
        </w:rPr>
        <w:t xml:space="preserve"> y no considerar la interferencia de canal adyacente con dife</w:t>
      </w:r>
      <w:r w:rsidRPr="00292A81">
        <w:rPr>
          <w:lang w:val="es-ES_tradnl"/>
        </w:rPr>
        <w:softHyphen/>
        <w:t>rencias de frecuencias superiores a un valor determinado.</w:t>
      </w:r>
    </w:p>
    <w:p w14:paraId="01149EA8" w14:textId="77777777" w:rsidR="00EC6757" w:rsidRPr="00292A81" w:rsidRDefault="00EC6757" w:rsidP="00292A81">
      <w:pPr>
        <w:rPr>
          <w:lang w:val="es-ES_tradnl"/>
        </w:rPr>
      </w:pPr>
    </w:p>
    <w:p w14:paraId="0F173F78" w14:textId="77777777" w:rsidR="00EC6757" w:rsidRPr="00292A81" w:rsidRDefault="00EC6757">
      <w:pPr>
        <w:jc w:val="center"/>
        <w:rPr>
          <w:lang w:val="es-ES_tradnl"/>
        </w:rPr>
      </w:pPr>
      <w:r w:rsidRPr="00292A81">
        <w:rPr>
          <w:lang w:val="es-ES_tradnl"/>
        </w:rPr>
        <w:t>____________________</w:t>
      </w:r>
    </w:p>
    <w:p w14:paraId="09EA870F" w14:textId="77777777" w:rsidR="00EC6757" w:rsidRPr="00292A81" w:rsidRDefault="00EC6757" w:rsidP="00292A81">
      <w:pPr>
        <w:rPr>
          <w:lang w:val="es-ES_tradnl"/>
        </w:rPr>
      </w:pPr>
    </w:p>
    <w:p w14:paraId="054C0CBA" w14:textId="77777777" w:rsidR="00EC6757" w:rsidRPr="00292A81" w:rsidRDefault="00EC6757" w:rsidP="00292A81">
      <w:pPr>
        <w:rPr>
          <w:lang w:val="es-ES_tradnl"/>
        </w:rPr>
      </w:pPr>
    </w:p>
    <w:p w14:paraId="5190F53A" w14:textId="77777777" w:rsidR="00EC6757" w:rsidRPr="00292A81" w:rsidRDefault="00EC6757" w:rsidP="00292A81">
      <w:pPr>
        <w:rPr>
          <w:lang w:val="es-ES_tradnl"/>
        </w:rPr>
      </w:pPr>
    </w:p>
    <w:p w14:paraId="411C965D" w14:textId="77777777" w:rsidR="00EC6757" w:rsidRPr="00292A81" w:rsidRDefault="00EC6757" w:rsidP="00292A81">
      <w:pPr>
        <w:rPr>
          <w:lang w:val="es-ES_tradnl"/>
        </w:rPr>
      </w:pPr>
    </w:p>
    <w:p w14:paraId="00C13951" w14:textId="77777777" w:rsidR="00EC6757" w:rsidRPr="00292A81" w:rsidRDefault="00EC6757" w:rsidP="00292A81">
      <w:pPr>
        <w:rPr>
          <w:lang w:val="es-ES_tradnl"/>
        </w:rPr>
      </w:pPr>
    </w:p>
    <w:p w14:paraId="0FC08F80" w14:textId="77777777" w:rsidR="00EC6757" w:rsidRPr="00292A81" w:rsidRDefault="00EC6757" w:rsidP="00292A81">
      <w:pPr>
        <w:rPr>
          <w:lang w:val="es-ES_tradnl"/>
        </w:rPr>
      </w:pPr>
    </w:p>
    <w:p w14:paraId="694DE862" w14:textId="77777777" w:rsidR="00EC6757" w:rsidRPr="00292A81" w:rsidRDefault="00EC6757" w:rsidP="00292A81">
      <w:pPr>
        <w:rPr>
          <w:lang w:val="es-ES_tradnl"/>
        </w:rPr>
      </w:pPr>
    </w:p>
    <w:p w14:paraId="6CD8D67F" w14:textId="77777777" w:rsidR="00EC6757" w:rsidRPr="00292A81" w:rsidRDefault="00EC6757" w:rsidP="00292A81">
      <w:pPr>
        <w:rPr>
          <w:lang w:val="es-ES_tradnl"/>
        </w:rPr>
      </w:pPr>
    </w:p>
    <w:p w14:paraId="55A9B508" w14:textId="77777777" w:rsidR="00EC6757" w:rsidRPr="00292A81" w:rsidRDefault="00EC6757" w:rsidP="00292A81">
      <w:pPr>
        <w:rPr>
          <w:lang w:val="es-ES_tradnl"/>
        </w:rPr>
      </w:pPr>
    </w:p>
    <w:p w14:paraId="6A92C726" w14:textId="77777777" w:rsidR="00EC6757" w:rsidRPr="00292A81" w:rsidRDefault="00EC6757" w:rsidP="00292A81">
      <w:pPr>
        <w:rPr>
          <w:lang w:val="es-ES_tradnl"/>
        </w:rPr>
      </w:pPr>
    </w:p>
    <w:p w14:paraId="1BEEF571" w14:textId="77777777" w:rsidR="00EC6757" w:rsidRPr="00292A81" w:rsidRDefault="00EC6757" w:rsidP="00292A81">
      <w:pPr>
        <w:rPr>
          <w:lang w:val="es-ES_tradnl"/>
        </w:rPr>
      </w:pPr>
    </w:p>
    <w:p w14:paraId="394AB476" w14:textId="77777777" w:rsidR="00EC6757" w:rsidRPr="00292A81" w:rsidRDefault="00EC6757" w:rsidP="00292A81">
      <w:pPr>
        <w:rPr>
          <w:lang w:val="es-ES_tradnl"/>
        </w:rPr>
      </w:pPr>
    </w:p>
    <w:p w14:paraId="01F9E67E" w14:textId="77777777" w:rsidR="00EC6757" w:rsidRPr="00292A81" w:rsidRDefault="00EC6757" w:rsidP="00292A81">
      <w:pPr>
        <w:rPr>
          <w:lang w:val="es-ES_tradnl"/>
        </w:rPr>
      </w:pPr>
    </w:p>
    <w:p w14:paraId="6B0C1828" w14:textId="77777777" w:rsidR="00EC6757" w:rsidRPr="00292A81" w:rsidRDefault="00EC6757" w:rsidP="00292A81">
      <w:pPr>
        <w:rPr>
          <w:lang w:val="es-ES_tradnl"/>
        </w:rPr>
      </w:pPr>
    </w:p>
    <w:p w14:paraId="4A07B310" w14:textId="77777777" w:rsidR="00EC6757" w:rsidRPr="00292A81" w:rsidRDefault="00EC6757" w:rsidP="00292A81">
      <w:pPr>
        <w:rPr>
          <w:lang w:val="es-ES_tradnl"/>
        </w:rPr>
      </w:pPr>
    </w:p>
    <w:p w14:paraId="246D5963" w14:textId="77777777" w:rsidR="00EC6757" w:rsidRPr="00292A81" w:rsidRDefault="00EC6757" w:rsidP="00292A81">
      <w:pPr>
        <w:rPr>
          <w:lang w:val="es-ES_tradnl"/>
        </w:rPr>
      </w:pPr>
    </w:p>
    <w:p w14:paraId="120AE603" w14:textId="77777777" w:rsidR="00EC6757" w:rsidRPr="00292A81" w:rsidRDefault="00EC6757" w:rsidP="00292A81">
      <w:pPr>
        <w:rPr>
          <w:lang w:val="es-ES_tradnl"/>
        </w:rPr>
      </w:pPr>
    </w:p>
    <w:p w14:paraId="4726B9A9" w14:textId="77777777" w:rsidR="00EC6757" w:rsidRPr="00292A81" w:rsidRDefault="00EC6757" w:rsidP="00292A81">
      <w:pPr>
        <w:rPr>
          <w:lang w:val="es-ES_tradnl"/>
        </w:rPr>
      </w:pPr>
    </w:p>
    <w:p w14:paraId="33AD678E" w14:textId="77777777" w:rsidR="00292A81" w:rsidRPr="00292A81" w:rsidRDefault="00292A81" w:rsidP="00292A81">
      <w:pPr>
        <w:rPr>
          <w:lang w:val="es-ES_tradnl"/>
        </w:rPr>
      </w:pPr>
    </w:p>
    <w:p w14:paraId="1E6A804A" w14:textId="77777777" w:rsidR="00EC6757" w:rsidRPr="00292A81" w:rsidRDefault="00EC6757" w:rsidP="00292A81">
      <w:pPr>
        <w:rPr>
          <w:lang w:val="es-ES_tradnl"/>
        </w:rPr>
        <w:sectPr w:rsidR="00EC6757" w:rsidRPr="00292A81">
          <w:headerReference w:type="even" r:id="rId6"/>
          <w:headerReference w:type="default" r:id="rId7"/>
          <w:footerReference w:type="even" r:id="rId8"/>
          <w:footerReference w:type="default" r:id="rId9"/>
          <w:headerReference w:type="first" r:id="rId10"/>
          <w:footerReference w:type="first" r:id="rId11"/>
          <w:footnotePr>
            <w:pos w:val="beneathText"/>
          </w:footnotePr>
          <w:type w:val="oddPage"/>
          <w:pgSz w:w="11907" w:h="16840" w:code="9"/>
          <w:pgMar w:top="1701" w:right="851" w:bottom="1134" w:left="1985" w:header="720" w:footer="482" w:gutter="0"/>
          <w:cols w:space="720"/>
          <w:vAlign w:val="both"/>
          <w:titlePg/>
        </w:sectPr>
      </w:pPr>
    </w:p>
    <w:p w14:paraId="76C85838" w14:textId="77777777" w:rsidR="00EC6757" w:rsidRPr="00292A81" w:rsidRDefault="00EC6757" w:rsidP="00292A81">
      <w:pPr>
        <w:rPr>
          <w:lang w:val="es-ES_tradnl"/>
        </w:rPr>
      </w:pPr>
    </w:p>
    <w:sectPr w:rsidR="00EC6757" w:rsidRPr="00292A81">
      <w:headerReference w:type="even" r:id="rId12"/>
      <w:headerReference w:type="default" r:id="rId13"/>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84FD6" w14:textId="77777777" w:rsidR="00E7687E" w:rsidRDefault="00E7687E">
      <w:r>
        <w:separator/>
      </w:r>
    </w:p>
  </w:endnote>
  <w:endnote w:type="continuationSeparator" w:id="0">
    <w:p w14:paraId="61F82335" w14:textId="77777777" w:rsidR="00E7687E" w:rsidRDefault="00E7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27F14" w14:textId="77777777" w:rsidR="007E2213" w:rsidRDefault="007E22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F73B6" w14:textId="77777777" w:rsidR="007E2213" w:rsidRDefault="007E22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16BBD" w14:textId="77777777" w:rsidR="007E2213" w:rsidRDefault="007E2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D452A" w14:textId="77777777" w:rsidR="00E7687E" w:rsidRDefault="00E7687E">
      <w:r>
        <w:rPr>
          <w:b/>
        </w:rPr>
        <w:t>_______________</w:t>
      </w:r>
    </w:p>
  </w:footnote>
  <w:footnote w:type="continuationSeparator" w:id="0">
    <w:p w14:paraId="1E2B64DB" w14:textId="77777777" w:rsidR="00E7687E" w:rsidRDefault="00E76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6757" w14:paraId="1E78367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3D7B3F7" w14:textId="6191C03F" w:rsidR="00EC6757" w:rsidRDefault="00EC675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51FF1D5" w14:textId="2C02EAB9" w:rsidR="00EC6757" w:rsidRDefault="00EC6757">
          <w:pPr>
            <w:pStyle w:val="HeaderRegProc"/>
          </w:pPr>
          <w:r>
            <w:rPr>
              <w:color w:val="000000"/>
            </w:rPr>
            <w:fldChar w:fldCharType="begin"/>
          </w:r>
          <w:r>
            <w:rPr>
              <w:color w:val="000000"/>
              <w:lang w:val="fr-FR"/>
            </w:rPr>
            <w:instrText xml:space="preserve"> DOCPROPERTY "Header" \* MERGEFORMAT </w:instrText>
          </w:r>
          <w:r>
            <w:rPr>
              <w:color w:val="000000"/>
            </w:rPr>
            <w:fldChar w:fldCharType="separate"/>
          </w:r>
          <w:r w:rsidR="00D679B6">
            <w:rPr>
              <w:color w:val="000000"/>
              <w:lang w:val="fr-FR"/>
            </w:rPr>
            <w:t>AR</w:t>
          </w:r>
          <w:r>
            <w:rPr>
              <w:color w:val="000000"/>
            </w:rPr>
            <w:fldChar w:fldCharType="end"/>
          </w:r>
          <w:r>
            <w:rPr>
              <w:color w:val="000000"/>
            </w:rPr>
            <w:fldChar w:fldCharType="begin"/>
          </w:r>
          <w:r>
            <w:rPr>
              <w:color w:val="000000"/>
              <w:lang w:val="fr-FR"/>
            </w:rPr>
            <w:instrText>styleref href2</w:instrText>
          </w:r>
          <w:r>
            <w:rPr>
              <w:color w:val="000000"/>
            </w:rPr>
            <w:fldChar w:fldCharType="separate"/>
          </w:r>
          <w:r w:rsidR="007E2213">
            <w:rPr>
              <w:noProof/>
              <w:color w:val="000000"/>
              <w:lang w:val="fr-FR"/>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8D4FD1" w14:textId="77777777" w:rsidR="00EC6757" w:rsidRDefault="00EC6757">
          <w:pPr>
            <w:pStyle w:val="HeaderRegProc"/>
            <w:rPr>
              <w:lang w:val="fr-CH"/>
            </w:rPr>
          </w:pPr>
          <w:r>
            <w:t xml:space="preserve">página </w:t>
          </w:r>
          <w:r>
            <w:rPr>
              <w:rStyle w:val="PageNumber"/>
            </w:rPr>
            <w:fldChar w:fldCharType="begin"/>
          </w:r>
          <w:r>
            <w:rPr>
              <w:rStyle w:val="PageNumber"/>
            </w:rPr>
            <w:instrText xml:space="preserve"> PAGE </w:instrText>
          </w:r>
          <w:r>
            <w:rPr>
              <w:rStyle w:val="PageNumber"/>
            </w:rPr>
            <w:fldChar w:fldCharType="separate"/>
          </w:r>
          <w:r w:rsidR="0017350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3C0427" w14:textId="2F220284" w:rsidR="00EC6757" w:rsidRDefault="00EC6757">
          <w:pPr>
            <w:pStyle w:val="HeaderRegProc"/>
            <w:rPr>
              <w:lang w:val="fr-CH"/>
            </w:rPr>
          </w:pPr>
          <w:proofErr w:type="spellStart"/>
          <w:proofErr w:type="gramStart"/>
          <w:r>
            <w:rPr>
              <w:lang w:val="fr-CH"/>
            </w:rPr>
            <w:t>rev</w:t>
          </w:r>
          <w:proofErr w:type="spellEnd"/>
          <w:proofErr w:type="gramEnd"/>
          <w:r>
            <w:rPr>
              <w:lang w:val="fr-CH"/>
            </w:rPr>
            <w:t>.</w:t>
          </w:r>
          <w:r w:rsidR="007E2213">
            <w:rPr>
              <w:lang w:val="fr-CH"/>
            </w:rPr>
            <w:t xml:space="preserve"> </w:t>
          </w:r>
          <w:r>
            <w:fldChar w:fldCharType="begin"/>
          </w:r>
          <w:r>
            <w:rPr>
              <w:lang w:val="fr-CH"/>
            </w:rPr>
            <w:instrText xml:space="preserve"> DOCPROPERTY "Header10" \* MERGEFORMAT </w:instrText>
          </w:r>
          <w:r>
            <w:fldChar w:fldCharType="separate"/>
          </w:r>
          <w:r w:rsidR="00D679B6">
            <w:rPr>
              <w:lang w:val="fr-CH"/>
            </w:rPr>
            <w:t>-</w:t>
          </w:r>
          <w:r>
            <w:fldChar w:fldCharType="end"/>
          </w:r>
        </w:p>
      </w:tc>
    </w:tr>
  </w:tbl>
  <w:p w14:paraId="04CF4FF3" w14:textId="77777777" w:rsidR="00EC6757" w:rsidRDefault="00EC6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6E20E" w14:textId="77777777" w:rsidR="007E2213" w:rsidRDefault="007E22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6757" w14:paraId="4204446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D727640" w14:textId="77777777" w:rsidR="00EC6757" w:rsidRDefault="00EC6757">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7B2F3982" w14:textId="2D3EE49C" w:rsidR="00EC6757" w:rsidRDefault="00EC6757">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679B6">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E2213">
            <w:rPr>
              <w:noProof/>
              <w:color w:val="000000"/>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BE1C46" w14:textId="77777777" w:rsidR="00EC6757" w:rsidRDefault="00EC6757">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7350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4F8092" w14:textId="5F3575FB" w:rsidR="00EC6757" w:rsidRDefault="00EC6757">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w:t>
          </w:r>
          <w:r w:rsidR="00D1510D">
            <w:rPr>
              <w:color w:val="000000"/>
              <w:lang w:val="fr-CH"/>
            </w:rPr>
            <w:t xml:space="preserve"> </w:t>
          </w:r>
          <w:r>
            <w:rPr>
              <w:color w:val="000000"/>
            </w:rPr>
            <w:t>-</w:t>
          </w:r>
        </w:p>
      </w:tc>
    </w:tr>
  </w:tbl>
  <w:p w14:paraId="38C0AAFD" w14:textId="77777777" w:rsidR="00EC6757" w:rsidRDefault="00EC67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6757" w14:paraId="48BB3A1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490F3BF" w14:textId="70F4A549" w:rsidR="00EC6757" w:rsidRPr="00D92A9D" w:rsidRDefault="00EC6757">
          <w:pPr>
            <w:pStyle w:val="HeaderRegProc"/>
            <w:rPr>
              <w:lang w:val="en-GB"/>
            </w:rPr>
          </w:pPr>
          <w:proofErr w:type="spellStart"/>
          <w:r w:rsidRPr="00D92A9D">
            <w:rPr>
              <w:lang w:val="en-GB"/>
            </w:rPr>
            <w:t>Parte</w:t>
          </w:r>
          <w:proofErr w:type="spellEnd"/>
          <w:r w:rsidRPr="00D92A9D">
            <w:rPr>
              <w:lang w:val="en-GB"/>
            </w:rPr>
            <w:t xml:space="preserve"> </w:t>
          </w:r>
          <w:r>
            <w:fldChar w:fldCharType="begin"/>
          </w:r>
          <w:r w:rsidRPr="00D92A9D">
            <w:rPr>
              <w:lang w:val="en-GB"/>
            </w:rPr>
            <w:instrText>styleref href</w:instrText>
          </w:r>
          <w:r>
            <w:fldChar w:fldCharType="separate"/>
          </w:r>
          <w:r w:rsidR="00D679B6">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7E3BF40" w14:textId="0226CDB1" w:rsidR="00EC6757" w:rsidRDefault="007E2213">
          <w:pPr>
            <w:pStyle w:val="HeaderRegProc"/>
            <w:rPr>
              <w:lang w:val="fr-FR"/>
            </w:rPr>
          </w:pPr>
          <w:r>
            <w:fldChar w:fldCharType="begin"/>
          </w:r>
          <w:r>
            <w:instrText xml:space="preserve"> DOCPROPERTY "Header" \* MERGEFORMAT </w:instrText>
          </w:r>
          <w:r>
            <w:fldChar w:fldCharType="separate"/>
          </w:r>
          <w:r w:rsidR="00D679B6">
            <w:t>AR</w:t>
          </w:r>
          <w:r>
            <w:fldChar w:fldCharType="end"/>
          </w:r>
          <w:r w:rsidR="00EC6757">
            <w:fldChar w:fldCharType="begin"/>
          </w:r>
          <w:r w:rsidR="00EC6757">
            <w:instrText>styleref href2</w:instrText>
          </w:r>
          <w:r w:rsidR="00EC6757">
            <w:fldChar w:fldCharType="separate"/>
          </w:r>
          <w:r w:rsidR="00D679B6">
            <w:rPr>
              <w:noProof/>
            </w:rPr>
            <w:t>12</w:t>
          </w:r>
          <w:r w:rsidR="00EC6757">
            <w:fldChar w:fldCharType="end"/>
          </w:r>
        </w:p>
      </w:tc>
      <w:tc>
        <w:tcPr>
          <w:tcW w:w="1701" w:type="dxa"/>
          <w:tcBorders>
            <w:top w:val="single" w:sz="6" w:space="0" w:color="auto"/>
            <w:left w:val="single" w:sz="6" w:space="0" w:color="auto"/>
            <w:bottom w:val="single" w:sz="6" w:space="0" w:color="auto"/>
            <w:right w:val="single" w:sz="6" w:space="0" w:color="auto"/>
          </w:tcBorders>
        </w:tcPr>
        <w:p w14:paraId="272CE46D" w14:textId="77777777" w:rsidR="00EC6757" w:rsidRDefault="00EC6757">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43EBD7" w14:textId="13EF8B20" w:rsidR="00EC6757" w:rsidRDefault="00EC6757">
          <w:pPr>
            <w:pStyle w:val="HeaderRegProc"/>
            <w:rPr>
              <w:lang w:val="fr-CH"/>
            </w:rPr>
          </w:pPr>
          <w:proofErr w:type="spellStart"/>
          <w:proofErr w:type="gramStart"/>
          <w:r>
            <w:rPr>
              <w:lang w:val="fr-CH"/>
            </w:rPr>
            <w:t>rev</w:t>
          </w:r>
          <w:proofErr w:type="spellEnd"/>
          <w:proofErr w:type="gramEnd"/>
          <w:r>
            <w:rPr>
              <w:lang w:val="fr-CH"/>
            </w:rPr>
            <w:t>.</w:t>
          </w:r>
          <w:r>
            <w:fldChar w:fldCharType="begin"/>
          </w:r>
          <w:r>
            <w:rPr>
              <w:lang w:val="fr-CH"/>
            </w:rPr>
            <w:instrText xml:space="preserve"> DOCPROPERTY "Header10" \* MERGEFORMAT </w:instrText>
          </w:r>
          <w:r>
            <w:fldChar w:fldCharType="separate"/>
          </w:r>
          <w:r w:rsidR="00D679B6">
            <w:rPr>
              <w:lang w:val="fr-CH"/>
            </w:rPr>
            <w:t>-</w:t>
          </w:r>
          <w:r>
            <w:fldChar w:fldCharType="end"/>
          </w:r>
        </w:p>
      </w:tc>
    </w:tr>
  </w:tbl>
  <w:p w14:paraId="51B0A441" w14:textId="77777777" w:rsidR="00EC6757" w:rsidRDefault="00EC6757">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C1312" w14:textId="77777777" w:rsidR="00EC6757" w:rsidRDefault="00EC67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A81"/>
    <w:rsid w:val="0017350B"/>
    <w:rsid w:val="00292A81"/>
    <w:rsid w:val="003C13AA"/>
    <w:rsid w:val="0055601B"/>
    <w:rsid w:val="00757AF8"/>
    <w:rsid w:val="007E2213"/>
    <w:rsid w:val="00D1510D"/>
    <w:rsid w:val="00D679B6"/>
    <w:rsid w:val="00D92A9D"/>
    <w:rsid w:val="00E31033"/>
    <w:rsid w:val="00E7687E"/>
    <w:rsid w:val="00EC67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302B9"/>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spacing w:before="160"/>
      <w:ind w:left="0" w:firstLine="0"/>
      <w:jc w:val="left"/>
      <w:outlineLvl w:val="9"/>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TotalTime>
  <Pages>3</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12</dc:subject>
  <dc:creator>Composition des Publications</dc:creator>
  <cp:keywords>Folios: 1 - 2</cp:keywords>
  <dc:description>Edition 2009:  12.02.2009/DD (dict. ok)</dc:description>
  <cp:lastModifiedBy>Catalano Moreira, Rossana</cp:lastModifiedBy>
  <cp:revision>9</cp:revision>
  <cp:lastPrinted>2020-12-21T09:54:00Z</cp:lastPrinted>
  <dcterms:created xsi:type="dcterms:W3CDTF">2012-10-02T12:19:00Z</dcterms:created>
  <dcterms:modified xsi:type="dcterms:W3CDTF">2021-05-25T09:21:00Z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