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00B8C" w14:textId="77777777" w:rsidR="000A21A1" w:rsidRPr="00CC4FCD" w:rsidRDefault="000A21A1" w:rsidP="000A1EF1">
      <w:pPr>
        <w:pStyle w:val="Heading1"/>
        <w:spacing w:before="300"/>
        <w:jc w:val="center"/>
        <w:rPr>
          <w:color w:val="000000"/>
          <w:lang w:val="es-ES_tradnl"/>
        </w:rPr>
      </w:pPr>
      <w:r w:rsidRPr="00CC4FCD">
        <w:rPr>
          <w:color w:val="000000"/>
          <w:lang w:val="es-ES_tradnl"/>
        </w:rPr>
        <w:t>Reglas relativas al</w:t>
      </w:r>
    </w:p>
    <w:p w14:paraId="3FE7D187" w14:textId="77777777" w:rsidR="000A21A1" w:rsidRDefault="000A21A1">
      <w:pPr>
        <w:pStyle w:val="Heading2"/>
        <w:jc w:val="center"/>
        <w:rPr>
          <w:color w:val="000000"/>
          <w:lang w:val="es-ES_tradnl"/>
        </w:rPr>
      </w:pPr>
      <w:r w:rsidRPr="00CC4FCD">
        <w:rPr>
          <w:color w:val="000000"/>
          <w:lang w:val="es-ES_tradnl"/>
        </w:rPr>
        <w:t xml:space="preserve">ARTÍCULO </w:t>
      </w:r>
      <w:r w:rsidR="000A1EF1" w:rsidRPr="00CC4FCD">
        <w:rPr>
          <w:color w:val="000000"/>
          <w:lang w:val="es-ES_tradnl"/>
        </w:rPr>
        <w:t xml:space="preserve"> </w:t>
      </w:r>
      <w:r w:rsidRPr="00CC4FCD">
        <w:rPr>
          <w:color w:val="000000"/>
          <w:lang w:val="es-ES_tradnl"/>
        </w:rPr>
        <w:t>5 del RR</w:t>
      </w:r>
    </w:p>
    <w:p w14:paraId="3B5DEF73" w14:textId="77777777" w:rsidR="000A21A1" w:rsidRPr="00CC4FCD" w:rsidRDefault="000A21A1">
      <w:pPr>
        <w:pStyle w:val="Heading8"/>
        <w:rPr>
          <w:color w:val="000000"/>
          <w:lang w:val="es-ES_tradnl"/>
        </w:rPr>
      </w:pPr>
      <w:r w:rsidRPr="00CC4FCD">
        <w:rPr>
          <w:rStyle w:val="href2"/>
          <w:color w:val="000000"/>
          <w:lang w:val="es-ES_tradnl"/>
        </w:rPr>
        <w:t>5</w:t>
      </w:r>
      <w:r w:rsidRPr="00CC4FCD">
        <w:rPr>
          <w:color w:val="000000"/>
          <w:lang w:val="es-ES_tradnl"/>
        </w:rPr>
        <w:t>.33</w:t>
      </w:r>
    </w:p>
    <w:p w14:paraId="1DB7EC97" w14:textId="77777777" w:rsidR="000A21A1" w:rsidRPr="00CC4FCD" w:rsidRDefault="000A21A1">
      <w:pPr>
        <w:rPr>
          <w:color w:val="000000"/>
          <w:lang w:val="es-ES_tradnl"/>
        </w:rPr>
      </w:pPr>
      <w:r w:rsidRPr="00CC4FCD">
        <w:rPr>
          <w:color w:val="000000"/>
          <w:lang w:val="es-ES_tradnl"/>
        </w:rPr>
        <w:t xml:space="preserve">El número </w:t>
      </w:r>
      <w:r w:rsidRPr="00CC4FCD">
        <w:rPr>
          <w:rStyle w:val="Artref"/>
          <w:b/>
          <w:bCs/>
          <w:color w:val="000000"/>
          <w:lang w:val="es-ES_tradnl"/>
        </w:rPr>
        <w:t>5.152</w:t>
      </w:r>
      <w:r w:rsidRPr="00CC4FCD">
        <w:rPr>
          <w:color w:val="000000"/>
          <w:lang w:val="es-ES_tradnl"/>
        </w:rPr>
        <w:t xml:space="preserve"> explica esta disposición. Cuando las estaciones transmisora y receptora están situadas en uno de los países mencionados en ese número, el servicio fijo tiene los mismos derechos que el servicio de aficionados. Lo mismo sucede cuando una estación está situada en un país y la otra en otro país de los mencionados en el número </w:t>
      </w:r>
      <w:r w:rsidRPr="00CC4FCD">
        <w:rPr>
          <w:rStyle w:val="Artref"/>
          <w:b/>
          <w:bCs/>
          <w:color w:val="000000"/>
          <w:lang w:val="es-ES_tradnl"/>
        </w:rPr>
        <w:t>5.152</w:t>
      </w:r>
      <w:r w:rsidRPr="00CC4FCD">
        <w:rPr>
          <w:color w:val="000000"/>
          <w:lang w:val="es-ES_tradnl"/>
        </w:rPr>
        <w:t>. Cuando alguna de las estaciones no está en alguno de los países citados en dicho número, la asignación está fuera de banda.</w:t>
      </w:r>
    </w:p>
    <w:p w14:paraId="33FC2038" w14:textId="77777777" w:rsidR="000A21A1" w:rsidRPr="00CC4FCD" w:rsidRDefault="000A21A1">
      <w:pPr>
        <w:pStyle w:val="Heading8"/>
        <w:rPr>
          <w:color w:val="000000"/>
          <w:lang w:val="es-ES_tradnl"/>
        </w:rPr>
      </w:pPr>
      <w:r w:rsidRPr="00CC4FCD">
        <w:rPr>
          <w:color w:val="000000"/>
          <w:lang w:val="es-ES_tradnl"/>
        </w:rPr>
        <w:t>5.36</w:t>
      </w:r>
    </w:p>
    <w:p w14:paraId="6A6CC322" w14:textId="3C960D5B" w:rsidR="000A21A1" w:rsidRPr="00CC4FCD" w:rsidRDefault="000A21A1" w:rsidP="00EA1686">
      <w:pPr>
        <w:rPr>
          <w:color w:val="000000"/>
          <w:lang w:val="es-ES_tradnl"/>
        </w:rPr>
      </w:pPr>
      <w:r w:rsidRPr="00CC4FCD">
        <w:rPr>
          <w:color w:val="000000"/>
          <w:lang w:val="es-ES_tradnl"/>
        </w:rPr>
        <w:t>El</w:t>
      </w:r>
      <w:r w:rsidRPr="00CC4FCD">
        <w:rPr>
          <w:color w:val="000000"/>
          <w:sz w:val="22"/>
          <w:szCs w:val="22"/>
          <w:lang w:val="es-ES_tradnl"/>
        </w:rPr>
        <w:t xml:space="preserve"> </w:t>
      </w:r>
      <w:r w:rsidRPr="00CC4FCD">
        <w:rPr>
          <w:color w:val="000000"/>
          <w:lang w:val="es-ES_tradnl"/>
        </w:rPr>
        <w:t>Reglamento</w:t>
      </w:r>
      <w:r w:rsidRPr="00CC4FCD">
        <w:rPr>
          <w:color w:val="000000"/>
          <w:sz w:val="22"/>
          <w:szCs w:val="22"/>
          <w:lang w:val="es-ES_tradnl"/>
        </w:rPr>
        <w:t xml:space="preserve"> </w:t>
      </w:r>
      <w:r w:rsidRPr="00CC4FCD">
        <w:rPr>
          <w:color w:val="000000"/>
          <w:lang w:val="es-ES_tradnl"/>
        </w:rPr>
        <w:t>de</w:t>
      </w:r>
      <w:r w:rsidRPr="00CC4FCD">
        <w:rPr>
          <w:color w:val="000000"/>
          <w:sz w:val="22"/>
          <w:szCs w:val="22"/>
          <w:lang w:val="es-ES_tradnl"/>
        </w:rPr>
        <w:t xml:space="preserve"> </w:t>
      </w:r>
      <w:r w:rsidRPr="00CC4FCD">
        <w:rPr>
          <w:color w:val="000000"/>
          <w:lang w:val="es-ES_tradnl"/>
        </w:rPr>
        <w:t>Radiocomunicaciones</w:t>
      </w:r>
      <w:r w:rsidRPr="00CC4FCD">
        <w:rPr>
          <w:color w:val="000000"/>
          <w:sz w:val="22"/>
          <w:szCs w:val="22"/>
          <w:lang w:val="es-ES_tradnl"/>
        </w:rPr>
        <w:t xml:space="preserve"> </w:t>
      </w:r>
      <w:r w:rsidRPr="00CC4FCD">
        <w:rPr>
          <w:color w:val="000000"/>
          <w:lang w:val="es-ES_tradnl"/>
        </w:rPr>
        <w:t>contiene</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procedimiento</w:t>
      </w:r>
      <w:r w:rsidRPr="00CC4FCD">
        <w:rPr>
          <w:color w:val="000000"/>
          <w:sz w:val="22"/>
          <w:szCs w:val="22"/>
          <w:lang w:val="es-ES_tradnl"/>
        </w:rPr>
        <w:t xml:space="preserve"> </w:t>
      </w:r>
      <w:r w:rsidRPr="00CC4FCD">
        <w:rPr>
          <w:color w:val="000000"/>
          <w:lang w:val="es-ES_tradnl"/>
        </w:rPr>
        <w:t>definido</w:t>
      </w:r>
      <w:r w:rsidRPr="00CC4FCD">
        <w:rPr>
          <w:color w:val="000000"/>
          <w:sz w:val="22"/>
          <w:szCs w:val="22"/>
          <w:lang w:val="es-ES_tradnl"/>
        </w:rPr>
        <w:t xml:space="preserve"> </w:t>
      </w:r>
      <w:r w:rsidRPr="00CC4FCD">
        <w:rPr>
          <w:color w:val="000000"/>
          <w:lang w:val="es-ES_tradnl"/>
        </w:rPr>
        <w:t>en</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número </w:t>
      </w:r>
      <w:r w:rsidRPr="00CC4FCD">
        <w:rPr>
          <w:rStyle w:val="Artref"/>
          <w:b/>
          <w:bCs/>
          <w:color w:val="000000"/>
          <w:lang w:val="es-ES_tradnl"/>
        </w:rPr>
        <w:t>9.21</w:t>
      </w:r>
      <w:r w:rsidRPr="00CC4FCD">
        <w:rPr>
          <w:color w:val="000000"/>
          <w:lang w:val="es-ES_tradnl"/>
        </w:rPr>
        <w:t xml:space="preserve"> junto con varias disposiciones del Cuadro de atribución de bandas de frecuencias estipulando que una atribución adicional o sustitutiva se hace </w:t>
      </w:r>
      <w:r w:rsidRPr="00131C22">
        <w:rPr>
          <w:i/>
          <w:iCs/>
          <w:color w:val="000000"/>
          <w:lang w:val="es-ES_tradnl"/>
        </w:rPr>
        <w:t xml:space="preserve">«a condición de obtener un acuerdo según el procedimiento previsto en el número </w:t>
      </w:r>
      <w:r w:rsidRPr="00131C22">
        <w:rPr>
          <w:rStyle w:val="Artref"/>
          <w:b/>
          <w:bCs/>
          <w:i/>
          <w:iCs/>
          <w:color w:val="000000"/>
          <w:lang w:val="es-ES_tradnl"/>
        </w:rPr>
        <w:t>9.21</w:t>
      </w:r>
      <w:r w:rsidRPr="00131C22">
        <w:rPr>
          <w:i/>
          <w:iCs/>
          <w:color w:val="000000"/>
          <w:lang w:val="es-ES_tradnl"/>
        </w:rPr>
        <w:t>»</w:t>
      </w:r>
      <w:r w:rsidRPr="00CC4FCD">
        <w:rPr>
          <w:color w:val="000000"/>
          <w:lang w:val="es-ES_tradnl"/>
        </w:rPr>
        <w:t>. La Junta tuvo que indicar a la Oficina bajo qué categoría de atribución inscribiría una asignación del servicio al que se ha aplicado con éxito el procedimiento del número</w:t>
      </w:r>
      <w:r w:rsidR="00FD0CF7">
        <w:rPr>
          <w:color w:val="000000"/>
          <w:lang w:val="es-ES_tradnl"/>
        </w:rPr>
        <w:t> </w:t>
      </w:r>
      <w:r w:rsidRPr="00CC4FCD">
        <w:rPr>
          <w:rStyle w:val="Artref"/>
          <w:b/>
          <w:bCs/>
          <w:color w:val="000000"/>
          <w:lang w:val="es-ES_tradnl"/>
        </w:rPr>
        <w:t>9.21</w:t>
      </w:r>
      <w:r w:rsidRPr="00CC4FCD">
        <w:rPr>
          <w:color w:val="000000"/>
          <w:lang w:val="es-ES_tradnl"/>
        </w:rPr>
        <w:t xml:space="preserve"> y cuando la disposición no señale esta categoría de atribución, deberá ser inscrita. A esta conclusión se llegó sobre las bases siguientes:</w:t>
      </w:r>
    </w:p>
    <w:p w14:paraId="6986D16E"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Cuando una disposición atribuye una banda de frecuencias a un servicio a título secun</w:t>
      </w:r>
      <w:r w:rsidR="00E237E2" w:rsidRPr="00CC4FCD">
        <w:rPr>
          <w:color w:val="000000"/>
          <w:lang w:val="es-ES_tradnl"/>
        </w:rPr>
        <w:softHyphen/>
      </w:r>
      <w:r w:rsidRPr="00CC4FCD">
        <w:rPr>
          <w:color w:val="000000"/>
          <w:lang w:val="es-ES_tradnl"/>
        </w:rPr>
        <w:t>dario o a condición de no causar interferencia, la Junta considera que esta indicación es una restricción impuesta a la atribución.</w:t>
      </w:r>
    </w:p>
    <w:p w14:paraId="741D603E" w14:textId="689A43A8"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El número</w:t>
      </w:r>
      <w:r w:rsidR="00FD0CF7">
        <w:rPr>
          <w:color w:val="000000"/>
          <w:lang w:val="es-ES_tradnl"/>
        </w:rPr>
        <w:t> </w:t>
      </w:r>
      <w:r w:rsidRPr="00CC4FCD">
        <w:rPr>
          <w:rStyle w:val="Artref"/>
          <w:b/>
          <w:bCs/>
          <w:color w:val="000000"/>
          <w:lang w:val="es-ES_tradnl"/>
        </w:rPr>
        <w:t>5.37</w:t>
      </w:r>
      <w:r w:rsidRPr="00CC4FCD">
        <w:rPr>
          <w:color w:val="000000"/>
          <w:lang w:val="es-ES_tradnl"/>
        </w:rPr>
        <w:t xml:space="preserve"> estipula que </w:t>
      </w:r>
      <w:r w:rsidRPr="00131C22">
        <w:rPr>
          <w:i/>
          <w:iCs/>
          <w:color w:val="000000"/>
          <w:lang w:val="es-ES_tradnl"/>
        </w:rPr>
        <w:t>«si a una atribución adicional se le imponen otras restricciones ... se hacen constar tales restricciones en la correspondiente disposición del Cuadro»</w:t>
      </w:r>
      <w:r w:rsidRPr="00CC4FCD">
        <w:rPr>
          <w:color w:val="000000"/>
          <w:lang w:val="es-ES_tradnl"/>
        </w:rPr>
        <w:t>.</w:t>
      </w:r>
    </w:p>
    <w:p w14:paraId="26023152" w14:textId="77777777" w:rsidR="000A21A1" w:rsidRPr="00CC4FCD" w:rsidRDefault="000A21A1">
      <w:pPr>
        <w:pStyle w:val="enumlev1"/>
        <w:rPr>
          <w:color w:val="000000"/>
          <w:lang w:val="es-ES_tradnl"/>
        </w:rPr>
      </w:pPr>
      <w:r w:rsidRPr="00CC4FCD">
        <w:rPr>
          <w:i/>
          <w:color w:val="000000"/>
          <w:lang w:val="es-ES_tradnl"/>
        </w:rPr>
        <w:t>c)</w:t>
      </w:r>
      <w:r w:rsidRPr="00CC4FCD">
        <w:rPr>
          <w:color w:val="000000"/>
          <w:lang w:val="es-ES_tradnl"/>
        </w:rPr>
        <w:tab/>
        <w:t>Por consiguiente, cuando una disposición no contiene tales restricciones la atribución es necesariamente a título primario.</w:t>
      </w:r>
    </w:p>
    <w:p w14:paraId="3D2AE7F0" w14:textId="77777777" w:rsidR="000A21A1" w:rsidRPr="00CC4FCD" w:rsidRDefault="000A21A1">
      <w:pPr>
        <w:pStyle w:val="Heading8"/>
        <w:rPr>
          <w:color w:val="000000"/>
          <w:lang w:val="es-ES_tradnl"/>
        </w:rPr>
      </w:pPr>
      <w:r w:rsidRPr="00CC4FCD">
        <w:rPr>
          <w:color w:val="000000"/>
          <w:lang w:val="es-ES_tradnl"/>
        </w:rPr>
        <w:t>5.40</w:t>
      </w:r>
    </w:p>
    <w:p w14:paraId="3210B12A" w14:textId="77777777" w:rsidR="000A21A1" w:rsidRDefault="000A21A1" w:rsidP="000A1EF1">
      <w:pPr>
        <w:rPr>
          <w:color w:val="000000"/>
          <w:lang w:val="es-ES_tradnl"/>
        </w:rPr>
      </w:pPr>
      <w:r w:rsidRPr="00CC4FCD">
        <w:rPr>
          <w:color w:val="000000"/>
          <w:lang w:val="es-ES_tradnl"/>
        </w:rPr>
        <w:t xml:space="preserve">La interpretación dada en el número </w:t>
      </w:r>
      <w:r w:rsidRPr="00CC4FCD">
        <w:rPr>
          <w:rStyle w:val="Artref"/>
          <w:b/>
          <w:bCs/>
          <w:color w:val="000000"/>
          <w:lang w:val="es-ES_tradnl"/>
        </w:rPr>
        <w:t>5.36</w:t>
      </w:r>
      <w:r w:rsidRPr="00CC4FCD">
        <w:rPr>
          <w:color w:val="000000"/>
          <w:lang w:val="es-ES_tradnl"/>
        </w:rPr>
        <w:t xml:space="preserve"> a las atribuciones adicionales cuando se requiere el procedimiento del número </w:t>
      </w:r>
      <w:r w:rsidRPr="00CC4FCD">
        <w:rPr>
          <w:rStyle w:val="Artref"/>
          <w:b/>
          <w:bCs/>
          <w:color w:val="000000"/>
          <w:lang w:val="es-ES_tradnl"/>
        </w:rPr>
        <w:t>9.21</w:t>
      </w:r>
      <w:r w:rsidRPr="00CC4FCD">
        <w:rPr>
          <w:color w:val="000000"/>
          <w:lang w:val="es-ES_tradnl"/>
        </w:rPr>
        <w:t>, se aplica también en este caso, a las atribuciones sustitutivas.</w:t>
      </w:r>
    </w:p>
    <w:p w14:paraId="45695CF8" w14:textId="77777777" w:rsidR="003B6DEF" w:rsidRDefault="000A1EF1" w:rsidP="003B6DEF">
      <w:pPr>
        <w:tabs>
          <w:tab w:val="clear" w:pos="1134"/>
          <w:tab w:val="clear" w:pos="1871"/>
          <w:tab w:val="clear" w:pos="2268"/>
        </w:tabs>
        <w:overflowPunct/>
        <w:autoSpaceDE/>
        <w:autoSpaceDN/>
        <w:adjustRightInd/>
        <w:spacing w:before="0"/>
        <w:jc w:val="left"/>
        <w:textAlignment w:val="auto"/>
        <w:rPr>
          <w:b/>
          <w:lang w:val="es-ES_tradnl"/>
        </w:rPr>
      </w:pPr>
      <w:r w:rsidRPr="00CC4FCD">
        <w:rPr>
          <w:lang w:val="es-ES_tradnl"/>
        </w:rPr>
        <w:br w:type="page"/>
      </w:r>
    </w:p>
    <w:p w14:paraId="76205F39" w14:textId="77777777" w:rsidR="000A21A1" w:rsidRPr="00CC4FCD" w:rsidRDefault="000A21A1" w:rsidP="007D55F8">
      <w:pPr>
        <w:pStyle w:val="Heading8"/>
        <w:spacing w:before="360"/>
        <w:rPr>
          <w:lang w:val="es-ES_tradnl"/>
        </w:rPr>
      </w:pPr>
      <w:r w:rsidRPr="00CC4FCD">
        <w:rPr>
          <w:lang w:val="es-ES_tradnl"/>
        </w:rPr>
        <w:lastRenderedPageBreak/>
        <w:t>5.43</w:t>
      </w:r>
    </w:p>
    <w:p w14:paraId="52F1F256" w14:textId="77777777" w:rsidR="000A21A1" w:rsidRPr="00CC4FCD" w:rsidRDefault="000A21A1">
      <w:pPr>
        <w:rPr>
          <w:color w:val="000000"/>
          <w:lang w:val="es-ES_tradnl"/>
        </w:rPr>
      </w:pPr>
      <w:r w:rsidRPr="00CC4FCD">
        <w:rPr>
          <w:color w:val="000000"/>
          <w:lang w:val="es-ES_tradnl"/>
        </w:rPr>
        <w:t>Esta disposición especifica el funcionamiento sobre una base de no interferencia y no pro</w:t>
      </w:r>
      <w:r w:rsidRPr="00CC4FCD">
        <w:rPr>
          <w:color w:val="000000"/>
          <w:lang w:val="es-ES_tradnl"/>
        </w:rPr>
        <w:softHyphen/>
        <w:t xml:space="preserve">tección de un servicio, o estación de un servicio, respecto a otro servicio o a otra estación del mismo servicio. No obstante, esta disposición no especifica la relación entre las categorías respectivas de las atribuciones a las que se aplica el funcionamiento sobre una base de no interferencia y no protección para un servicio, respecto a otro servicio. Teniendo presente el alcance de la aplicación y la complejidad de las atribuciones que figuran en las diversas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 xml:space="preserve">buciones, la Junta considera que el estatuto respectivo de cada atribución que está sujeto a la condición de no causar interferencia perjudicial a otro servicio u otra estación del mismo servicio, ni reclamar protección contra ellos, debe derivarse de las condiciones especificadas en cada disposición específica. </w:t>
      </w:r>
    </w:p>
    <w:p w14:paraId="26EAA4FC" w14:textId="0D40E031" w:rsidR="000A21A1" w:rsidRPr="00CC4FCD" w:rsidRDefault="000A21A1" w:rsidP="007D55F8">
      <w:pPr>
        <w:spacing w:before="160"/>
        <w:rPr>
          <w:color w:val="000000"/>
          <w:lang w:val="es-ES_tradnl"/>
        </w:rPr>
      </w:pPr>
      <w:r w:rsidRPr="00CC4FCD">
        <w:rPr>
          <w:color w:val="000000"/>
          <w:lang w:val="es-ES_tradnl"/>
        </w:rPr>
        <w:t>Teniendo presente las diversas y complejas situaciones de atribución que se describen en las disposiciones del Artículo</w:t>
      </w:r>
      <w:r w:rsidR="00641E84">
        <w:rPr>
          <w:color w:val="000000"/>
          <w:lang w:val="es-ES_tradnl"/>
        </w:rPr>
        <w:t>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buciones, la Junta considera que debe señalarse la atención de una futura conferencia sobre las notas que especifican el funcionamiento sobre una base de no interferencia y no protección, en las que intervienen diferentes categorías de servicio, con miras a establecer de forma espe</w:t>
      </w:r>
      <w:r w:rsidRPr="00CC4FCD">
        <w:rPr>
          <w:color w:val="000000"/>
          <w:lang w:val="es-ES_tradnl"/>
        </w:rPr>
        <w:softHyphen/>
        <w:t>cífica la relación entre las categorías respectivas de atribución a las que se refiere el funcio</w:t>
      </w:r>
      <w:r w:rsidRPr="00CC4FCD">
        <w:rPr>
          <w:color w:val="000000"/>
          <w:lang w:val="es-ES_tradnl"/>
        </w:rPr>
        <w:softHyphen/>
        <w:t>namiento sobre una base de no interferencia y de no protección.</w:t>
      </w:r>
    </w:p>
    <w:p w14:paraId="12C825ED" w14:textId="77777777" w:rsidR="000A21A1" w:rsidRPr="00CC4FCD" w:rsidRDefault="000A21A1" w:rsidP="007D55F8">
      <w:pPr>
        <w:pStyle w:val="Heading8"/>
        <w:spacing w:before="360"/>
        <w:rPr>
          <w:color w:val="000000"/>
          <w:lang w:val="es-ES_tradnl"/>
        </w:rPr>
      </w:pPr>
      <w:r w:rsidRPr="00CC4FCD">
        <w:rPr>
          <w:color w:val="000000"/>
          <w:lang w:val="es-ES_tradnl"/>
        </w:rPr>
        <w:t>5.43A</w:t>
      </w:r>
    </w:p>
    <w:p w14:paraId="2363A86D" w14:textId="77777777" w:rsidR="000A21A1" w:rsidRPr="00CC4FCD" w:rsidRDefault="000A21A1" w:rsidP="007D55F8">
      <w:pPr>
        <w:spacing w:before="160"/>
        <w:rPr>
          <w:color w:val="000000"/>
          <w:lang w:val="es-ES_tradnl"/>
        </w:rPr>
      </w:pPr>
      <w:r w:rsidRPr="00CC4FCD">
        <w:rPr>
          <w:color w:val="000000"/>
          <w:lang w:val="es-ES_tradnl"/>
        </w:rPr>
        <w:t>Véanse los comentarios bajo las Reglas de Procedimiento relativas al número </w:t>
      </w:r>
      <w:r w:rsidRPr="00CC4FCD">
        <w:rPr>
          <w:rStyle w:val="Artref"/>
          <w:b/>
          <w:bCs/>
          <w:color w:val="000000"/>
          <w:lang w:val="es-ES_tradnl"/>
        </w:rPr>
        <w:t>5.43</w:t>
      </w:r>
      <w:r w:rsidRPr="00CC4FCD">
        <w:rPr>
          <w:color w:val="000000"/>
          <w:lang w:val="es-ES_tradnl"/>
        </w:rPr>
        <w:t>.</w:t>
      </w:r>
    </w:p>
    <w:p w14:paraId="41412155" w14:textId="77777777" w:rsidR="000A21A1" w:rsidRPr="00CC4FCD" w:rsidRDefault="000A21A1" w:rsidP="007D55F8">
      <w:pPr>
        <w:pStyle w:val="Heading8"/>
        <w:spacing w:before="360"/>
        <w:rPr>
          <w:color w:val="000000"/>
          <w:lang w:val="es-ES_tradnl"/>
        </w:rPr>
      </w:pPr>
      <w:r w:rsidRPr="00CC4FCD">
        <w:rPr>
          <w:color w:val="000000"/>
          <w:lang w:val="es-ES_tradnl"/>
        </w:rPr>
        <w:t>5.49</w:t>
      </w:r>
    </w:p>
    <w:p w14:paraId="7AA89B82" w14:textId="0BD0063B" w:rsidR="000A21A1" w:rsidRPr="00CC4FCD" w:rsidRDefault="000A21A1" w:rsidP="007D55F8">
      <w:pPr>
        <w:spacing w:before="160"/>
        <w:rPr>
          <w:color w:val="000000"/>
          <w:lang w:val="es-ES_tradnl"/>
        </w:rPr>
      </w:pPr>
      <w:r w:rsidRPr="00CC4FCD">
        <w:rPr>
          <w:color w:val="000000"/>
          <w:lang w:val="es-ES_tradnl"/>
        </w:rPr>
        <w:t>Varias disposiciones, principalmente las relativas a atribuciones a servicios móviles, limitan las atribuciones a un tipo de explotación o a algunos sistemas determinados. La Junta no puede determinar si se respetan estas restricciones. (Este hecho fue observado por la CAMR Mob-87 donde fueron hechas esas restricciones.) Por consiguiente, la Junta decidió suprimir de la columna</w:t>
      </w:r>
      <w:r w:rsidR="00A650EA">
        <w:rPr>
          <w:color w:val="000000"/>
          <w:lang w:val="es-ES_tradnl"/>
        </w:rPr>
        <w:t> </w:t>
      </w:r>
      <w:r w:rsidRPr="00CC4FCD">
        <w:rPr>
          <w:color w:val="000000"/>
          <w:lang w:val="es-ES_tradnl"/>
        </w:rPr>
        <w:t>13C del Registro Internacional de Frecuencias (Registro) todos los símbolos referentes a estos tipos de restricciones.</w:t>
      </w:r>
    </w:p>
    <w:p w14:paraId="3162BE11" w14:textId="77777777" w:rsidR="000A21A1" w:rsidRPr="00CC4FCD" w:rsidRDefault="000A21A1" w:rsidP="007D55F8">
      <w:pPr>
        <w:pStyle w:val="Heading8"/>
        <w:spacing w:before="360"/>
        <w:rPr>
          <w:color w:val="000000"/>
          <w:lang w:val="es-ES_tradnl"/>
        </w:rPr>
      </w:pPr>
      <w:r w:rsidRPr="00CC4FCD">
        <w:rPr>
          <w:color w:val="000000"/>
          <w:lang w:val="es-ES_tradnl"/>
        </w:rPr>
        <w:t>5.73</w:t>
      </w:r>
    </w:p>
    <w:p w14:paraId="3422651F" w14:textId="77777777" w:rsidR="000A21A1" w:rsidRPr="00CC4FCD" w:rsidRDefault="000A21A1" w:rsidP="007D55F8">
      <w:pPr>
        <w:spacing w:before="160"/>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Esta</w:t>
      </w:r>
      <w:proofErr w:type="gramEnd"/>
      <w:r w:rsidRPr="00CC4FCD">
        <w:rPr>
          <w:color w:val="000000"/>
          <w:lang w:val="es-ES_tradnl"/>
        </w:rPr>
        <w:t xml:space="preserve"> disposición representa de hecho una atribución adicional por estipular la posibilidad de transmitir información suplementaria de navegación desde cualquier estación del servicio de radionavegación marítima, a condición de no causar interferencia perjudicial a las estaciones de radiofaro que funcionen en el servicio de radionavegación.</w:t>
      </w:r>
    </w:p>
    <w:p w14:paraId="268E3306" w14:textId="77777777" w:rsidR="003C14AF" w:rsidRDefault="00AB4CBA" w:rsidP="00D80EB5">
      <w:pPr>
        <w:spacing w:before="160"/>
        <w:rPr>
          <w:color w:val="000000"/>
          <w:lang w:val="es-ES_tradnl"/>
        </w:rPr>
      </w:pPr>
      <w:r w:rsidRPr="00CC4FCD">
        <w:rPr>
          <w:color w:val="000000"/>
          <w:lang w:val="es-ES_tradnl"/>
        </w:rPr>
        <w:t>2</w:t>
      </w:r>
      <w:r w:rsidRPr="00CC4FCD">
        <w:rPr>
          <w:color w:val="000000"/>
          <w:lang w:val="es-ES_tradnl"/>
        </w:rPr>
        <w:tab/>
      </w:r>
      <w:proofErr w:type="gramStart"/>
      <w:r w:rsidRPr="00CC4FCD">
        <w:rPr>
          <w:i/>
          <w:color w:val="000000"/>
          <w:lang w:val="es-ES_tradnl"/>
        </w:rPr>
        <w:t>El</w:t>
      </w:r>
      <w:proofErr w:type="gramEnd"/>
      <w:r w:rsidRPr="00CC4FCD">
        <w:rPr>
          <w:i/>
          <w:color w:val="000000"/>
          <w:lang w:val="es-ES_tradnl"/>
        </w:rPr>
        <w:t xml:space="preserve"> sentido de banda estrecha</w:t>
      </w:r>
      <w:r w:rsidRPr="00CC4FCD">
        <w:rPr>
          <w:color w:val="000000"/>
          <w:lang w:val="es-ES_tradnl"/>
        </w:rPr>
        <w:t>: basándose en la información de la Recomen</w:t>
      </w:r>
      <w:r w:rsidR="009E216C">
        <w:rPr>
          <w:color w:val="000000"/>
          <w:lang w:val="es-ES_tradnl"/>
        </w:rPr>
        <w:softHyphen/>
      </w:r>
      <w:r w:rsidRPr="00CC4FCD">
        <w:rPr>
          <w:color w:val="000000"/>
          <w:lang w:val="es-ES_tradnl"/>
        </w:rPr>
        <w:t>dación UIT</w:t>
      </w:r>
      <w:r w:rsidRPr="00CC4FCD">
        <w:rPr>
          <w:color w:val="000000"/>
          <w:lang w:val="es-ES_tradnl"/>
        </w:rPr>
        <w:noBreakHyphen/>
        <w:t xml:space="preserve">R M.476-5, la Junta consideró que los 500 Hz representan un límite razonable para las técnicas de banda estrecha y estableció este valor como límite reglamentario que se ha de verificar en los exámenes de conformidad de la anchura de banda notificada en el contexto de estas disposiciones. Por tanto, la Oficina formulará una conclusión reglamentaria desfavorable al aplicar el número </w:t>
      </w:r>
      <w:r w:rsidRPr="00CC4FCD">
        <w:rPr>
          <w:rStyle w:val="Artref"/>
          <w:b/>
          <w:bCs/>
          <w:color w:val="000000"/>
          <w:lang w:val="es-ES_tradnl"/>
        </w:rPr>
        <w:t>5.73</w:t>
      </w:r>
      <w:r w:rsidRPr="00CC4FCD">
        <w:rPr>
          <w:color w:val="000000"/>
          <w:lang w:val="es-ES_tradnl"/>
        </w:rPr>
        <w:t>, si este límite se excede en las clases de emisión notificadas F1B o G1D.</w:t>
      </w:r>
    </w:p>
    <w:p w14:paraId="38484213" w14:textId="77777777" w:rsidR="00136349" w:rsidRDefault="00136349" w:rsidP="00D80EB5">
      <w:pPr>
        <w:spacing w:before="160"/>
        <w:rPr>
          <w:color w:val="000000"/>
          <w:lang w:val="es-ES_tradnl"/>
        </w:rPr>
      </w:pPr>
      <w:r>
        <w:rPr>
          <w:color w:val="000000"/>
          <w:lang w:val="es-ES_tradnl"/>
        </w:rPr>
        <w:br w:type="page"/>
      </w:r>
    </w:p>
    <w:p w14:paraId="471BA506" w14:textId="74357976" w:rsidR="00573929" w:rsidRPr="00573929" w:rsidRDefault="00573929" w:rsidP="00D80EB5">
      <w:pPr>
        <w:pStyle w:val="Heading8"/>
        <w:rPr>
          <w:color w:val="000000"/>
          <w:lang w:val="es-ES_tradnl"/>
        </w:rPr>
      </w:pPr>
      <w:r w:rsidRPr="00573929">
        <w:rPr>
          <w:color w:val="000000"/>
          <w:lang w:val="es-ES_tradnl"/>
        </w:rPr>
        <w:lastRenderedPageBreak/>
        <w:t>5.132A</w:t>
      </w:r>
    </w:p>
    <w:p w14:paraId="0A96B405" w14:textId="77777777" w:rsidR="00017AF6" w:rsidRPr="00017AF6" w:rsidRDefault="00017AF6" w:rsidP="00017AF6">
      <w:pPr>
        <w:rPr>
          <w:lang w:val="es-ES_tradnl"/>
        </w:rPr>
      </w:pPr>
      <w:r w:rsidRPr="00017AF6">
        <w:rPr>
          <w:lang w:val="es-ES_tradnl"/>
        </w:rPr>
        <w:t xml:space="preserve">Esta disposición limita el servicio de radiolocalización a los radares oceanográficos que funcionan de conformidad con la Resolución </w:t>
      </w:r>
      <w:r w:rsidRPr="00017AF6">
        <w:rPr>
          <w:b/>
          <w:bCs/>
          <w:lang w:val="es-ES_tradnl"/>
        </w:rPr>
        <w:t>612 (Rev.CMR-12)</w:t>
      </w:r>
      <w:r w:rsidRPr="00017AF6">
        <w:rPr>
          <w:lang w:val="es-ES_tradnl"/>
        </w:rPr>
        <w:t xml:space="preserve">. El </w:t>
      </w:r>
      <w:r w:rsidRPr="00017AF6">
        <w:rPr>
          <w:i/>
          <w:iCs/>
          <w:lang w:val="es-ES_tradnl"/>
        </w:rPr>
        <w:t>resuelve</w:t>
      </w:r>
      <w:r w:rsidRPr="00017AF6">
        <w:rPr>
          <w:lang w:val="es-ES_tradnl"/>
        </w:rPr>
        <w:t xml:space="preserve"> de esta Resolución entra en la categoría de </w:t>
      </w:r>
      <w:r w:rsidRPr="00131C22">
        <w:rPr>
          <w:i/>
          <w:iCs/>
          <w:lang w:val="es-ES_tradnl"/>
        </w:rPr>
        <w:t>«las demás disposiciones»</w:t>
      </w:r>
      <w:r w:rsidRPr="00017AF6">
        <w:rPr>
          <w:lang w:val="es-ES_tradnl"/>
        </w:rPr>
        <w:t xml:space="preserve"> a las que se refiere el</w:t>
      </w:r>
      <w:r w:rsidR="00D80EB5">
        <w:rPr>
          <w:lang w:val="es-ES_tradnl"/>
        </w:rPr>
        <w:t xml:space="preserve"> número </w:t>
      </w:r>
      <w:r w:rsidRPr="00131C22">
        <w:rPr>
          <w:b/>
          <w:bCs/>
          <w:lang w:val="es-ES_tradnl"/>
        </w:rPr>
        <w:t>11.31</w:t>
      </w:r>
      <w:r w:rsidRPr="00017AF6">
        <w:rPr>
          <w:lang w:val="es-ES_tradnl"/>
        </w:rPr>
        <w:t xml:space="preserve"> y está sujeto a examen por parte de la Oficina.</w:t>
      </w:r>
    </w:p>
    <w:p w14:paraId="5284D950" w14:textId="77777777" w:rsidR="00017AF6" w:rsidRPr="00017AF6" w:rsidRDefault="00017AF6" w:rsidP="00017AF6">
      <w:pPr>
        <w:rPr>
          <w:lang w:val="es-ES_tradnl"/>
        </w:rPr>
      </w:pPr>
      <w:r w:rsidRPr="00017AF6">
        <w:rPr>
          <w:lang w:val="es-ES_tradnl"/>
        </w:rPr>
        <w:t xml:space="preserve">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especifica las distancias de separación que deben respetarse en los radares oceanográficos en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para trayectos de propagación terrestres, marítimos y mixtos, a menos que previamente haya acuerdos explícitos de las administraciones afectadas. Con relación a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la Oficina no tiene medios para identificar si las emisiones procedentes de radares oceanográficos alcanzan una zona </w:t>
      </w:r>
      <w:r w:rsidRPr="00131C22">
        <w:rPr>
          <w:i/>
          <w:iCs/>
          <w:lang w:val="es-ES_tradnl"/>
        </w:rPr>
        <w:t>«rural»</w:t>
      </w:r>
      <w:r w:rsidRPr="00017AF6">
        <w:rPr>
          <w:lang w:val="es-ES_tradnl"/>
        </w:rPr>
        <w:t xml:space="preserve"> o </w:t>
      </w:r>
      <w:r w:rsidRPr="00131C22">
        <w:rPr>
          <w:i/>
          <w:iCs/>
          <w:lang w:val="es-ES_tradnl"/>
        </w:rPr>
        <w:t>«rural tranquila»</w:t>
      </w:r>
      <w:r w:rsidRPr="00017AF6">
        <w:rPr>
          <w:lang w:val="es-ES_tradnl"/>
        </w:rPr>
        <w:t xml:space="preserve"> en la frontera de otro país, ya que no dispone de los datos topográficos pertinentes para determinar esas zonas.</w:t>
      </w:r>
    </w:p>
    <w:p w14:paraId="4D91C66D" w14:textId="77777777" w:rsidR="00017AF6" w:rsidRPr="00017AF6" w:rsidRDefault="00017AF6" w:rsidP="00017AF6">
      <w:pPr>
        <w:rPr>
          <w:lang w:val="es-ES_tradnl"/>
        </w:rPr>
      </w:pPr>
      <w:r w:rsidRPr="00017AF6">
        <w:rPr>
          <w:lang w:val="es-ES_tradnl"/>
        </w:rPr>
        <w:t xml:space="preserve">Como la Oficina no cuenta con medios para la identificación de zonas rurales o rurales tranquilas, la Junta decidió que para examinar la asignación de frecuencia notificada a una estación del servicio de radiolocalización desde el punto de vista de su conformidad con 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la Oficina deberá utilizar las distancias de separación para trayectos rurales tranquilos indicadas en las columnas 3 y 5, según el caso, del Cuadro del </w:t>
      </w:r>
      <w:r w:rsidRPr="00017AF6">
        <w:rPr>
          <w:i/>
          <w:iCs/>
          <w:lang w:val="es-ES_tradnl"/>
        </w:rPr>
        <w:t>resuelve</w:t>
      </w:r>
      <w:r w:rsidRPr="00017AF6">
        <w:rPr>
          <w:lang w:val="es-ES_tradnl"/>
        </w:rPr>
        <w:t xml:space="preserve"> 6.</w:t>
      </w:r>
    </w:p>
    <w:p w14:paraId="6C7620CE" w14:textId="2D51416B" w:rsidR="004C543A" w:rsidRPr="004C543A" w:rsidRDefault="004C543A" w:rsidP="00D80EB5">
      <w:pPr>
        <w:pStyle w:val="Heading8"/>
        <w:rPr>
          <w:color w:val="000000"/>
          <w:lang w:val="es-ES_tradnl"/>
        </w:rPr>
      </w:pPr>
      <w:r w:rsidRPr="004C543A">
        <w:rPr>
          <w:color w:val="000000"/>
          <w:lang w:val="es-ES_tradnl"/>
        </w:rPr>
        <w:t>5.145A</w:t>
      </w:r>
    </w:p>
    <w:p w14:paraId="0AD57D8B" w14:textId="77777777" w:rsidR="00017AF6" w:rsidRPr="004C543A" w:rsidRDefault="004C543A" w:rsidP="007D55F8">
      <w:pPr>
        <w:spacing w:before="160"/>
        <w:rPr>
          <w:color w:val="000000"/>
          <w:lang w:val="es-ES_tradnl"/>
        </w:rPr>
      </w:pPr>
      <w:r w:rsidRPr="004C543A">
        <w:rPr>
          <w:lang w:val="es-ES_tradnl"/>
        </w:rPr>
        <w:t xml:space="preserve">Se aplican los comentarios realizados y la decisión tomada con respecto a la Regla de Procedimiento relativa al número </w:t>
      </w:r>
      <w:r w:rsidRPr="004C543A">
        <w:rPr>
          <w:b/>
          <w:bCs/>
          <w:lang w:val="es-ES_tradnl"/>
        </w:rPr>
        <w:t>5.132A</w:t>
      </w:r>
      <w:r w:rsidRPr="004C543A">
        <w:rPr>
          <w:lang w:val="es-ES_tradnl"/>
        </w:rPr>
        <w:t>.</w:t>
      </w:r>
    </w:p>
    <w:p w14:paraId="3B3DF6F7" w14:textId="77777777" w:rsidR="000A21A1" w:rsidRPr="00CC4FCD" w:rsidRDefault="000A21A1" w:rsidP="000A1EF1">
      <w:pPr>
        <w:pStyle w:val="Heading8"/>
        <w:rPr>
          <w:lang w:val="es-ES_tradnl"/>
        </w:rPr>
      </w:pPr>
      <w:r w:rsidRPr="00CC4FCD">
        <w:rPr>
          <w:lang w:val="es-ES_tradnl"/>
        </w:rPr>
        <w:t>5.149</w:t>
      </w:r>
    </w:p>
    <w:p w14:paraId="533847C8" w14:textId="77777777" w:rsidR="00AB4CBA" w:rsidRDefault="00AB4CBA" w:rsidP="00CC4FCD">
      <w:pPr>
        <w:rPr>
          <w:color w:val="000000"/>
          <w:lang w:val="es-ES_tradnl"/>
        </w:rPr>
      </w:pPr>
      <w:r w:rsidRPr="00CC4FCD">
        <w:rPr>
          <w:color w:val="000000"/>
          <w:lang w:val="es-ES_tradnl"/>
        </w:rPr>
        <w:t>No hay atribución para radioastronomía en las bandas 73-74,6 MHz (Regiones 1 y 3), 1</w:t>
      </w:r>
      <w:r w:rsidRPr="00CC4FCD">
        <w:rPr>
          <w:rFonts w:ascii="Tms Rmn" w:hAnsi="Tms Rmn"/>
          <w:color w:val="000000"/>
          <w:sz w:val="12"/>
          <w:lang w:val="es-ES_tradnl"/>
        </w:rPr>
        <w:t> </w:t>
      </w:r>
      <w:r w:rsidRPr="00CC4FCD">
        <w:rPr>
          <w:color w:val="000000"/>
          <w:lang w:val="es-ES_tradnl"/>
        </w:rPr>
        <w:t>330</w:t>
      </w:r>
      <w:r w:rsidR="000A1EF1" w:rsidRPr="00CC4FCD">
        <w:rPr>
          <w:color w:val="000000"/>
          <w:lang w:val="es-ES_tradnl"/>
        </w:rPr>
        <w:t>-</w:t>
      </w:r>
      <w:r w:rsidRPr="00CC4FCD">
        <w:rPr>
          <w:color w:val="000000"/>
          <w:lang w:val="es-ES_tradnl"/>
        </w:rPr>
        <w:t>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w:t>
      </w:r>
      <w:r w:rsidR="00180D7D" w:rsidRPr="00CC4FCD">
        <w:rPr>
          <w:color w:val="000000"/>
          <w:lang w:val="es-ES_tradnl"/>
        </w:rPr>
        <w:noBreakHyphen/>
      </w:r>
      <w:r w:rsidRPr="00CC4FCD">
        <w:rPr>
          <w:color w:val="000000"/>
          <w:lang w:val="es-ES_tradnl"/>
        </w:rPr>
        <w:t>6</w:t>
      </w:r>
      <w:r w:rsidRPr="00CC4FCD">
        <w:rPr>
          <w:rFonts w:ascii="Tms Rmn" w:hAnsi="Tms Rmn"/>
          <w:color w:val="000000"/>
          <w:sz w:val="12"/>
          <w:lang w:val="es-ES_tradnl"/>
        </w:rPr>
        <w:t> </w:t>
      </w:r>
      <w:r w:rsidRPr="00CC4FCD">
        <w:rPr>
          <w:color w:val="000000"/>
          <w:lang w:val="es-ES_tradnl"/>
        </w:rPr>
        <w:t>675,2 MHz, 22,01-22,21 GHz, 22,81-22,86 GHz, 23,07-23,12 GHz, 31,2-31,3 GHz, 36,43</w:t>
      </w:r>
      <w:r w:rsidR="00180D7D" w:rsidRPr="00CC4FCD">
        <w:rPr>
          <w:color w:val="000000"/>
          <w:lang w:val="es-ES_tradnl"/>
        </w:rPr>
        <w:noBreakHyphen/>
      </w:r>
      <w:r w:rsidRPr="00CC4FCD">
        <w:rPr>
          <w:color w:val="000000"/>
          <w:lang w:val="es-ES_tradnl"/>
        </w:rPr>
        <w:t>36,5 GHz, 168,59-168,93 GHz, 171,11</w:t>
      </w:r>
      <w:r w:rsidRPr="00CC4FCD">
        <w:rPr>
          <w:color w:val="000000"/>
          <w:lang w:val="es-ES_tradnl"/>
        </w:rPr>
        <w:noBreakHyphen/>
        <w:t>171,45 GHz (salvo KOR), 172,31</w:t>
      </w:r>
      <w:r w:rsidRPr="00CC4FCD">
        <w:rPr>
          <w:color w:val="000000"/>
          <w:lang w:val="es-ES_tradnl"/>
        </w:rPr>
        <w:noBreakHyphen/>
        <w:t>172,65 GHz (salvo KOR), 173,52-173,85 GHz (salvo KOR) y 195,75</w:t>
      </w:r>
      <w:r w:rsidRPr="00CC4FCD">
        <w:rPr>
          <w:color w:val="000000"/>
          <w:lang w:val="es-ES_tradnl"/>
        </w:rPr>
        <w:noBreakHyphen/>
        <w:t>196,15 GHz. Las notificaciones de asignación de frecuencia para las estaciones de radioastronomía en las bandas 73-74,6 MHz (Regiones 1 y 3), 1</w:t>
      </w:r>
      <w:r w:rsidRPr="00CC4FCD">
        <w:rPr>
          <w:rFonts w:ascii="Tms Rmn" w:hAnsi="Tms Rmn"/>
          <w:color w:val="000000"/>
          <w:sz w:val="12"/>
          <w:lang w:val="es-ES_tradnl"/>
        </w:rPr>
        <w:t> </w:t>
      </w:r>
      <w:r w:rsidRPr="00CC4FCD">
        <w:rPr>
          <w:color w:val="000000"/>
          <w:lang w:val="es-ES_tradnl"/>
        </w:rPr>
        <w:t>330-1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w:t>
      </w:r>
      <w:r w:rsidR="00180D7D" w:rsidRPr="00CC4FCD">
        <w:rPr>
          <w:color w:val="000000"/>
          <w:lang w:val="es-ES_tradnl"/>
        </w:rPr>
        <w:noBreakHyphen/>
      </w:r>
      <w:r w:rsidRPr="00CC4FCD">
        <w:rPr>
          <w:color w:val="000000"/>
          <w:lang w:val="es-ES_tradnl"/>
        </w:rPr>
        <w:t>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650-6</w:t>
      </w:r>
      <w:r w:rsidRPr="00CC4FCD">
        <w:rPr>
          <w:rFonts w:ascii="Tms Rmn" w:hAnsi="Tms Rmn"/>
          <w:color w:val="000000"/>
          <w:sz w:val="12"/>
          <w:lang w:val="es-ES_tradnl"/>
        </w:rPr>
        <w:t> </w:t>
      </w:r>
      <w:r w:rsidRPr="00CC4FCD">
        <w:rPr>
          <w:color w:val="000000"/>
          <w:lang w:val="es-ES_tradnl"/>
        </w:rPr>
        <w:t>675,2 MHz, 22,01-22,21 GHz, 22,81-22,86 GHz, 23,07</w:t>
      </w:r>
      <w:r w:rsidR="00737D7E" w:rsidRPr="00CC4FCD">
        <w:rPr>
          <w:color w:val="000000"/>
          <w:lang w:val="es-ES_tradnl"/>
        </w:rPr>
        <w:noBreakHyphen/>
      </w:r>
      <w:r w:rsidRPr="00CC4FCD">
        <w:rPr>
          <w:color w:val="000000"/>
          <w:lang w:val="es-ES_tradnl"/>
        </w:rPr>
        <w:t>23,12 GHz, 31,2-31,3 GHz, 36,43-36,5 GHz, 168,59</w:t>
      </w:r>
      <w:r w:rsidRPr="00CC4FCD">
        <w:rPr>
          <w:color w:val="000000"/>
          <w:lang w:val="es-ES_tradnl"/>
        </w:rPr>
        <w:noBreakHyphen/>
        <w:t>168,93 GHz, 171,11</w:t>
      </w:r>
      <w:r w:rsidRPr="00CC4FCD">
        <w:rPr>
          <w:color w:val="000000"/>
          <w:lang w:val="es-ES_tradnl"/>
        </w:rPr>
        <w:noBreakHyphen/>
        <w:t>171,45 GHz (salvo KOR), 172,31-172,65 GHz (salvo KOR), 173,52</w:t>
      </w:r>
      <w:r w:rsidRPr="00CC4FCD">
        <w:rPr>
          <w:color w:val="000000"/>
          <w:lang w:val="es-ES_tradnl"/>
        </w:rPr>
        <w:noBreakHyphen/>
        <w:t>173,85 GHz (salvo KOR) y 195,75</w:t>
      </w:r>
      <w:r w:rsidRPr="00CC4FCD">
        <w:rPr>
          <w:color w:val="000000"/>
          <w:lang w:val="es-ES_tradnl"/>
        </w:rPr>
        <w:noBreakHyphen/>
        <w:t>196,15 GHz no serán consideradas por la Oficina conformes con el Cuadro de atribución de bandas de frecuencias.</w:t>
      </w:r>
    </w:p>
    <w:p w14:paraId="2BEDC16F" w14:textId="77777777" w:rsidR="00E468A4" w:rsidRDefault="00E468A4" w:rsidP="00E468A4">
      <w:pPr>
        <w:rPr>
          <w:lang w:val="es-ES_tradnl"/>
        </w:rPr>
      </w:pPr>
      <w:r>
        <w:rPr>
          <w:lang w:val="es-ES_tradnl"/>
        </w:rPr>
        <w:br w:type="page"/>
      </w:r>
    </w:p>
    <w:p w14:paraId="33B988B0" w14:textId="77DAA15B" w:rsidR="00EA060B" w:rsidRPr="00EA060B" w:rsidRDefault="00EA060B" w:rsidP="0069253E">
      <w:pPr>
        <w:pStyle w:val="Heading8"/>
        <w:rPr>
          <w:color w:val="000000"/>
          <w:lang w:val="es-ES_tradnl"/>
        </w:rPr>
      </w:pPr>
      <w:r w:rsidRPr="00EA060B">
        <w:rPr>
          <w:color w:val="000000"/>
          <w:lang w:val="es-ES_tradnl"/>
        </w:rPr>
        <w:lastRenderedPageBreak/>
        <w:t>5.161A</w:t>
      </w:r>
    </w:p>
    <w:p w14:paraId="6FBD8680" w14:textId="77777777" w:rsidR="00EA060B" w:rsidRDefault="00EA060B" w:rsidP="00EA060B">
      <w:pPr>
        <w:rPr>
          <w:lang w:val="es-ES_tradnl"/>
        </w:rPr>
      </w:pPr>
      <w:r w:rsidRPr="00EA060B">
        <w:rPr>
          <w:lang w:val="es-ES_tradnl"/>
        </w:rPr>
        <w:t xml:space="preserve">Se aplican los comentarios realizados y la decisión tomada con respecto a la Regla de Procedimiento relativa al número </w:t>
      </w:r>
      <w:r w:rsidRPr="00EA060B">
        <w:rPr>
          <w:b/>
          <w:bCs/>
          <w:lang w:val="es-ES_tradnl"/>
        </w:rPr>
        <w:t>5.132A</w:t>
      </w:r>
      <w:r w:rsidRPr="00EA060B">
        <w:rPr>
          <w:lang w:val="es-ES_tradnl"/>
        </w:rPr>
        <w:t>.</w:t>
      </w:r>
    </w:p>
    <w:p w14:paraId="54DDD00A" w14:textId="77777777" w:rsidR="000A21A1" w:rsidRPr="00CC4FCD" w:rsidRDefault="000A21A1" w:rsidP="000A1EF1">
      <w:pPr>
        <w:pStyle w:val="Heading8"/>
        <w:rPr>
          <w:lang w:val="es-ES_tradnl"/>
        </w:rPr>
      </w:pPr>
      <w:r w:rsidRPr="00CC4FCD">
        <w:rPr>
          <w:lang w:val="es-ES_tradnl"/>
        </w:rPr>
        <w:t>5.164</w:t>
      </w:r>
    </w:p>
    <w:p w14:paraId="5C82ED11" w14:textId="77777777" w:rsidR="00671FC7" w:rsidRPr="00CC4FCD" w:rsidRDefault="00671FC7" w:rsidP="00671FC7">
      <w:pPr>
        <w:rPr>
          <w:color w:val="000000"/>
          <w:lang w:val="es-ES_tradnl"/>
        </w:rPr>
      </w:pPr>
      <w:r w:rsidRPr="00CC4FCD">
        <w:rPr>
          <w:color w:val="000000"/>
          <w:lang w:val="es-ES_tradnl"/>
        </w:rPr>
        <w:t>La interpretación literal de esta disposición en relación con una asignación a una estación móvil terrestre en un país enumerado en la disposición necesitaría lo siguiente:</w:t>
      </w:r>
    </w:p>
    <w:p w14:paraId="25CD926C"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los países que figuran en la disposición;</w:t>
      </w:r>
    </w:p>
    <w:p w14:paraId="5A770CA1"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secundaria para el servicio de radiodifusión de otros países;</w:t>
      </w:r>
    </w:p>
    <w:p w14:paraId="242C5CB3"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 xml:space="preserve">un símbolo para indicar que la asignación es primaria para los servicios fijo y móvil en los países citados en los números </w:t>
      </w:r>
      <w:r w:rsidRPr="00CC4FCD">
        <w:rPr>
          <w:rStyle w:val="Artref"/>
          <w:b/>
          <w:bCs/>
          <w:color w:val="000000"/>
          <w:lang w:val="es-ES_tradnl"/>
        </w:rPr>
        <w:t>5.165</w:t>
      </w:r>
      <w:r w:rsidRPr="00CC4FCD">
        <w:rPr>
          <w:color w:val="000000"/>
          <w:lang w:val="es-ES_tradnl"/>
        </w:rPr>
        <w:t xml:space="preserve"> y </w:t>
      </w:r>
      <w:r w:rsidRPr="00CC4FCD">
        <w:rPr>
          <w:rStyle w:val="Artref"/>
          <w:b/>
          <w:bCs/>
          <w:color w:val="000000"/>
          <w:lang w:val="es-ES_tradnl"/>
        </w:rPr>
        <w:t>5.171</w:t>
      </w:r>
      <w:r w:rsidRPr="00CC4FCD">
        <w:rPr>
          <w:color w:val="000000"/>
          <w:lang w:val="es-ES_tradnl"/>
        </w:rPr>
        <w:t>;</w:t>
      </w:r>
    </w:p>
    <w:p w14:paraId="54ECFB32"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el servicio de aficionados en los países citados en el número </w:t>
      </w:r>
      <w:r w:rsidRPr="00CC4FCD">
        <w:rPr>
          <w:rStyle w:val="Artref"/>
          <w:b/>
          <w:bCs/>
          <w:color w:val="000000"/>
          <w:lang w:val="es-ES_tradnl"/>
        </w:rPr>
        <w:t>5.169</w:t>
      </w:r>
      <w:r w:rsidRPr="00CC4FCD">
        <w:rPr>
          <w:color w:val="000000"/>
          <w:lang w:val="es-ES_tradnl"/>
        </w:rPr>
        <w:t>;</w:t>
      </w:r>
    </w:p>
    <w:p w14:paraId="226D8189"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etc.</w:t>
      </w:r>
    </w:p>
    <w:p w14:paraId="5E0F2C79" w14:textId="77777777" w:rsidR="00671FC7" w:rsidRPr="00CC4FCD" w:rsidRDefault="00671FC7" w:rsidP="00671FC7">
      <w:pPr>
        <w:rPr>
          <w:color w:val="000000"/>
          <w:lang w:val="es-ES_tradnl"/>
        </w:rPr>
      </w:pPr>
      <w:r w:rsidRPr="00CC4FCD">
        <w:rPr>
          <w:color w:val="000000"/>
          <w:lang w:val="es-ES_tradnl"/>
        </w:rPr>
        <w:t>La Junta ha decidido inscribir esas asignaciones con el símbolo R en la columna 13B2 y una referencia a la disposición correspondiente en la columna 13B1.</w:t>
      </w:r>
    </w:p>
    <w:p w14:paraId="072A17A5" w14:textId="77777777" w:rsidR="000A21A1" w:rsidRPr="00CC4FCD" w:rsidRDefault="000A21A1">
      <w:pPr>
        <w:pStyle w:val="Heading8"/>
        <w:rPr>
          <w:color w:val="000000"/>
          <w:lang w:val="es-ES_tradnl"/>
        </w:rPr>
      </w:pPr>
      <w:r w:rsidRPr="00CC4FCD">
        <w:rPr>
          <w:color w:val="000000"/>
          <w:lang w:val="es-ES_tradnl"/>
        </w:rPr>
        <w:t>5.172</w:t>
      </w:r>
    </w:p>
    <w:p w14:paraId="74D9C7D1" w14:textId="77777777" w:rsidR="005060FD" w:rsidRPr="00CC4FCD" w:rsidRDefault="005060FD" w:rsidP="005060FD">
      <w:pPr>
        <w:rPr>
          <w:lang w:val="es-ES_tradnl"/>
        </w:rPr>
      </w:pPr>
      <w:r w:rsidRPr="00CC4FCD">
        <w:rPr>
          <w:lang w:val="es-ES_tradnl"/>
        </w:rPr>
        <w:t xml:space="preserve">Los </w:t>
      </w:r>
      <w:r w:rsidR="00B76779" w:rsidRPr="00CC4FCD">
        <w:rPr>
          <w:lang w:val="es-ES_tradnl"/>
        </w:rPr>
        <w:t xml:space="preserve">departamentos </w:t>
      </w:r>
      <w:r w:rsidRPr="00CC4FCD">
        <w:rPr>
          <w:lang w:val="es-ES_tradnl"/>
        </w:rPr>
        <w:t xml:space="preserve">y comunidades </w:t>
      </w:r>
      <w:r w:rsidR="00B76779" w:rsidRPr="00CC4FCD">
        <w:rPr>
          <w:lang w:val="es-ES_tradnl"/>
        </w:rPr>
        <w:t xml:space="preserve">franceses </w:t>
      </w:r>
      <w:r w:rsidRPr="00CC4FCD">
        <w:rPr>
          <w:lang w:val="es-ES_tradnl"/>
        </w:rPr>
        <w:t xml:space="preserve">de </w:t>
      </w:r>
      <w:r w:rsidR="00B76779" w:rsidRPr="00CC4FCD">
        <w:rPr>
          <w:lang w:val="es-ES_tradnl"/>
        </w:rPr>
        <w:t xml:space="preserve">ultramar </w:t>
      </w:r>
      <w:r w:rsidRPr="00CC4FCD">
        <w:rPr>
          <w:lang w:val="es-ES_tradnl"/>
        </w:rPr>
        <w:t>de la Región 2 son las siguientes zonas geográficas:</w:t>
      </w:r>
    </w:p>
    <w:p w14:paraId="61D38393" w14:textId="77777777" w:rsidR="005060FD" w:rsidRDefault="005060FD" w:rsidP="000A1EF1">
      <w:pPr>
        <w:pStyle w:val="enumlev1"/>
        <w:rPr>
          <w:lang w:val="es-ES_tradnl"/>
        </w:rPr>
      </w:pPr>
      <w:r w:rsidRPr="00CC4FCD">
        <w:rPr>
          <w:lang w:val="es-ES_tradnl"/>
        </w:rPr>
        <w:tab/>
        <w:t>Guadalupe, San Bartolomé, la parte francesa de San Martín, Guyana francesa, Martinica y San Pedro y Miquelón.</w:t>
      </w:r>
    </w:p>
    <w:p w14:paraId="0A6B98EA" w14:textId="77777777" w:rsidR="00136349" w:rsidRDefault="00136349" w:rsidP="000A1EF1">
      <w:pPr>
        <w:pStyle w:val="enumlev1"/>
        <w:rPr>
          <w:lang w:val="es-ES_tradnl"/>
        </w:rPr>
      </w:pPr>
      <w:r>
        <w:rPr>
          <w:lang w:val="es-ES_tradnl"/>
        </w:rPr>
        <w:br w:type="page"/>
      </w:r>
    </w:p>
    <w:p w14:paraId="5CD5FBCF" w14:textId="77777777" w:rsidR="000A21A1" w:rsidRPr="00CC4FCD" w:rsidRDefault="000A21A1" w:rsidP="00195921">
      <w:pPr>
        <w:pStyle w:val="Heading8"/>
        <w:spacing w:before="240"/>
        <w:rPr>
          <w:lang w:val="es-ES_tradnl"/>
        </w:rPr>
      </w:pPr>
      <w:r w:rsidRPr="00CC4FCD">
        <w:rPr>
          <w:lang w:val="es-ES_tradnl"/>
        </w:rPr>
        <w:lastRenderedPageBreak/>
        <w:t>5.233</w:t>
      </w:r>
    </w:p>
    <w:p w14:paraId="182A13E3" w14:textId="77777777" w:rsidR="00671FC7" w:rsidRPr="00CC4FCD" w:rsidRDefault="00671FC7" w:rsidP="00671FC7">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banda mencionada en esta disposición está atribuida, en la parte del Cuadro correspondiente a la Región 3, a tres servicios: fijo, móvil y de radiodifusión. La Junta inter</w:t>
      </w:r>
      <w:r w:rsidRPr="00CC4FCD">
        <w:rPr>
          <w:color w:val="000000"/>
          <w:lang w:val="es-ES_tradnl"/>
        </w:rPr>
        <w:softHyphen/>
        <w:t>preta esta situación como sigue:</w:t>
      </w:r>
    </w:p>
    <w:p w14:paraId="21499D38" w14:textId="77777777" w:rsidR="00671FC7" w:rsidRPr="00CC4FCD" w:rsidRDefault="00671FC7" w:rsidP="00671FC7">
      <w:pPr>
        <w:pStyle w:val="enumlev1"/>
        <w:rPr>
          <w:color w:val="000000"/>
          <w:lang w:val="es-ES_tradnl"/>
        </w:rPr>
      </w:pPr>
      <w:r w:rsidRPr="00CC4FCD">
        <w:rPr>
          <w:i/>
          <w:color w:val="000000"/>
          <w:lang w:val="es-ES_tradnl"/>
        </w:rPr>
        <w:t>a)</w:t>
      </w:r>
      <w:r w:rsidRPr="00CC4FCD">
        <w:rPr>
          <w:color w:val="000000"/>
          <w:lang w:val="es-ES_tradnl"/>
        </w:rPr>
        <w:tab/>
        <w:t xml:space="preserve">La aplicación con éxito del número </w:t>
      </w:r>
      <w:r w:rsidRPr="00CC4FCD">
        <w:rPr>
          <w:rStyle w:val="Artref"/>
          <w:b/>
          <w:bCs/>
          <w:color w:val="000000"/>
          <w:lang w:val="es-ES_tradnl"/>
        </w:rPr>
        <w:t>9.21</w:t>
      </w:r>
      <w:r w:rsidRPr="00CC4FCD">
        <w:rPr>
          <w:color w:val="000000"/>
          <w:lang w:val="es-ES_tradnl"/>
        </w:rPr>
        <w:t xml:space="preserve"> a los servicios espaciales les dará una categoría igual que la que tienen los servicios fijo y móvil, es decir, primaria.</w:t>
      </w:r>
    </w:p>
    <w:p w14:paraId="20213833" w14:textId="77777777" w:rsidR="0024529F" w:rsidRPr="00CC4FCD" w:rsidRDefault="0024529F" w:rsidP="0024529F">
      <w:pPr>
        <w:pStyle w:val="enumlev1"/>
        <w:rPr>
          <w:color w:val="000000"/>
          <w:lang w:val="es-ES_tradnl"/>
        </w:rPr>
      </w:pPr>
      <w:r w:rsidRPr="00CC4FCD">
        <w:rPr>
          <w:i/>
          <w:color w:val="000000"/>
          <w:lang w:val="es-ES_tradnl"/>
        </w:rPr>
        <w:t>b)</w:t>
      </w:r>
      <w:r w:rsidRPr="00CC4FCD">
        <w:rPr>
          <w:color w:val="000000"/>
          <w:lang w:val="es-ES_tradnl"/>
        </w:rPr>
        <w:tab/>
        <w:t xml:space="preserve">Con referencia al servicio de radiodifusión, independientemente del resultado de la aplicación del procedimiento del número </w:t>
      </w:r>
      <w:r w:rsidRPr="00CC4FCD">
        <w:rPr>
          <w:rStyle w:val="Artref"/>
          <w:b/>
          <w:bCs/>
          <w:color w:val="000000"/>
          <w:lang w:val="es-ES_tradnl"/>
        </w:rPr>
        <w:t>9.21</w:t>
      </w:r>
      <w:r w:rsidRPr="00CC4FCD">
        <w:rPr>
          <w:color w:val="000000"/>
          <w:lang w:val="es-ES_tradnl"/>
        </w:rPr>
        <w:t xml:space="preserve"> los servicios espaciales sólo pueden funcionar con arreglo al número </w:t>
      </w:r>
      <w:r w:rsidRPr="00CC4FCD">
        <w:rPr>
          <w:rStyle w:val="Artref"/>
          <w:b/>
          <w:bCs/>
          <w:color w:val="000000"/>
          <w:lang w:val="es-ES_tradnl"/>
        </w:rPr>
        <w:t>5.43</w:t>
      </w:r>
      <w:r w:rsidRPr="00CC4FCD">
        <w:rPr>
          <w:color w:val="000000"/>
          <w:lang w:val="es-ES_tradnl"/>
        </w:rPr>
        <w:t>.</w:t>
      </w:r>
    </w:p>
    <w:p w14:paraId="3575C19D" w14:textId="77777777" w:rsidR="0024529F" w:rsidRPr="00CC4FCD" w:rsidRDefault="0024529F" w:rsidP="0024529F">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De</w:t>
      </w:r>
      <w:proofErr w:type="gramEnd"/>
      <w:r w:rsidRPr="00CC4FCD">
        <w:rPr>
          <w:color w:val="000000"/>
          <w:lang w:val="es-ES_tradnl"/>
        </w:rPr>
        <w:t xml:space="preserve"> conformidad con los comentarios al número </w:t>
      </w:r>
      <w:r w:rsidRPr="00CC4FCD">
        <w:rPr>
          <w:rStyle w:val="Artref"/>
          <w:b/>
          <w:bCs/>
          <w:color w:val="000000"/>
          <w:lang w:val="es-ES_tradnl"/>
        </w:rPr>
        <w:t>5.164</w:t>
      </w:r>
      <w:r w:rsidRPr="00CC4FCD">
        <w:rPr>
          <w:color w:val="000000"/>
          <w:lang w:val="es-ES_tradnl"/>
        </w:rPr>
        <w:t>, cuando una asignación sea primaria para un servicio (o país) y secundaria para otro servicio (o país), se la inscribirá con el símbolo R en la columna 13B2 que indique esta situación y una referencia a la disposición correspondiente en la columna 13B1.</w:t>
      </w:r>
    </w:p>
    <w:p w14:paraId="019169A6" w14:textId="77777777" w:rsidR="000A21A1" w:rsidRPr="00CC4FCD" w:rsidRDefault="000A21A1" w:rsidP="0085392A">
      <w:pPr>
        <w:pStyle w:val="Heading8"/>
        <w:spacing w:before="360"/>
        <w:rPr>
          <w:color w:val="000000"/>
          <w:lang w:val="es-ES_tradnl"/>
        </w:rPr>
      </w:pPr>
      <w:r w:rsidRPr="00CC4FCD">
        <w:rPr>
          <w:color w:val="000000"/>
          <w:lang w:val="es-ES_tradnl"/>
        </w:rPr>
        <w:t>5.257</w:t>
      </w:r>
    </w:p>
    <w:p w14:paraId="428EAEF7" w14:textId="77777777" w:rsidR="0024529F" w:rsidRPr="00CC4FCD" w:rsidRDefault="0024529F" w:rsidP="000A1EF1">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telemedida espacial queda limitada a las mediciones efectuadas en el vehículo espacial y éstas pueden:</w:t>
      </w:r>
    </w:p>
    <w:p w14:paraId="76DB1345"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ser efectuadas por un sensor para detectar fenómenos en el exterior del vehículo espacial, o</w:t>
      </w:r>
    </w:p>
    <w:p w14:paraId="4D7F25B1"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estar relacionadas con el funcionamiento del vehículo espacial.</w:t>
      </w:r>
    </w:p>
    <w:p w14:paraId="21D5D93C" w14:textId="77777777" w:rsidR="0024529F" w:rsidRPr="00CC4FCD" w:rsidRDefault="0024529F" w:rsidP="0024529F">
      <w:pPr>
        <w:rPr>
          <w:color w:val="000000"/>
          <w:lang w:val="es-ES_tradnl"/>
        </w:rPr>
      </w:pPr>
      <w:r w:rsidRPr="00CC4FCD">
        <w:rPr>
          <w:color w:val="000000"/>
          <w:lang w:val="es-ES_tradnl"/>
        </w:rPr>
        <w:t>Las mediciones del primer tipo corresponden normalmente a servicios como el de exploración de la Tierra por satélite o el de investigación espacial y las del segundo tipo al servicio de operaciones espaciales. En esta disposición no se dice a qué servicio se hace la atribución adicional. La Junta interpreta que se limita a la telemedida espacial en el servicio de operaciones espaciales. Por consiguiente, las asignaciones de frecuencia para telemedida (espacio-Tierra) en el servicio de operaciones espaciales en la banda 267-272 MHz se pueden utilizar a título secundario sin condición alguna y pueden recibir una atribución a título primario dentro del territorio de la administración notificante después de la aplicación con éxito del procedimiento del número </w:t>
      </w:r>
      <w:r w:rsidRPr="00CC4FCD">
        <w:rPr>
          <w:rStyle w:val="Artref"/>
          <w:b/>
          <w:bCs/>
          <w:color w:val="000000"/>
          <w:lang w:val="es-ES_tradnl"/>
        </w:rPr>
        <w:t>9.21</w:t>
      </w:r>
      <w:r w:rsidRPr="00CC4FCD">
        <w:rPr>
          <w:color w:val="000000"/>
          <w:lang w:val="es-ES_tradnl"/>
        </w:rPr>
        <w:t>.</w:t>
      </w:r>
    </w:p>
    <w:p w14:paraId="23FB95C9" w14:textId="77777777" w:rsidR="0024529F" w:rsidRPr="00CC4FCD" w:rsidRDefault="0024529F" w:rsidP="0024529F">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condición </w:t>
      </w:r>
      <w:r w:rsidRPr="008A7524">
        <w:rPr>
          <w:i/>
          <w:iCs/>
          <w:color w:val="000000"/>
          <w:lang w:val="es-ES_tradnl"/>
        </w:rPr>
        <w:t>«en su propio país»</w:t>
      </w:r>
      <w:r w:rsidRPr="00CC4FCD">
        <w:rPr>
          <w:color w:val="000000"/>
          <w:lang w:val="es-ES_tradnl"/>
        </w:rPr>
        <w:t xml:space="preserve"> es fácil de controlar cuando se trata de una estación terrena, pero no lo es tanto en el caso de una estación espacial. La Junta estima que esta disposición se aplicará a las estaciones espaciales cuya zona de servicio se limite al territorio de la administración notificante.</w:t>
      </w:r>
    </w:p>
    <w:p w14:paraId="05AE0256" w14:textId="77777777" w:rsidR="00781222" w:rsidRDefault="00781222" w:rsidP="00777E40">
      <w:pPr>
        <w:spacing w:before="80"/>
        <w:rPr>
          <w:color w:val="000000"/>
          <w:lang w:val="es-ES_tradnl"/>
        </w:rPr>
      </w:pPr>
      <w:r>
        <w:rPr>
          <w:color w:val="000000"/>
          <w:lang w:val="es-ES_tradnl"/>
        </w:rPr>
        <w:br w:type="page"/>
      </w:r>
    </w:p>
    <w:p w14:paraId="7F9C4733" w14:textId="77777777" w:rsidR="000C23C9" w:rsidRPr="00CC4FCD" w:rsidRDefault="000C23C9" w:rsidP="000C23C9">
      <w:pPr>
        <w:pStyle w:val="Heading8"/>
        <w:spacing w:before="360"/>
        <w:rPr>
          <w:color w:val="000000"/>
          <w:lang w:val="es-ES_tradnl"/>
        </w:rPr>
      </w:pPr>
      <w:r w:rsidRPr="00CC4FCD">
        <w:rPr>
          <w:color w:val="000000"/>
          <w:lang w:val="es-ES_tradnl"/>
        </w:rPr>
        <w:lastRenderedPageBreak/>
        <w:t>5.281</w:t>
      </w:r>
    </w:p>
    <w:p w14:paraId="296464F1" w14:textId="77777777" w:rsidR="000C23C9" w:rsidRDefault="000C23C9" w:rsidP="000C23C9">
      <w:pPr>
        <w:spacing w:line="250" w:lineRule="exact"/>
        <w:rPr>
          <w:rFonts w:ascii="TimesNewRoman" w:hAnsi="TimesNewRoman" w:cs="TimesNewRoman"/>
          <w:szCs w:val="24"/>
          <w:lang w:val="es-ES_tradnl"/>
        </w:rPr>
      </w:pPr>
      <w:r w:rsidRPr="00CC4FCD">
        <w:rPr>
          <w:rFonts w:ascii="TimesNewRoman" w:hAnsi="TimesNewRoman" w:cs="TimesNewRoman"/>
          <w:szCs w:val="24"/>
          <w:lang w:val="es-ES_tradnl"/>
        </w:rPr>
        <w:t xml:space="preserve">En relación con los departamentos y comunidades franceses de ultramar de la Región 2, véanse los comentarios de las Reglas de Procedimiento relativas al número </w:t>
      </w:r>
      <w:r w:rsidRPr="00CC4FCD">
        <w:rPr>
          <w:b/>
          <w:bCs/>
          <w:szCs w:val="24"/>
          <w:lang w:val="es-ES_tradnl"/>
        </w:rPr>
        <w:t>5.172</w:t>
      </w:r>
      <w:r w:rsidRPr="00CC4FCD">
        <w:rPr>
          <w:rFonts w:ascii="TimesNewRoman" w:hAnsi="TimesNewRoman" w:cs="TimesNewRoman"/>
          <w:szCs w:val="24"/>
          <w:lang w:val="es-ES_tradnl"/>
        </w:rPr>
        <w:t>.</w:t>
      </w:r>
    </w:p>
    <w:p w14:paraId="0B813D4F" w14:textId="77777777" w:rsidR="00781222" w:rsidRPr="00CC4FCD" w:rsidRDefault="00781222" w:rsidP="00781222">
      <w:pPr>
        <w:pStyle w:val="Heading8"/>
        <w:spacing w:before="240"/>
        <w:rPr>
          <w:color w:val="000000"/>
          <w:lang w:val="es-ES_tradnl"/>
        </w:rPr>
      </w:pPr>
      <w:r w:rsidRPr="00CC4FCD">
        <w:rPr>
          <w:color w:val="000000"/>
          <w:lang w:val="es-ES_tradnl"/>
        </w:rPr>
        <w:t>5.291</w:t>
      </w:r>
    </w:p>
    <w:p w14:paraId="7819A54F" w14:textId="77777777" w:rsidR="00781222" w:rsidRDefault="00781222" w:rsidP="00781222">
      <w:pPr>
        <w:spacing w:before="80"/>
        <w:rPr>
          <w:color w:val="000000"/>
          <w:lang w:val="es-ES_tradnl"/>
        </w:rPr>
      </w:pPr>
      <w:r w:rsidRPr="00CC4FCD">
        <w:rPr>
          <w:color w:val="000000"/>
          <w:lang w:val="es-ES_tradnl"/>
        </w:rPr>
        <w:t xml:space="preserve">Como esta disposición es análoga a la contenida en el número </w:t>
      </w:r>
      <w:r w:rsidRPr="00CC4FCD">
        <w:rPr>
          <w:rStyle w:val="Artref"/>
          <w:b/>
          <w:bCs/>
          <w:color w:val="000000"/>
          <w:lang w:val="es-ES_tradnl"/>
        </w:rPr>
        <w:t>5.233</w:t>
      </w:r>
      <w:r w:rsidRPr="00CC4FCD">
        <w:rPr>
          <w:color w:val="000000"/>
          <w:lang w:val="es-ES_tradnl"/>
        </w:rPr>
        <w:t>, los comentarios son también idénticos.</w:t>
      </w:r>
    </w:p>
    <w:p w14:paraId="0AE7CEF3" w14:textId="77777777" w:rsidR="003B6DEF" w:rsidRPr="003B6DEF" w:rsidRDefault="003B6DEF" w:rsidP="00D80EB5">
      <w:pPr>
        <w:pStyle w:val="Heading8"/>
        <w:spacing w:before="0"/>
        <w:rPr>
          <w:color w:val="000000"/>
          <w:lang w:val="es-ES_tradnl"/>
        </w:rPr>
      </w:pPr>
      <w:r w:rsidRPr="003B6DEF">
        <w:rPr>
          <w:color w:val="000000"/>
          <w:lang w:val="es-ES_tradnl"/>
        </w:rPr>
        <w:t>5.312A</w:t>
      </w:r>
      <w:r w:rsidRPr="003B6DEF">
        <w:rPr>
          <w:color w:val="000000"/>
          <w:lang w:val="es-ES_tradnl"/>
        </w:rPr>
        <w:tab/>
      </w:r>
      <w:r w:rsidRPr="003B6DEF">
        <w:rPr>
          <w:color w:val="000000"/>
          <w:lang w:val="es-ES_tradnl"/>
        </w:rPr>
        <w:tab/>
      </w:r>
    </w:p>
    <w:p w14:paraId="79FAEE81" w14:textId="33486621"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1</w:t>
      </w:r>
      <w:r w:rsidRPr="003B6DEF">
        <w:rPr>
          <w:rFonts w:asciiTheme="majorBidi" w:hAnsiTheme="majorBidi" w:cstheme="majorBidi"/>
          <w:lang w:val="es-ES_tradnl"/>
        </w:rPr>
        <w:tab/>
      </w:r>
      <w:proofErr w:type="gramStart"/>
      <w:r w:rsidRPr="003B6DEF">
        <w:rPr>
          <w:rFonts w:asciiTheme="majorBidi" w:hAnsiTheme="majorBidi" w:cstheme="majorBidi"/>
          <w:lang w:val="es-ES_tradnl"/>
        </w:rPr>
        <w:t>Esta</w:t>
      </w:r>
      <w:proofErr w:type="gramEnd"/>
      <w:r w:rsidRPr="003B6DEF">
        <w:rPr>
          <w:rFonts w:asciiTheme="majorBidi" w:hAnsiTheme="majorBidi" w:cstheme="majorBidi"/>
          <w:lang w:val="es-ES_tradnl"/>
        </w:rPr>
        <w:t xml:space="preserve"> disposición estipula a través de la Resolución</w:t>
      </w:r>
      <w:r w:rsidR="00641E84">
        <w:rPr>
          <w:rFonts w:asciiTheme="majorBidi" w:hAnsiTheme="majorBidi" w:cstheme="majorBidi"/>
          <w:lang w:val="es-ES_tradnl"/>
        </w:rPr>
        <w:t> </w:t>
      </w:r>
      <w:r w:rsidRPr="003B6DEF">
        <w:rPr>
          <w:rFonts w:asciiTheme="majorBidi" w:hAnsiTheme="majorBidi" w:cstheme="majorBidi"/>
          <w:b/>
          <w:bCs/>
          <w:lang w:val="es-ES_tradnl"/>
        </w:rPr>
        <w:t>760 (</w:t>
      </w:r>
      <w:r w:rsidR="00FA23D3">
        <w:rPr>
          <w:rFonts w:asciiTheme="majorBidi" w:hAnsiTheme="majorBidi" w:cstheme="majorBidi"/>
          <w:b/>
          <w:bCs/>
          <w:lang w:val="es-ES_tradnl"/>
        </w:rPr>
        <w:t>Rev.</w:t>
      </w:r>
      <w:r w:rsidRPr="003B6DEF">
        <w:rPr>
          <w:rFonts w:asciiTheme="majorBidi" w:hAnsiTheme="majorBidi" w:cstheme="majorBidi"/>
          <w:b/>
          <w:bCs/>
          <w:lang w:val="es-ES_tradnl"/>
        </w:rPr>
        <w:t>CMR-1</w:t>
      </w:r>
      <w:r w:rsidR="00291A9E">
        <w:rPr>
          <w:rFonts w:asciiTheme="majorBidi" w:hAnsiTheme="majorBidi" w:cstheme="majorBidi"/>
          <w:b/>
          <w:bCs/>
          <w:lang w:val="es-ES_tradnl"/>
        </w:rPr>
        <w:t>9</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que, en la Región 1, la utilización de la banda de frecuencias 694-790 MHz por el servicio móvil, excepto móvil aeronáutico, está sujeta al acuerdo obtenido en aplicación del número</w:t>
      </w:r>
      <w:r w:rsidR="00641E84">
        <w:rPr>
          <w:rFonts w:asciiTheme="majorBidi" w:hAnsiTheme="majorBidi" w:cstheme="majorBidi"/>
          <w:lang w:val="es-ES_tradnl"/>
        </w:rPr>
        <w:t>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respecto del servicio de radionavegación aeronáutica en los países mencionados en el número</w:t>
      </w:r>
      <w:r w:rsidR="00641E84">
        <w:rPr>
          <w:rFonts w:asciiTheme="majorBidi" w:hAnsiTheme="majorBidi" w:cstheme="majorBidi"/>
          <w:lang w:val="es-ES_tradnl"/>
        </w:rPr>
        <w:t>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w:t>
      </w:r>
    </w:p>
    <w:p w14:paraId="2A9CCDD7" w14:textId="3707BB26"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2</w:t>
      </w:r>
      <w:r w:rsidRPr="003B6DEF">
        <w:rPr>
          <w:rFonts w:asciiTheme="majorBidi" w:hAnsiTheme="majorBidi" w:cstheme="majorBidi"/>
          <w:lang w:val="es-ES_tradnl"/>
        </w:rPr>
        <w:tab/>
      </w:r>
      <w:proofErr w:type="gramStart"/>
      <w:r w:rsidRPr="003B6DEF">
        <w:rPr>
          <w:rFonts w:asciiTheme="majorBidi" w:hAnsiTheme="majorBidi" w:cstheme="majorBidi"/>
          <w:lang w:val="es-ES_tradnl"/>
        </w:rPr>
        <w:t>Los</w:t>
      </w:r>
      <w:proofErr w:type="gramEnd"/>
      <w:r w:rsidRPr="003B6DEF">
        <w:rPr>
          <w:rFonts w:asciiTheme="majorBidi" w:hAnsiTheme="majorBidi" w:cstheme="majorBidi"/>
          <w:lang w:val="es-ES_tradnl"/>
        </w:rPr>
        <w:t xml:space="preserve"> criterios para identificar las administraciones posiblemente afectadas de conformidad con 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en esta banda se especifican en el Anexo </w:t>
      </w:r>
      <w:r w:rsidRPr="003B6DEF">
        <w:rPr>
          <w:rFonts w:asciiTheme="majorBidi" w:eastAsia="SimSun" w:hAnsiTheme="majorBidi" w:cstheme="majorBidi"/>
          <w:szCs w:val="24"/>
          <w:lang w:val="es-ES_tradnl"/>
        </w:rPr>
        <w:t>a la Resolución</w:t>
      </w:r>
      <w:r w:rsidR="00641E84">
        <w:rPr>
          <w:rFonts w:asciiTheme="majorBidi" w:eastAsia="SimSun" w:hAnsiTheme="majorBidi" w:cstheme="majorBidi"/>
          <w:szCs w:val="24"/>
          <w:lang w:val="es-ES_tradnl"/>
        </w:rPr>
        <w:t> </w:t>
      </w:r>
      <w:r w:rsidRPr="003B6DEF">
        <w:rPr>
          <w:rFonts w:asciiTheme="majorBidi" w:hAnsiTheme="majorBidi" w:cstheme="majorBidi"/>
          <w:b/>
          <w:bCs/>
          <w:lang w:val="es-ES_tradnl"/>
        </w:rPr>
        <w:t>760</w:t>
      </w:r>
      <w:r w:rsidR="009E6B8C">
        <w:rPr>
          <w:rFonts w:asciiTheme="majorBidi" w:hAnsiTheme="majorBidi" w:cstheme="majorBidi"/>
          <w:b/>
          <w:bCs/>
          <w:lang w:val="es-ES_tradnl"/>
        </w:rPr>
        <w:t> </w:t>
      </w:r>
      <w:r w:rsidRPr="003B6DEF">
        <w:rPr>
          <w:rFonts w:asciiTheme="majorBidi" w:hAnsiTheme="majorBidi" w:cstheme="majorBidi"/>
          <w:b/>
          <w:bCs/>
          <w:lang w:val="es-ES_tradnl"/>
        </w:rPr>
        <w:t>(</w:t>
      </w:r>
      <w:r w:rsidR="00FA23D3">
        <w:rPr>
          <w:rFonts w:asciiTheme="majorBidi" w:hAnsiTheme="majorBidi" w:cstheme="majorBidi"/>
          <w:b/>
          <w:bCs/>
          <w:lang w:val="es-ES_tradnl"/>
        </w:rPr>
        <w:t>Rev.</w:t>
      </w:r>
      <w:r w:rsidRPr="003B6DEF">
        <w:rPr>
          <w:rFonts w:asciiTheme="majorBidi" w:hAnsiTheme="majorBidi" w:cstheme="majorBidi"/>
          <w:b/>
          <w:bCs/>
          <w:lang w:val="es-ES_tradnl"/>
        </w:rPr>
        <w:t>CMR-1</w:t>
      </w:r>
      <w:r w:rsidR="00291A9E">
        <w:rPr>
          <w:rFonts w:asciiTheme="majorBidi" w:hAnsiTheme="majorBidi" w:cstheme="majorBidi"/>
          <w:b/>
          <w:bCs/>
          <w:lang w:val="es-ES_tradnl"/>
        </w:rPr>
        <w:t>9</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en forma de distancia de coordinación, siendo 450 km la distancia más estricta </w:t>
      </w:r>
      <w:r w:rsidRPr="003B6DEF">
        <w:rPr>
          <w:rFonts w:asciiTheme="majorBidi" w:hAnsiTheme="majorBidi" w:cstheme="majorBidi"/>
          <w:color w:val="000000"/>
          <w:lang w:val="es-ES_tradnl"/>
        </w:rPr>
        <w:t>entre la estación base del servicio móvil y la estación del servicio de radionavegación aeronáutica potencialmente afectada</w:t>
      </w:r>
      <w:r w:rsidRPr="003B6DEF">
        <w:rPr>
          <w:rFonts w:asciiTheme="majorBidi" w:hAnsiTheme="majorBidi" w:cstheme="majorBidi"/>
          <w:lang w:val="es-ES_tradnl"/>
        </w:rPr>
        <w:t xml:space="preserve">. </w:t>
      </w:r>
    </w:p>
    <w:p w14:paraId="5C917810" w14:textId="77777777" w:rsidR="003B6DEF" w:rsidRPr="003B6DEF" w:rsidRDefault="003B6DEF" w:rsidP="003B6DEF">
      <w:pPr>
        <w:rPr>
          <w:rFonts w:asciiTheme="majorBidi" w:hAnsiTheme="majorBidi" w:cstheme="majorBidi"/>
          <w:b/>
          <w:bCs/>
          <w:lang w:val="es-ES_tradnl"/>
        </w:rPr>
      </w:pPr>
      <w:r w:rsidRPr="003B6DEF">
        <w:rPr>
          <w:rFonts w:asciiTheme="majorBidi" w:hAnsiTheme="majorBidi" w:cstheme="majorBidi"/>
          <w:lang w:val="es-ES_tradnl"/>
        </w:rPr>
        <w:t>3</w:t>
      </w:r>
      <w:r w:rsidRPr="003B6DEF">
        <w:rPr>
          <w:rFonts w:asciiTheme="majorBidi" w:hAnsiTheme="majorBidi" w:cstheme="majorBidi"/>
          <w:lang w:val="es-ES_tradnl"/>
        </w:rPr>
        <w:tab/>
        <w:t xml:space="preserve">Habida cuenta de que el número </w:t>
      </w:r>
      <w:r w:rsidRPr="003B6DEF">
        <w:rPr>
          <w:rFonts w:asciiTheme="majorBidi" w:hAnsiTheme="majorBidi" w:cstheme="majorBidi"/>
          <w:b/>
          <w:bCs/>
          <w:lang w:val="es-ES_tradnl"/>
        </w:rPr>
        <w:t xml:space="preserve">5.312 </w:t>
      </w:r>
      <w:r w:rsidRPr="003B6DEF">
        <w:rPr>
          <w:rFonts w:asciiTheme="majorBidi" w:hAnsiTheme="majorBidi" w:cstheme="majorBidi"/>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no necesitan aplicar el procedimiento del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a sus asignaciones del servicio móvil que funcionan con arreglo al número </w:t>
      </w:r>
      <w:r w:rsidRPr="003B6DEF">
        <w:rPr>
          <w:rFonts w:asciiTheme="majorBidi" w:hAnsiTheme="majorBidi" w:cstheme="majorBidi"/>
          <w:b/>
          <w:bCs/>
          <w:lang w:val="es-ES_tradnl"/>
        </w:rPr>
        <w:t>5.312A</w:t>
      </w:r>
      <w:r w:rsidRPr="003B6DEF">
        <w:rPr>
          <w:rFonts w:asciiTheme="majorBidi" w:hAnsiTheme="majorBidi" w:cstheme="majorBidi"/>
          <w:lang w:val="es-ES_tradnl"/>
        </w:rPr>
        <w:t>.</w:t>
      </w:r>
      <w:r w:rsidRPr="003B6DEF">
        <w:rPr>
          <w:rFonts w:asciiTheme="majorBidi" w:hAnsiTheme="majorBidi" w:cstheme="majorBidi"/>
          <w:b/>
          <w:bCs/>
          <w:lang w:val="es-ES_tradnl"/>
        </w:rPr>
        <w:t xml:space="preserve"> </w:t>
      </w:r>
    </w:p>
    <w:p w14:paraId="53B7D82D" w14:textId="77777777"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4</w:t>
      </w:r>
      <w:r w:rsidRPr="003B6DEF">
        <w:rPr>
          <w:rFonts w:asciiTheme="majorBidi" w:hAnsiTheme="majorBidi" w:cstheme="majorBidi"/>
          <w:lang w:val="es-ES_tradnl"/>
        </w:rPr>
        <w:tab/>
        <w:t xml:space="preserve">Las administraciones cuyos territorios se hallan a una distancia de 450 km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Turquía, Ucrania y Uzbekistán</w:t>
      </w:r>
      <w:r w:rsidR="003E1C8C">
        <w:rPr>
          <w:rFonts w:asciiTheme="majorBidi" w:hAnsiTheme="majorBidi" w:cstheme="majorBidi"/>
          <w:lang w:val="es-ES_tradnl"/>
        </w:rPr>
        <w:t>.</w:t>
      </w:r>
    </w:p>
    <w:p w14:paraId="4EED126F" w14:textId="77777777" w:rsidR="003B6DEF" w:rsidRDefault="003B6DEF" w:rsidP="003B6DEF">
      <w:pPr>
        <w:rPr>
          <w:lang w:val="es-ES_tradnl"/>
        </w:rPr>
      </w:pPr>
    </w:p>
    <w:p w14:paraId="77E90F3A" w14:textId="77777777" w:rsidR="005B29F7" w:rsidRDefault="005B29F7" w:rsidP="003B6DEF">
      <w:pPr>
        <w:rPr>
          <w:lang w:val="es-ES_tradnl"/>
        </w:rPr>
      </w:pPr>
      <w:r>
        <w:rPr>
          <w:lang w:val="es-ES_tradnl"/>
        </w:rPr>
        <w:br w:type="page"/>
      </w:r>
    </w:p>
    <w:p w14:paraId="42FA1B48" w14:textId="77777777" w:rsidR="008F6A8F" w:rsidRPr="00BC7DA3" w:rsidRDefault="00D0570C" w:rsidP="00CA0651">
      <w:pPr>
        <w:pStyle w:val="Heading8"/>
        <w:keepNext w:val="0"/>
        <w:keepLines w:val="0"/>
        <w:spacing w:before="160"/>
        <w:rPr>
          <w:color w:val="000000"/>
          <w:lang w:val="es-ES_tradnl"/>
        </w:rPr>
      </w:pPr>
      <w:r w:rsidRPr="00BC7DA3">
        <w:rPr>
          <w:color w:val="000000"/>
          <w:lang w:val="es-ES_tradnl"/>
        </w:rPr>
        <w:lastRenderedPageBreak/>
        <w:t>5.316B</w:t>
      </w:r>
      <w:r w:rsidRPr="00BC7DA3">
        <w:rPr>
          <w:color w:val="000000"/>
          <w:lang w:val="es-ES_tradnl"/>
        </w:rPr>
        <w:tab/>
      </w:r>
      <w:r w:rsidRPr="00BC7DA3">
        <w:rPr>
          <w:color w:val="000000"/>
          <w:lang w:val="es-ES_tradnl"/>
        </w:rPr>
        <w:tab/>
      </w:r>
    </w:p>
    <w:p w14:paraId="0FF572B3" w14:textId="77777777" w:rsidR="00CC1758" w:rsidRPr="00CC1758" w:rsidRDefault="00CC1758" w:rsidP="00C82C1C">
      <w:pPr>
        <w:spacing w:before="160"/>
        <w:rPr>
          <w:lang w:val="es-ES_tradnl"/>
        </w:rPr>
      </w:pPr>
      <w:r w:rsidRPr="00CC1758">
        <w:rPr>
          <w:lang w:val="es-ES_tradnl"/>
        </w:rPr>
        <w:t>1</w:t>
      </w:r>
      <w:r w:rsidRPr="00CC1758">
        <w:rPr>
          <w:lang w:val="es-ES_tradnl"/>
        </w:rPr>
        <w:tab/>
      </w:r>
      <w:proofErr w:type="gramStart"/>
      <w:r w:rsidRPr="00CC1758">
        <w:rPr>
          <w:lang w:val="es-ES_tradnl"/>
        </w:rPr>
        <w:t>Esta</w:t>
      </w:r>
      <w:proofErr w:type="gramEnd"/>
      <w:r w:rsidRPr="00CC1758">
        <w:rPr>
          <w:lang w:val="es-ES_tradnl"/>
        </w:rPr>
        <w:t xml:space="preserve"> disposición estipula, entre otras cosas, que en la Región 1 la atribución al servicio móvil, salvo móvil aeronáutico, en la banda de frecuencias 790</w:t>
      </w:r>
      <w:r w:rsidRPr="00CC1758">
        <w:rPr>
          <w:lang w:val="es-ES_tradnl"/>
        </w:rPr>
        <w:noBreakHyphen/>
        <w:t xml:space="preserve">862 MHz está sujeta a la obtención del acuerdo indicado en el número </w:t>
      </w:r>
      <w:r w:rsidRPr="00CC1758">
        <w:rPr>
          <w:b/>
          <w:bCs/>
          <w:lang w:val="es-ES_tradnl"/>
        </w:rPr>
        <w:t>9.21</w:t>
      </w:r>
      <w:r w:rsidRPr="00CC1758">
        <w:rPr>
          <w:lang w:val="es-ES_tradnl"/>
        </w:rPr>
        <w:t xml:space="preserve"> con respecto al servicio de navegación aeronáutica en los países mencionados en el número</w:t>
      </w:r>
      <w:r w:rsidRPr="00CC1758">
        <w:rPr>
          <w:b/>
          <w:bCs/>
          <w:lang w:val="es-ES_tradnl"/>
        </w:rPr>
        <w:t xml:space="preserve"> 5.312</w:t>
      </w:r>
      <w:r w:rsidRPr="00CC1758">
        <w:rPr>
          <w:lang w:val="es-ES_tradnl"/>
        </w:rPr>
        <w:t>.</w:t>
      </w:r>
    </w:p>
    <w:p w14:paraId="563DF2D3" w14:textId="66DBFCB9" w:rsidR="00CC1758" w:rsidRPr="00CC1758" w:rsidRDefault="00CC1758" w:rsidP="00C82C1C">
      <w:pPr>
        <w:spacing w:before="160"/>
        <w:rPr>
          <w:lang w:val="es-ES_tradnl"/>
        </w:rPr>
      </w:pPr>
      <w:r w:rsidRPr="00CC1758">
        <w:rPr>
          <w:lang w:val="es-ES_tradnl"/>
        </w:rPr>
        <w:t>2</w:t>
      </w:r>
      <w:r w:rsidRPr="00CC1758">
        <w:rPr>
          <w:lang w:val="es-ES_tradnl"/>
        </w:rPr>
        <w:tab/>
      </w:r>
      <w:proofErr w:type="gramStart"/>
      <w:r w:rsidRPr="00CC1758">
        <w:rPr>
          <w:lang w:val="es-ES_tradnl"/>
        </w:rPr>
        <w:t>Los</w:t>
      </w:r>
      <w:proofErr w:type="gramEnd"/>
      <w:r w:rsidRPr="00CC1758">
        <w:rPr>
          <w:lang w:val="es-ES_tradnl"/>
        </w:rPr>
        <w:t xml:space="preserve"> criterios para identificar las administraciones posiblemente afectadas de conformidad con el número </w:t>
      </w:r>
      <w:r w:rsidRPr="00CC1758">
        <w:rPr>
          <w:b/>
          <w:bCs/>
          <w:lang w:val="es-ES_tradnl"/>
        </w:rPr>
        <w:t>9.21</w:t>
      </w:r>
      <w:r w:rsidRPr="00CC1758">
        <w:rPr>
          <w:lang w:val="es-ES_tradnl"/>
        </w:rPr>
        <w:t xml:space="preserve"> en esta banda se especifican en el Anexo </w:t>
      </w:r>
      <w:r w:rsidRPr="00CC1758">
        <w:rPr>
          <w:rFonts w:eastAsia="SimSun"/>
          <w:szCs w:val="24"/>
          <w:lang w:val="es-ES_tradnl"/>
        </w:rPr>
        <w:t xml:space="preserve">I a la Resolución </w:t>
      </w:r>
      <w:r w:rsidRPr="00CC1758">
        <w:rPr>
          <w:b/>
          <w:bCs/>
          <w:lang w:val="es-ES_tradnl"/>
        </w:rPr>
        <w:t>749 (Rev.CMR-1</w:t>
      </w:r>
      <w:r w:rsidR="00633311">
        <w:rPr>
          <w:b/>
          <w:bCs/>
          <w:lang w:val="es-ES_tradnl"/>
        </w:rPr>
        <w:t>9</w:t>
      </w:r>
      <w:r w:rsidRPr="00CC1758">
        <w:rPr>
          <w:b/>
          <w:bCs/>
          <w:lang w:val="es-ES_tradnl"/>
        </w:rPr>
        <w:t>)</w:t>
      </w:r>
      <w:r w:rsidRPr="00CC1758">
        <w:rPr>
          <w:lang w:val="es-ES_tradnl"/>
        </w:rPr>
        <w:t xml:space="preserve"> en la forma de distancia de coordinación, siendo 450 km la distancia más estricta, </w:t>
      </w:r>
      <w:r w:rsidRPr="00CC1758">
        <w:rPr>
          <w:color w:val="000000"/>
          <w:lang w:val="es-ES_tradnl"/>
        </w:rPr>
        <w:t>entre la estación base del servicio móvil y la estación del servicio de radionavegación aeronáutica potencialmente afectada</w:t>
      </w:r>
      <w:r w:rsidRPr="00CC1758">
        <w:rPr>
          <w:lang w:val="es-ES_tradnl"/>
        </w:rPr>
        <w:t>.</w:t>
      </w:r>
    </w:p>
    <w:p w14:paraId="21997287" w14:textId="77777777" w:rsidR="00CC1758" w:rsidRPr="00CC1758" w:rsidRDefault="00CC1758" w:rsidP="00C82C1C">
      <w:pPr>
        <w:spacing w:before="120"/>
        <w:rPr>
          <w:lang w:val="es-ES_tradnl"/>
        </w:rPr>
      </w:pPr>
      <w:r w:rsidRPr="00CC1758">
        <w:rPr>
          <w:lang w:val="es-ES_tradnl"/>
        </w:rPr>
        <w:t>3</w:t>
      </w:r>
      <w:r w:rsidRPr="00CC1758">
        <w:rPr>
          <w:lang w:val="es-ES_tradnl"/>
        </w:rPr>
        <w:tab/>
        <w:t>Habida cuenta de que el número </w:t>
      </w:r>
      <w:r w:rsidRPr="00CC1758">
        <w:rPr>
          <w:b/>
          <w:bCs/>
          <w:lang w:val="es-ES_tradnl"/>
        </w:rPr>
        <w:t xml:space="preserve">5.312 </w:t>
      </w:r>
      <w:r w:rsidRPr="00CC1758">
        <w:rPr>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CC1758">
        <w:rPr>
          <w:b/>
          <w:bCs/>
          <w:lang w:val="es-ES_tradnl"/>
        </w:rPr>
        <w:t>5.312</w:t>
      </w:r>
      <w:r w:rsidRPr="00CC1758">
        <w:rPr>
          <w:lang w:val="es-ES_tradnl"/>
        </w:rPr>
        <w:t xml:space="preserve"> no necesitan aplicar el procedimiento del número </w:t>
      </w:r>
      <w:r w:rsidRPr="00CC1758">
        <w:rPr>
          <w:b/>
          <w:bCs/>
          <w:lang w:val="es-ES_tradnl"/>
        </w:rPr>
        <w:t>9.21</w:t>
      </w:r>
      <w:r w:rsidRPr="00CC1758">
        <w:rPr>
          <w:lang w:val="es-ES_tradnl"/>
        </w:rPr>
        <w:t xml:space="preserve"> a sus asignaciones del servicio móvil que funcionan con arreglo al número </w:t>
      </w:r>
      <w:r w:rsidRPr="00CC1758">
        <w:rPr>
          <w:b/>
          <w:bCs/>
          <w:lang w:val="es-ES_tradnl"/>
        </w:rPr>
        <w:t>5.316B</w:t>
      </w:r>
      <w:r w:rsidRPr="00CC1758">
        <w:rPr>
          <w:lang w:val="es-ES_tradnl"/>
        </w:rPr>
        <w:t>.</w:t>
      </w:r>
    </w:p>
    <w:p w14:paraId="16CB71C6" w14:textId="4E4288EE" w:rsidR="00D0570C" w:rsidRPr="00CC1758" w:rsidRDefault="00CC1758" w:rsidP="00C82C1C">
      <w:pPr>
        <w:spacing w:before="120"/>
        <w:rPr>
          <w:color w:val="000000"/>
          <w:lang w:val="es-ES_tradnl"/>
        </w:rPr>
      </w:pPr>
      <w:r w:rsidRPr="00CC1758">
        <w:rPr>
          <w:lang w:val="es-ES_tradnl"/>
        </w:rPr>
        <w:t>4</w:t>
      </w:r>
      <w:r w:rsidRPr="00CC1758">
        <w:rPr>
          <w:lang w:val="es-ES_tradnl"/>
        </w:rPr>
        <w:tab/>
        <w:t>Las administraciones cuyos territorios se hallan a una distancia de 450 km de los países mencionados en el número</w:t>
      </w:r>
      <w:r w:rsidR="00641E84">
        <w:rPr>
          <w:lang w:val="es-ES_tradnl"/>
        </w:rPr>
        <w:t> </w:t>
      </w:r>
      <w:r w:rsidRPr="00CC1758">
        <w:rPr>
          <w:b/>
          <w:bCs/>
          <w:lang w:val="es-ES_tradnl"/>
        </w:rPr>
        <w:t>5.312</w:t>
      </w:r>
      <w:r w:rsidRPr="00CC1758">
        <w:rPr>
          <w:lang w:val="es-ES_tradnl"/>
        </w:rPr>
        <w:t xml:space="preserve"> son las siguientes: Albania, Armenia, Austria, Azerbaiyán, Bosnia y Herzegovina, Belarús,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Turquía, Ucrania y Uzbekistán.</w:t>
      </w:r>
    </w:p>
    <w:p w14:paraId="15D86C69" w14:textId="77777777" w:rsidR="00D0570C" w:rsidRPr="00BC7DA3" w:rsidRDefault="00D0570C" w:rsidP="00C82C1C">
      <w:pPr>
        <w:pStyle w:val="Heading8"/>
        <w:spacing w:before="240"/>
        <w:rPr>
          <w:color w:val="000000"/>
          <w:lang w:val="es-ES_tradnl"/>
        </w:rPr>
      </w:pPr>
      <w:r w:rsidRPr="00BC7DA3">
        <w:rPr>
          <w:color w:val="000000"/>
          <w:lang w:val="es-ES_tradnl"/>
        </w:rPr>
        <w:t>5.327A</w:t>
      </w:r>
    </w:p>
    <w:p w14:paraId="2AC3A374" w14:textId="1F526DD2" w:rsidR="00E52196" w:rsidRPr="00FD0CF7" w:rsidRDefault="00E52196" w:rsidP="003C0B46">
      <w:pPr>
        <w:spacing w:before="160"/>
        <w:rPr>
          <w:lang w:val="es-ES"/>
        </w:rPr>
      </w:pPr>
      <w:r w:rsidRPr="00334991">
        <w:rPr>
          <w:color w:val="000000"/>
          <w:lang w:val="es-ES"/>
        </w:rPr>
        <w:t>1</w:t>
      </w:r>
      <w:r w:rsidRPr="00334991">
        <w:rPr>
          <w:color w:val="000000"/>
          <w:lang w:val="es-ES"/>
        </w:rPr>
        <w:tab/>
      </w:r>
      <w:proofErr w:type="gramStart"/>
      <w:r w:rsidRPr="00334991">
        <w:rPr>
          <w:color w:val="000000"/>
          <w:lang w:val="es-ES"/>
        </w:rPr>
        <w:t>El</w:t>
      </w:r>
      <w:proofErr w:type="gramEnd"/>
      <w:r w:rsidRPr="00334991">
        <w:rPr>
          <w:color w:val="000000"/>
          <w:lang w:val="es-ES"/>
        </w:rPr>
        <w:t xml:space="preserve"> Apéndice</w:t>
      </w:r>
      <w:r w:rsidR="00641E84">
        <w:rPr>
          <w:color w:val="000000"/>
          <w:lang w:val="es-ES"/>
        </w:rPr>
        <w:t> </w:t>
      </w:r>
      <w:r w:rsidRPr="00334991">
        <w:rPr>
          <w:b/>
          <w:bCs/>
          <w:color w:val="000000"/>
          <w:lang w:val="es-ES"/>
        </w:rPr>
        <w:t>4</w:t>
      </w:r>
      <w:r w:rsidRPr="00334991">
        <w:rPr>
          <w:color w:val="000000"/>
          <w:lang w:val="es-ES"/>
        </w:rPr>
        <w:t xml:space="preserve"> no contiene elementos de datos que permitan determinar si la asignación de frecuencias notificada está asociada a un sistema cuyo funcionamiento es conforme con las normas aeronáuticas internacionales reconocidas, o a un sistema que se ajusta a otras normas. Dado que la Oficina carece de medios para establecer tal diferencia, la Junta decidió que la Oficina no examinaría las asignaciones de frecuencias notificadas a una estación del servicio móvil aeronáutico</w:t>
      </w:r>
      <w:r>
        <w:rPr>
          <w:color w:val="000000"/>
          <w:lang w:val="es-ES"/>
        </w:rPr>
        <w:t> </w:t>
      </w:r>
      <w:r w:rsidRPr="00334991">
        <w:rPr>
          <w:color w:val="000000"/>
          <w:lang w:val="es-ES"/>
        </w:rPr>
        <w:t xml:space="preserve">(R) </w:t>
      </w:r>
      <w:r w:rsidRPr="00E52196">
        <w:rPr>
          <w:color w:val="000000"/>
          <w:lang w:val="es-ES"/>
        </w:rPr>
        <w:t xml:space="preserve">(SMA(R)) </w:t>
      </w:r>
      <w:r w:rsidRPr="00334991">
        <w:rPr>
          <w:color w:val="000000"/>
          <w:lang w:val="es-ES"/>
        </w:rPr>
        <w:t>con respecto a su conformidad con esta disposición.</w:t>
      </w:r>
    </w:p>
    <w:p w14:paraId="2E627288" w14:textId="77777777" w:rsidR="000C23C9" w:rsidRDefault="000C23C9" w:rsidP="003C0B46">
      <w:pPr>
        <w:spacing w:before="160"/>
        <w:rPr>
          <w:lang w:val="es-ES"/>
        </w:rPr>
      </w:pPr>
      <w:r>
        <w:rPr>
          <w:lang w:val="es-ES"/>
        </w:rPr>
        <w:br w:type="page"/>
      </w:r>
    </w:p>
    <w:p w14:paraId="11D099A2" w14:textId="66B00844" w:rsidR="0059682C" w:rsidRDefault="0059682C" w:rsidP="00711857">
      <w:pPr>
        <w:spacing w:before="160"/>
        <w:rPr>
          <w:lang w:val="es-ES"/>
        </w:rPr>
      </w:pPr>
      <w:r w:rsidRPr="004F6B53">
        <w:rPr>
          <w:color w:val="000000"/>
          <w:lang w:val="es-ES"/>
        </w:rPr>
        <w:lastRenderedPageBreak/>
        <w:t>2</w:t>
      </w:r>
      <w:r w:rsidRPr="004F6B53">
        <w:rPr>
          <w:color w:val="000000"/>
          <w:lang w:val="es-ES"/>
        </w:rPr>
        <w:tab/>
      </w:r>
      <w:proofErr w:type="gramStart"/>
      <w:r w:rsidRPr="004F6B53">
        <w:rPr>
          <w:color w:val="000000"/>
          <w:lang w:val="es-ES"/>
        </w:rPr>
        <w:t>Con</w:t>
      </w:r>
      <w:proofErr w:type="gramEnd"/>
      <w:r w:rsidRPr="004F6B53">
        <w:rPr>
          <w:color w:val="000000"/>
          <w:lang w:val="es-ES"/>
        </w:rPr>
        <w:t xml:space="preserve"> respecto a los requisitos de los</w:t>
      </w:r>
      <w:r w:rsidRPr="004F6B53">
        <w:rPr>
          <w:lang w:val="es-ES"/>
        </w:rPr>
        <w:t xml:space="preserve"> </w:t>
      </w:r>
      <w:r w:rsidRPr="004F6B53">
        <w:rPr>
          <w:i/>
          <w:iCs/>
          <w:lang w:val="es-ES"/>
        </w:rPr>
        <w:t>resuelve</w:t>
      </w:r>
      <w:r w:rsidR="00641E84">
        <w:rPr>
          <w:lang w:val="es-ES"/>
        </w:rPr>
        <w:t> </w:t>
      </w:r>
      <w:r w:rsidRPr="004F6B53">
        <w:rPr>
          <w:lang w:val="es-ES"/>
        </w:rPr>
        <w:t>2 y 3 de la Resolución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711857">
        <w:rPr>
          <w:b/>
          <w:bCs/>
          <w:lang w:val="es-ES"/>
        </w:rPr>
        <w:t>5</w:t>
      </w:r>
      <w:r w:rsidRPr="008C0013">
        <w:rPr>
          <w:b/>
          <w:bCs/>
          <w:lang w:val="es-ES"/>
        </w:rPr>
        <w:t>)</w:t>
      </w:r>
      <w:r w:rsidRPr="004F6B53">
        <w:rPr>
          <w:lang w:val="es-ES"/>
        </w:rPr>
        <w:t xml:space="preserve">, la Junta decidió que la Oficina no examinará las asignaciones de frecuencias notificadas a una estación del SMA(R) desde el punto de vista de su </w:t>
      </w:r>
      <w:r w:rsidRPr="00334991">
        <w:rPr>
          <w:lang w:val="es-ES"/>
        </w:rPr>
        <w:t>conformidad</w:t>
      </w:r>
      <w:r w:rsidRPr="004F6B53">
        <w:rPr>
          <w:lang w:val="es-ES"/>
        </w:rPr>
        <w:t xml:space="preserve"> con estas disposiciones, pues el Ap</w:t>
      </w:r>
      <w:r w:rsidRPr="00334991">
        <w:rPr>
          <w:lang w:val="es-ES"/>
        </w:rPr>
        <w:t>éndice</w:t>
      </w:r>
      <w:r w:rsidRPr="004F6B53">
        <w:rPr>
          <w:lang w:val="es-ES"/>
        </w:rPr>
        <w:t xml:space="preserve"> </w:t>
      </w:r>
      <w:r w:rsidRPr="004F6B53">
        <w:rPr>
          <w:b/>
          <w:bCs/>
          <w:lang w:val="es-ES"/>
        </w:rPr>
        <w:t>4</w:t>
      </w:r>
      <w:r w:rsidRPr="004F6B53">
        <w:rPr>
          <w:lang w:val="es-ES"/>
        </w:rPr>
        <w:t xml:space="preserve"> </w:t>
      </w:r>
      <w:r w:rsidRPr="00334991">
        <w:rPr>
          <w:lang w:val="es-ES"/>
        </w:rPr>
        <w:t>no contiene datos que puedan ayudar a determinar si la notificación se refiere al sistema transceptor de acceso universal o a otros sistemas del SMA(R)</w:t>
      </w:r>
      <w:r w:rsidRPr="004F6B53">
        <w:rPr>
          <w:lang w:val="es-ES"/>
        </w:rPr>
        <w:t>.</w:t>
      </w:r>
      <w:r>
        <w:rPr>
          <w:color w:val="000000"/>
          <w:lang w:val="es-ES"/>
        </w:rPr>
        <w:t xml:space="preserve">    </w:t>
      </w:r>
    </w:p>
    <w:p w14:paraId="0AA2A79C" w14:textId="4101D965" w:rsidR="000C23C9" w:rsidRDefault="000C23C9" w:rsidP="00527112">
      <w:pPr>
        <w:spacing w:before="160"/>
        <w:rPr>
          <w:lang w:val="es-ES"/>
        </w:rPr>
      </w:pPr>
      <w:r w:rsidRPr="004F6B53">
        <w:rPr>
          <w:lang w:val="es-ES"/>
        </w:rPr>
        <w:t>3</w:t>
      </w:r>
      <w:r w:rsidRPr="004F6B53">
        <w:rPr>
          <w:lang w:val="es-ES"/>
        </w:rPr>
        <w:tab/>
      </w:r>
      <w:proofErr w:type="gramStart"/>
      <w:r w:rsidRPr="004F6B53">
        <w:rPr>
          <w:lang w:val="es-ES"/>
        </w:rPr>
        <w:t>Con</w:t>
      </w:r>
      <w:proofErr w:type="gramEnd"/>
      <w:r w:rsidRPr="004F6B53">
        <w:rPr>
          <w:lang w:val="es-ES"/>
        </w:rPr>
        <w:t xml:space="preserve"> respecto a los límites de potencia del </w:t>
      </w:r>
      <w:r w:rsidRPr="004F6B53">
        <w:rPr>
          <w:i/>
          <w:iCs/>
          <w:lang w:val="es-ES"/>
        </w:rPr>
        <w:t>resuelve</w:t>
      </w:r>
      <w:r w:rsidRPr="004F6B53">
        <w:rPr>
          <w:lang w:val="es-ES"/>
        </w:rPr>
        <w:t xml:space="preserve"> 6 de la Resolució</w:t>
      </w:r>
      <w:r w:rsidR="008C6552">
        <w:rPr>
          <w:lang w:val="es-ES"/>
        </w:rPr>
        <w:t>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527112">
        <w:rPr>
          <w:b/>
          <w:bCs/>
          <w:lang w:val="es-ES"/>
        </w:rPr>
        <w:t>5</w:t>
      </w:r>
      <w:r w:rsidRPr="008C0013">
        <w:rPr>
          <w:b/>
          <w:bCs/>
          <w:lang w:val="es-ES"/>
        </w:rPr>
        <w:t>)</w:t>
      </w:r>
      <w:r w:rsidRPr="004F6B53">
        <w:rPr>
          <w:lang w:val="es-ES"/>
        </w:rPr>
        <w:t>, la Junta decidió que la Oficina verificará los límites de p.i.r.e. de las estaciones en tierra y a bordo de aeronaves únicamente para la banda</w:t>
      </w:r>
      <w:r w:rsidR="008C6552">
        <w:rPr>
          <w:lang w:val="es-ES"/>
        </w:rPr>
        <w:t> </w:t>
      </w:r>
      <w:r w:rsidRPr="004F6B53">
        <w:rPr>
          <w:lang w:val="es-ES"/>
        </w:rPr>
        <w:t>960</w:t>
      </w:r>
      <w:r w:rsidR="008C6552">
        <w:rPr>
          <w:lang w:val="es-ES"/>
        </w:rPr>
        <w:noBreakHyphen/>
      </w:r>
      <w:r w:rsidRPr="004F6B53">
        <w:rPr>
          <w:lang w:val="es-ES"/>
        </w:rPr>
        <w:t>1</w:t>
      </w:r>
      <w:r>
        <w:rPr>
          <w:lang w:val="es-ES"/>
        </w:rPr>
        <w:t> </w:t>
      </w:r>
      <w:r w:rsidRPr="004F6B53">
        <w:rPr>
          <w:lang w:val="es-ES"/>
        </w:rPr>
        <w:t>164</w:t>
      </w:r>
      <w:r w:rsidR="00641E84">
        <w:rPr>
          <w:lang w:val="es-ES"/>
        </w:rPr>
        <w:t> </w:t>
      </w:r>
      <w:r w:rsidRPr="004F6B53">
        <w:rPr>
          <w:lang w:val="es-ES"/>
        </w:rPr>
        <w:t xml:space="preserve">MHz, </w:t>
      </w:r>
      <w:r w:rsidRPr="00334991">
        <w:rPr>
          <w:lang w:val="es-ES"/>
        </w:rPr>
        <w:t>pues las asignaciones de frecuencias a estaciones del SMA(R) notificadas en la banda</w:t>
      </w:r>
      <w:r w:rsidRPr="004F6B53">
        <w:rPr>
          <w:lang w:val="es-ES"/>
        </w:rPr>
        <w:t xml:space="preserve"> 960</w:t>
      </w:r>
      <w:r>
        <w:rPr>
          <w:lang w:val="es-ES"/>
        </w:rPr>
        <w:noBreakHyphen/>
      </w:r>
      <w:r w:rsidRPr="004F6B53">
        <w:rPr>
          <w:lang w:val="es-ES"/>
        </w:rPr>
        <w:t>1</w:t>
      </w:r>
      <w:r>
        <w:rPr>
          <w:lang w:val="es-ES"/>
        </w:rPr>
        <w:t> 164 </w:t>
      </w:r>
      <w:r w:rsidRPr="004F6B53">
        <w:rPr>
          <w:lang w:val="es-ES"/>
        </w:rPr>
        <w:t xml:space="preserve">MHz </w:t>
      </w:r>
      <w:r w:rsidRPr="00334991">
        <w:rPr>
          <w:lang w:val="es-ES"/>
        </w:rPr>
        <w:t>no contienen información sobre las emisiones fuera de banda en la banda de frecuencias</w:t>
      </w:r>
      <w:r w:rsidRPr="004F6B53">
        <w:rPr>
          <w:lang w:val="es-ES"/>
        </w:rPr>
        <w:t xml:space="preserve"> 1</w:t>
      </w:r>
      <w:r>
        <w:rPr>
          <w:lang w:val="es-ES"/>
        </w:rPr>
        <w:t> </w:t>
      </w:r>
      <w:r w:rsidRPr="004F6B53">
        <w:rPr>
          <w:lang w:val="es-ES"/>
        </w:rPr>
        <w:t>164</w:t>
      </w:r>
      <w:r>
        <w:rPr>
          <w:lang w:val="es-ES"/>
        </w:rPr>
        <w:noBreakHyphen/>
      </w:r>
      <w:r w:rsidRPr="004F6B53">
        <w:rPr>
          <w:lang w:val="es-ES"/>
        </w:rPr>
        <w:t>1</w:t>
      </w:r>
      <w:r>
        <w:rPr>
          <w:lang w:val="es-ES"/>
        </w:rPr>
        <w:t> </w:t>
      </w:r>
      <w:r w:rsidRPr="004F6B53">
        <w:rPr>
          <w:lang w:val="es-ES"/>
        </w:rPr>
        <w:t>215 MHz.</w:t>
      </w:r>
      <w:r>
        <w:rPr>
          <w:color w:val="000000"/>
          <w:lang w:val="es-ES"/>
        </w:rPr>
        <w:t xml:space="preserve">    </w:t>
      </w:r>
    </w:p>
    <w:p w14:paraId="1D04B14A" w14:textId="5B6B5D3B" w:rsidR="006161D0" w:rsidRPr="006161D0" w:rsidRDefault="006161D0"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6161D0">
        <w:rPr>
          <w:b/>
          <w:szCs w:val="24"/>
          <w:lang w:val="es-ES_tradnl"/>
        </w:rPr>
        <w:t>5.328AA</w:t>
      </w:r>
    </w:p>
    <w:p w14:paraId="58121E67" w14:textId="77777777" w:rsidR="006161D0" w:rsidRPr="006161D0" w:rsidRDefault="006161D0" w:rsidP="006161D0">
      <w:pPr>
        <w:rPr>
          <w:lang w:val="es-ES_tradnl"/>
        </w:rPr>
      </w:pPr>
      <w:r w:rsidRPr="006161D0">
        <w:rPr>
          <w:lang w:val="es-ES_tradnl"/>
        </w:rPr>
        <w:t>1</w:t>
      </w:r>
      <w:r w:rsidRPr="006161D0">
        <w:rPr>
          <w:lang w:val="es-ES_tradnl"/>
        </w:rPr>
        <w:tab/>
        <w:t xml:space="preserve">El Apéndice </w:t>
      </w:r>
      <w:r w:rsidRPr="006161D0">
        <w:rPr>
          <w:b/>
          <w:bCs/>
          <w:lang w:val="es-ES_tradnl"/>
        </w:rPr>
        <w:t>4</w:t>
      </w:r>
      <w:r w:rsidRPr="006161D0">
        <w:rPr>
          <w:lang w:val="es-ES_tradnl"/>
        </w:rPr>
        <w:t xml:space="preserve"> no contiene elementos que permitan determinar si la asignación de frecuencias notificada del servicio móvil aeronáutico (R) por satélite (SMA(R)S) está asociada a la recepción por la estación espacial de emisiones de Vigilancia Dependiente Automática – Radiodifusión (ADS-B) </w:t>
      </w:r>
      <w:r w:rsidRPr="006161D0">
        <w:rPr>
          <w:color w:val="000000"/>
          <w:lang w:val="es-ES_tradnl"/>
        </w:rPr>
        <w:t>procedentes de los transmisores de aeronaves que funcionan de conformidad con las normas aeronáuticas internacionalmente reconocidas</w:t>
      </w:r>
      <w:r w:rsidRPr="006161D0">
        <w:rPr>
          <w:lang w:val="es-ES_tradnl"/>
        </w:rPr>
        <w:t xml:space="preserve"> o la recepción de emisiones procedentes de transmisores de aeronaves que funcionan con arreglo a otras normas. Dado que la Oficina carece de medios para establecer tal diferencia, la Junta decidió que la Oficina no examine las asignaciones de frecuencias notificadas a una estación del (SMA(R)S) con respecto a su conformidad con esta disposición.</w:t>
      </w:r>
    </w:p>
    <w:p w14:paraId="4A2529F0" w14:textId="3D37B537" w:rsidR="006161D0" w:rsidRPr="006161D0" w:rsidRDefault="006161D0" w:rsidP="006161D0">
      <w:pPr>
        <w:rPr>
          <w:lang w:val="es-ES_tradnl"/>
        </w:rPr>
      </w:pPr>
      <w:r w:rsidRPr="006161D0">
        <w:rPr>
          <w:lang w:val="es-ES_tradnl"/>
        </w:rPr>
        <w:t>2</w:t>
      </w:r>
      <w:r w:rsidRPr="006161D0">
        <w:rPr>
          <w:lang w:val="es-ES_tradnl"/>
        </w:rPr>
        <w:tab/>
      </w:r>
      <w:proofErr w:type="gramStart"/>
      <w:r w:rsidRPr="006161D0">
        <w:rPr>
          <w:lang w:val="es-ES_tradnl"/>
        </w:rPr>
        <w:t>En</w:t>
      </w:r>
      <w:proofErr w:type="gramEnd"/>
      <w:r w:rsidRPr="006161D0">
        <w:rPr>
          <w:lang w:val="es-ES_tradnl"/>
        </w:rPr>
        <w:t xml:space="preserve"> lo que respecta a los requisitos de los </w:t>
      </w:r>
      <w:r w:rsidRPr="006161D0">
        <w:rPr>
          <w:i/>
          <w:iCs/>
          <w:lang w:val="es-ES_tradnl"/>
        </w:rPr>
        <w:t>resuelve</w:t>
      </w:r>
      <w:r w:rsidRPr="006161D0">
        <w:rPr>
          <w:lang w:val="es-ES_tradnl"/>
        </w:rPr>
        <w:t xml:space="preserve"> 1, 2 y 3 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6161D0">
        <w:rPr>
          <w:lang w:val="es-ES_tradnl"/>
        </w:rPr>
        <w:t xml:space="preserve"> y a falta de elementos pertinentes en el Apéndice </w:t>
      </w:r>
      <w:r w:rsidRPr="006161D0">
        <w:rPr>
          <w:b/>
          <w:bCs/>
          <w:lang w:val="es-ES_tradnl"/>
        </w:rPr>
        <w:t>4</w:t>
      </w:r>
      <w:r w:rsidRPr="006161D0">
        <w:rPr>
          <w:lang w:val="es-ES_tradnl"/>
        </w:rPr>
        <w:t>,</w:t>
      </w:r>
      <w:r w:rsidRPr="006161D0">
        <w:rPr>
          <w:b/>
          <w:color w:val="800000"/>
          <w:lang w:val="es-ES_tradnl"/>
        </w:rPr>
        <w:t xml:space="preserve"> </w:t>
      </w:r>
      <w:r w:rsidRPr="006161D0">
        <w:rPr>
          <w:lang w:val="es-ES_tradnl"/>
        </w:rPr>
        <w:t xml:space="preserve">la Junta también decidió que la Oficina no examine la conformidad con los mencionados </w:t>
      </w:r>
      <w:r w:rsidRPr="006161D0">
        <w:rPr>
          <w:i/>
          <w:iCs/>
          <w:lang w:val="es-ES_tradnl"/>
        </w:rPr>
        <w:t xml:space="preserve">resuelve </w:t>
      </w:r>
      <w:r w:rsidRPr="006161D0">
        <w:rPr>
          <w:lang w:val="es-ES_tradnl"/>
        </w:rPr>
        <w:t>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BC7DA3">
        <w:rPr>
          <w:lang w:val="es-ES_tradnl"/>
        </w:rPr>
        <w:t>.</w:t>
      </w:r>
    </w:p>
    <w:p w14:paraId="0EC6B1D5" w14:textId="77777777" w:rsidR="006161D0" w:rsidRPr="00CC4FCD" w:rsidRDefault="006161D0" w:rsidP="006161D0">
      <w:pPr>
        <w:pStyle w:val="Heading8"/>
        <w:rPr>
          <w:color w:val="000000"/>
          <w:lang w:val="es-ES_tradnl"/>
        </w:rPr>
      </w:pPr>
      <w:r w:rsidRPr="00CC4FCD">
        <w:rPr>
          <w:color w:val="000000"/>
          <w:lang w:val="es-ES_tradnl"/>
        </w:rPr>
        <w:t>5.329</w:t>
      </w:r>
    </w:p>
    <w:p w14:paraId="77A10374" w14:textId="77777777" w:rsidR="00894766" w:rsidRPr="00CC4FCD" w:rsidRDefault="00894766" w:rsidP="00894766">
      <w:pPr>
        <w:rPr>
          <w:color w:val="000000"/>
          <w:lang w:val="es-ES_tradnl"/>
        </w:rPr>
      </w:pPr>
      <w:r w:rsidRPr="00CC4FCD">
        <w:rPr>
          <w:color w:val="000000"/>
          <w:lang w:val="es-ES_tradnl"/>
        </w:rPr>
        <w:t xml:space="preserve">Si se inscriben las asignaciones a estaciones del servicio de radionavegación por satélite hay que indicar que no causarán interferencia perjudicial a las asignaciones a estaciones del servicio de radionavegación de los países enumerados en el número </w:t>
      </w:r>
      <w:r w:rsidRPr="00CC4FCD">
        <w:rPr>
          <w:rStyle w:val="Artref"/>
          <w:b/>
          <w:bCs/>
          <w:color w:val="000000"/>
          <w:lang w:val="es-ES_tradnl"/>
        </w:rPr>
        <w:t>5.331</w:t>
      </w:r>
      <w:r w:rsidRPr="00CC4FCD">
        <w:rPr>
          <w:color w:val="000000"/>
          <w:lang w:val="es-ES_tradnl"/>
        </w:rPr>
        <w:t xml:space="preserve"> y a estaciones del servicio de radiolocalización (símbolo R en la columna 13B2 y referencia al número </w:t>
      </w:r>
      <w:r w:rsidRPr="00CC4FCD">
        <w:rPr>
          <w:rStyle w:val="Artref"/>
          <w:b/>
          <w:bCs/>
          <w:color w:val="000000"/>
          <w:lang w:val="es-ES_tradnl"/>
        </w:rPr>
        <w:t>5.329</w:t>
      </w:r>
      <w:r w:rsidRPr="00CC4FCD">
        <w:rPr>
          <w:color w:val="000000"/>
          <w:lang w:val="es-ES_tradnl"/>
        </w:rPr>
        <w:t xml:space="preserve"> en la columna 13B1).</w:t>
      </w:r>
    </w:p>
    <w:p w14:paraId="770E797D" w14:textId="77777777" w:rsidR="0059682C" w:rsidRDefault="0059682C" w:rsidP="0059682C">
      <w:pPr>
        <w:rPr>
          <w:lang w:val="es-ES_tradnl"/>
        </w:rPr>
      </w:pPr>
      <w:r>
        <w:rPr>
          <w:lang w:val="es-ES_tradnl"/>
        </w:rPr>
        <w:br w:type="page"/>
      </w:r>
    </w:p>
    <w:p w14:paraId="0157B676" w14:textId="77777777" w:rsidR="008F6A8F" w:rsidRPr="00CC4FCD" w:rsidRDefault="008F6A8F" w:rsidP="008F6A8F">
      <w:pPr>
        <w:pStyle w:val="Heading8"/>
        <w:rPr>
          <w:color w:val="000000"/>
          <w:lang w:val="es-ES_tradnl"/>
        </w:rPr>
      </w:pPr>
      <w:r w:rsidRPr="00CC4FCD">
        <w:rPr>
          <w:color w:val="000000"/>
          <w:lang w:val="es-ES_tradnl"/>
        </w:rPr>
        <w:lastRenderedPageBreak/>
        <w:t>5.340</w:t>
      </w:r>
    </w:p>
    <w:p w14:paraId="1CFF7EB2" w14:textId="77777777" w:rsidR="00894766" w:rsidRDefault="00894766" w:rsidP="00894766">
      <w:pPr>
        <w:rPr>
          <w:color w:val="000000"/>
          <w:lang w:val="es-ES_tradnl"/>
        </w:rPr>
      </w:pPr>
      <w:r w:rsidRPr="00CC4FCD">
        <w:rPr>
          <w:color w:val="000000"/>
          <w:lang w:val="es-ES_tradnl"/>
        </w:rPr>
        <w:t>Se aplican los comentarios de las Reglas de Procedimiento relativas al número </w:t>
      </w:r>
      <w:r w:rsidRPr="00CC4FCD">
        <w:rPr>
          <w:rStyle w:val="Artref"/>
          <w:b/>
          <w:bCs/>
          <w:color w:val="000000"/>
          <w:lang w:val="es-ES_tradnl"/>
        </w:rPr>
        <w:t>4.4</w:t>
      </w:r>
      <w:r w:rsidRPr="00CC4FCD">
        <w:rPr>
          <w:color w:val="000000"/>
          <w:lang w:val="es-ES_tradnl"/>
        </w:rPr>
        <w:t>.</w:t>
      </w:r>
    </w:p>
    <w:p w14:paraId="10AC447D" w14:textId="3E1FC008" w:rsidR="00E44E2D" w:rsidRPr="00BC7DA3"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BC7DA3">
        <w:rPr>
          <w:b/>
          <w:szCs w:val="24"/>
          <w:lang w:val="es-ES_tradnl"/>
        </w:rPr>
        <w:t>5.341A</w:t>
      </w:r>
    </w:p>
    <w:p w14:paraId="3BCC3BE0"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1</w:t>
      </w:r>
      <w:r w:rsidRPr="00E44E2D">
        <w:rPr>
          <w:rFonts w:asciiTheme="majorBidi" w:hAnsiTheme="majorBidi" w:cstheme="majorBidi"/>
          <w:lang w:val="es-ES_tradnl"/>
        </w:rPr>
        <w:tab/>
      </w:r>
      <w:proofErr w:type="gramStart"/>
      <w:r w:rsidRPr="00E44E2D">
        <w:rPr>
          <w:lang w:val="es-ES_tradnl"/>
        </w:rPr>
        <w:t>En</w:t>
      </w:r>
      <w:proofErr w:type="gramEnd"/>
      <w:r w:rsidRPr="00E44E2D">
        <w:rPr>
          <w:lang w:val="es-ES_tradnl"/>
        </w:rPr>
        <w:t xml:space="preserve"> esta disposición se estipula, entre otras cosas, que en la Región 1 la utilización de estaciones de IMT en las bandas de frecuencias 1 427</w:t>
      </w:r>
      <w:r w:rsidRPr="00E44E2D">
        <w:rPr>
          <w:lang w:val="es-ES_tradnl"/>
        </w:rPr>
        <w:noBreakHyphen/>
        <w:t>1 452 MHz y 1 492</w:t>
      </w:r>
      <w:r w:rsidRPr="00E44E2D">
        <w:rPr>
          <w:lang w:val="es-ES_tradnl"/>
        </w:rPr>
        <w:noBreakHyphen/>
        <w:t xml:space="preserve">1 518 MHz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Pr>
          <w:b/>
          <w:bCs/>
          <w:lang w:val="es-ES_tradnl"/>
        </w:rPr>
        <w:t>5.342</w:t>
      </w:r>
      <w:r w:rsidRPr="00E44E2D">
        <w:rPr>
          <w:lang w:val="es-ES_tradnl"/>
        </w:rPr>
        <w:t>. Dado que el número </w:t>
      </w:r>
      <w:r w:rsidRPr="00E44E2D">
        <w:rPr>
          <w:b/>
          <w:bCs/>
          <w:lang w:val="es-ES_tradnl"/>
        </w:rPr>
        <w:t>5.342</w:t>
      </w:r>
      <w:r w:rsidRPr="00E44E2D">
        <w:rPr>
          <w:lang w:val="es-ES_tradnl"/>
        </w:rPr>
        <w:t xml:space="preserve"> se aplica en la banda 1 429</w:t>
      </w:r>
      <w:r w:rsidRPr="00E44E2D">
        <w:rPr>
          <w:lang w:val="es-ES_tradnl"/>
        </w:rPr>
        <w:noBreakHyphen/>
        <w:t xml:space="preserve">1 535 MHz, la utilización de las estaciones de IMT que funcionan en la banda de frecuencias 1 427-1 429 MHz y no se solapan con la banda 1 429-1 535 MHz, utilizada por la telemedida aeronáutica del servicio móvil aeronáutico, no está sujeta al acuerdo obtenido en virtud del número </w:t>
      </w:r>
      <w:r w:rsidRPr="00E44E2D">
        <w:rPr>
          <w:b/>
          <w:bCs/>
          <w:lang w:val="es-ES_tradnl"/>
        </w:rPr>
        <w:t>9.21</w:t>
      </w:r>
      <w:r w:rsidRPr="00E44E2D">
        <w:rPr>
          <w:lang w:val="es-ES_tradnl"/>
        </w:rPr>
        <w:t>.</w:t>
      </w:r>
    </w:p>
    <w:p w14:paraId="2521D502" w14:textId="77777777" w:rsidR="00E44E2D" w:rsidRDefault="00E44E2D" w:rsidP="00E44E2D">
      <w:pPr>
        <w:rPr>
          <w:rFonts w:asciiTheme="minorHAnsi" w:hAnsiTheme="minorHAnsi"/>
          <w:lang w:val="es-ES_tradnl"/>
        </w:rPr>
      </w:pPr>
      <w:r w:rsidRPr="00E44E2D">
        <w:rPr>
          <w:rFonts w:asciiTheme="majorBidi" w:hAnsiTheme="majorBidi" w:cstheme="majorBidi"/>
          <w:lang w:val="es-ES_tradnl"/>
        </w:rPr>
        <w:t>2</w:t>
      </w:r>
      <w:r w:rsidRPr="00E44E2D">
        <w:rPr>
          <w:rFonts w:asciiTheme="majorBidi" w:hAnsiTheme="majorBidi" w:cstheme="majorBidi"/>
          <w:lang w:val="es-ES_tradnl"/>
        </w:rPr>
        <w:tab/>
      </w:r>
      <w:r w:rsidRPr="00E44E2D">
        <w:rPr>
          <w:lang w:val="es-ES_tradnl"/>
        </w:rPr>
        <w:t xml:space="preserve">Habida cuenta de que el número </w:t>
      </w:r>
      <w:r w:rsidRPr="00E44E2D">
        <w:rPr>
          <w:b/>
          <w:bCs/>
          <w:lang w:val="es-ES_tradnl"/>
        </w:rPr>
        <w:t xml:space="preserve">5.342 </w:t>
      </w:r>
      <w:r w:rsidRPr="00E44E2D">
        <w:rPr>
          <w:lang w:val="es-ES_tradnl"/>
        </w:rPr>
        <w:t xml:space="preserve">contiene solamente unos cuantos países mientras que muchos otros países de la Región 1 están a una distancia lo suficientemente grande como para excluir la posibilidad de interferencia al servicio móvil aeronáutico, la Junta decidió que las administraciones cuyos territorios estén a una distancia de más de 670 km respecto de los países mencionados en el número </w:t>
      </w:r>
      <w:r w:rsidRPr="00E44E2D">
        <w:rPr>
          <w:b/>
          <w:bCs/>
          <w:lang w:val="es-ES_tradnl"/>
        </w:rPr>
        <w:t>5.342</w:t>
      </w:r>
      <w:r w:rsidRPr="00E44E2D">
        <w:rPr>
          <w:lang w:val="es-ES_tradnl"/>
        </w:rPr>
        <w:t xml:space="preserve"> no necesitan aplicar el procedimiento del número </w:t>
      </w:r>
      <w:r w:rsidRPr="00E44E2D">
        <w:rPr>
          <w:b/>
          <w:bCs/>
          <w:lang w:val="es-ES_tradnl"/>
        </w:rPr>
        <w:t>9.21</w:t>
      </w:r>
      <w:r w:rsidRPr="00E44E2D">
        <w:rPr>
          <w:lang w:val="es-ES_tradnl"/>
        </w:rPr>
        <w:t xml:space="preserve"> a sus estaciones IMT que funcionan con arreglo al número </w:t>
      </w:r>
      <w:r w:rsidRPr="00E44E2D">
        <w:rPr>
          <w:b/>
          <w:bCs/>
          <w:lang w:val="es-ES_tradnl"/>
        </w:rPr>
        <w:t>5.341A</w:t>
      </w:r>
      <w:r w:rsidRPr="00E44E2D">
        <w:rPr>
          <w:lang w:val="es-ES_tradnl"/>
        </w:rPr>
        <w:t>. Aquellas administraciones cuyos territorios están a menos de 670 km deben aplicar la Sección B6</w:t>
      </w:r>
      <w:r w:rsidRPr="00E44E2D">
        <w:rPr>
          <w:rFonts w:asciiTheme="minorHAnsi" w:hAnsiTheme="minorHAnsi"/>
          <w:lang w:val="es-ES_tradnl"/>
        </w:rPr>
        <w:t>.</w:t>
      </w:r>
    </w:p>
    <w:p w14:paraId="1DF57A9B" w14:textId="27BB1106" w:rsidR="00E44E2D" w:rsidRPr="00E44E2D" w:rsidRDefault="00E44E2D" w:rsidP="00E44E2D">
      <w:pPr>
        <w:rPr>
          <w:rFonts w:asciiTheme="majorBidi" w:hAnsiTheme="majorBidi" w:cstheme="majorBid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Las </w:t>
      </w:r>
      <w:r w:rsidRPr="00E44E2D">
        <w:rPr>
          <w:lang w:val="es-ES_tradnl"/>
        </w:rPr>
        <w:t>administraciones cuyos territorios se hallan a una distancia de</w:t>
      </w:r>
      <w:r w:rsidRPr="00E44E2D">
        <w:rPr>
          <w:rFonts w:asciiTheme="majorBidi" w:hAnsiTheme="majorBidi" w:cstheme="majorBidi"/>
          <w:lang w:val="es-ES_tradnl"/>
        </w:rPr>
        <w:t xml:space="preserve"> 670 km de los países mencionados en el número</w:t>
      </w:r>
      <w:r w:rsidRPr="00E44E2D">
        <w:rPr>
          <w:rFonts w:asciiTheme="majorBidi" w:hAnsiTheme="majorBidi" w:cstheme="majorBidi"/>
          <w:b/>
          <w:bCs/>
          <w:lang w:val="es-ES_tradnl"/>
        </w:rPr>
        <w:t xml:space="preserve"> 5.342</w:t>
      </w:r>
      <w:r w:rsidRPr="00E44E2D">
        <w:rPr>
          <w:rFonts w:asciiTheme="majorBidi" w:hAnsiTheme="majorBidi" w:cstheme="majorBidi"/>
          <w:lang w:val="es-ES_tradnl"/>
        </w:rPr>
        <w:t xml:space="preserve"> son las siguientes: Albania, Armenia, Austria, Azerbaiyán, Bosnia y </w:t>
      </w:r>
      <w:r w:rsidRPr="00E44E2D">
        <w:rPr>
          <w:lang w:val="es-ES_tradnl"/>
        </w:rPr>
        <w:t>Herzegovina</w:t>
      </w:r>
      <w:r w:rsidRPr="00E44E2D">
        <w:rPr>
          <w:rFonts w:asciiTheme="majorBidi" w:hAnsiTheme="majorBidi" w:cstheme="majorBidi"/>
          <w:lang w:val="es-ES_tradnl"/>
        </w:rPr>
        <w:t xml:space="preserve">, Belarús, Bulgaria, República Checa, Alemania, Dinamarca, Estonia, Finlandia, Georgia, Grecia, Hungría, Croacia, Iraq, Italia, Kazajstán, Kirguistán, Lituania, Letonia, Moldova, la ex República Yugoslava de Macedonia, Montenegro, Mongolia, Noruega, Polonia, Rumania, la Federación de Rusia, Suecia, Serbia, Eslovaquia, Eslovenia, </w:t>
      </w:r>
      <w:r w:rsidRPr="00E44E2D">
        <w:rPr>
          <w:lang w:val="es-ES_tradnl"/>
        </w:rPr>
        <w:t>la República Árabe Siria</w:t>
      </w:r>
      <w:r w:rsidRPr="00E44E2D">
        <w:rPr>
          <w:rFonts w:asciiTheme="majorBidi" w:hAnsiTheme="majorBidi" w:cstheme="majorBidi"/>
          <w:lang w:val="es-ES_tradnl"/>
        </w:rPr>
        <w:t>, Tayikistán, Turkmenistán, Turquía, Ucrania y Uzbekistán.</w:t>
      </w:r>
    </w:p>
    <w:p w14:paraId="6D6D4DB8" w14:textId="097DACCC" w:rsidR="00E44E2D" w:rsidRPr="00E44E2D"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E44E2D">
        <w:rPr>
          <w:b/>
          <w:szCs w:val="24"/>
          <w:lang w:val="es-ES_tradnl"/>
        </w:rPr>
        <w:t>5.346</w:t>
      </w:r>
    </w:p>
    <w:p w14:paraId="154B7BA4" w14:textId="77777777" w:rsidR="00E44E2D" w:rsidRPr="00E44E2D" w:rsidRDefault="00E44E2D" w:rsidP="00E44E2D">
      <w:pPr>
        <w:rPr>
          <w:lang w:val="es-ES_tradnl"/>
        </w:rPr>
      </w:pPr>
      <w:r w:rsidRPr="00E44E2D">
        <w:rPr>
          <w:lang w:val="es-ES_tradnl"/>
        </w:rPr>
        <w:t>1</w:t>
      </w:r>
      <w:r w:rsidRPr="00E44E2D">
        <w:rPr>
          <w:lang w:val="es-ES_tradnl"/>
        </w:rPr>
        <w:tab/>
      </w:r>
      <w:proofErr w:type="gramStart"/>
      <w:r w:rsidRPr="00E44E2D">
        <w:rPr>
          <w:lang w:val="es-ES_tradnl"/>
        </w:rPr>
        <w:t>Esta</w:t>
      </w:r>
      <w:proofErr w:type="gramEnd"/>
      <w:r w:rsidRPr="00E44E2D">
        <w:rPr>
          <w:lang w:val="es-ES_tradnl"/>
        </w:rPr>
        <w:t xml:space="preserve"> disposición estipula, entre otras cosas, que la implantación de las </w:t>
      </w:r>
      <w:r w:rsidRPr="00E44E2D" w:rsidDel="00BE6C8A">
        <w:rPr>
          <w:lang w:val="es-ES_tradnl"/>
        </w:rPr>
        <w:t>IMT</w:t>
      </w:r>
      <w:r w:rsidRPr="00E44E2D">
        <w:rPr>
          <w:lang w:val="es-ES_tradnl"/>
        </w:rPr>
        <w:t xml:space="preserve"> en la banda de frecuencias </w:t>
      </w:r>
      <w:r w:rsidRPr="00E44E2D" w:rsidDel="00BE6C8A">
        <w:rPr>
          <w:lang w:val="es-ES_tradnl"/>
        </w:rPr>
        <w:t xml:space="preserve">1 452-1 492 MHz </w:t>
      </w:r>
      <w:r w:rsidRPr="00E44E2D">
        <w:rPr>
          <w:lang w:val="es-ES_tradnl"/>
        </w:rPr>
        <w:t xml:space="preserve">en varios países de la Región 1, que se enumeran en este número,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sidDel="00BE6C8A">
        <w:rPr>
          <w:b/>
          <w:bCs/>
          <w:lang w:val="es-ES_tradnl"/>
        </w:rPr>
        <w:t>5.342</w:t>
      </w:r>
      <w:r w:rsidRPr="00E44E2D" w:rsidDel="00BE6C8A">
        <w:rPr>
          <w:lang w:val="es-ES_tradnl"/>
        </w:rPr>
        <w:t>.</w:t>
      </w:r>
    </w:p>
    <w:p w14:paraId="0BD2F65B" w14:textId="77777777" w:rsidR="0059682C" w:rsidRDefault="0059682C" w:rsidP="00E44E2D">
      <w:pPr>
        <w:rPr>
          <w:lang w:val="es-ES_tradnl"/>
        </w:rPr>
      </w:pPr>
      <w:r>
        <w:rPr>
          <w:lang w:val="es-ES_tradnl"/>
        </w:rPr>
        <w:br w:type="page"/>
      </w:r>
    </w:p>
    <w:p w14:paraId="3741C83E" w14:textId="4F29FDA2" w:rsidR="00E44E2D" w:rsidRPr="00E44E2D" w:rsidRDefault="00E44E2D" w:rsidP="00E44E2D">
      <w:pPr>
        <w:rPr>
          <w:rFonts w:asciiTheme="majorBidi" w:hAnsiTheme="majorBidi" w:cstheme="majorBidi"/>
          <w:lang w:val="es-ES_tradnl"/>
        </w:rPr>
      </w:pPr>
      <w:r w:rsidRPr="00E44E2D">
        <w:rPr>
          <w:lang w:val="es-ES_tradnl"/>
        </w:rPr>
        <w:lastRenderedPageBreak/>
        <w:t>2</w:t>
      </w:r>
      <w:r w:rsidRPr="00E44E2D">
        <w:rPr>
          <w:lang w:val="es-ES_tradnl"/>
        </w:rPr>
        <w:tab/>
        <w:t>Habida cuenta de que el número</w:t>
      </w:r>
      <w:r w:rsidR="00A14EF9">
        <w:rPr>
          <w:lang w:val="es-ES_tradnl"/>
        </w:rPr>
        <w:t> </w:t>
      </w:r>
      <w:r w:rsidRPr="00E44E2D">
        <w:rPr>
          <w:b/>
          <w:bCs/>
          <w:lang w:val="es-ES_tradnl"/>
        </w:rPr>
        <w:t xml:space="preserve">5.342 </w:t>
      </w:r>
      <w:r w:rsidRPr="00E44E2D">
        <w:rPr>
          <w:lang w:val="es-ES_tradnl"/>
        </w:rPr>
        <w:t>contiene solamente unos cuantos países mientras que numerosos países indicados en el número</w:t>
      </w:r>
      <w:r w:rsidR="00A14EF9">
        <w:rPr>
          <w:lang w:val="es-ES_tradnl"/>
        </w:rPr>
        <w:t> </w:t>
      </w:r>
      <w:r w:rsidRPr="00E44E2D">
        <w:rPr>
          <w:b/>
          <w:bCs/>
          <w:lang w:val="es-ES_tradnl"/>
        </w:rPr>
        <w:t>5.346</w:t>
      </w:r>
      <w:r w:rsidRPr="00E44E2D">
        <w:rPr>
          <w:lang w:val="es-ES_tradnl"/>
        </w:rPr>
        <w:t xml:space="preserve"> están a distancias lo suficientemente grandes como para exc</w:t>
      </w:r>
      <w:r w:rsidRPr="00E44E2D">
        <w:rPr>
          <w:rFonts w:asciiTheme="majorBidi" w:hAnsiTheme="majorBidi" w:cstheme="majorBidi"/>
          <w:lang w:val="es-ES_tradnl"/>
        </w:rPr>
        <w:t xml:space="preserve">luir la posibilidad de interferencia al servicio móvil aeronáutico, la Junta decidió que las </w:t>
      </w:r>
      <w:r w:rsidRPr="00E44E2D">
        <w:rPr>
          <w:lang w:val="es-ES_tradnl"/>
        </w:rPr>
        <w:t>administraciones</w:t>
      </w:r>
      <w:r w:rsidRPr="00E44E2D">
        <w:rPr>
          <w:rFonts w:asciiTheme="majorBidi" w:hAnsiTheme="majorBidi" w:cstheme="majorBidi"/>
          <w:lang w:val="es-ES_tradnl"/>
        </w:rPr>
        <w:t xml:space="preserve"> cuyos territorios estén a una distancia superior a 670</w:t>
      </w:r>
      <w:r w:rsidR="00A14EF9">
        <w:rPr>
          <w:rFonts w:asciiTheme="majorBidi" w:hAnsiTheme="majorBidi" w:cstheme="majorBidi"/>
          <w:lang w:val="es-ES_tradnl"/>
        </w:rPr>
        <w:t> </w:t>
      </w:r>
      <w:r w:rsidRPr="00E44E2D">
        <w:rPr>
          <w:rFonts w:asciiTheme="majorBidi" w:hAnsiTheme="majorBidi" w:cstheme="majorBidi"/>
          <w:lang w:val="es-ES_tradnl"/>
        </w:rPr>
        <w:t>km respecto de los países mencionados en el número</w:t>
      </w:r>
      <w:r w:rsidR="00A14EF9">
        <w:rPr>
          <w:rFonts w:asciiTheme="majorBidi" w:hAnsiTheme="majorBidi" w:cstheme="majorBidi"/>
          <w:lang w:val="es-ES_tradnl"/>
        </w:rPr>
        <w:t>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no necesitan aplicar el procedimiento del número </w:t>
      </w:r>
      <w:r w:rsidRPr="00E44E2D">
        <w:rPr>
          <w:rFonts w:asciiTheme="majorBidi" w:hAnsiTheme="majorBidi" w:cstheme="majorBidi"/>
          <w:b/>
          <w:bCs/>
          <w:lang w:val="es-ES_tradnl"/>
        </w:rPr>
        <w:t>9.21</w:t>
      </w:r>
      <w:r w:rsidRPr="00E44E2D">
        <w:rPr>
          <w:rFonts w:asciiTheme="majorBidi" w:hAnsiTheme="majorBidi" w:cstheme="majorBidi"/>
          <w:lang w:val="es-ES_tradnl"/>
        </w:rPr>
        <w:t xml:space="preserve"> a sus estaciones IMT que funcionan con arreglo al número</w:t>
      </w:r>
      <w:r w:rsidR="00A14EF9">
        <w:rPr>
          <w:rFonts w:asciiTheme="majorBidi" w:hAnsiTheme="majorBidi" w:cstheme="majorBidi"/>
          <w:lang w:val="es-ES_tradnl"/>
        </w:rPr>
        <w:t> </w:t>
      </w:r>
      <w:r w:rsidRPr="00E44E2D">
        <w:rPr>
          <w:rFonts w:asciiTheme="majorBidi" w:hAnsiTheme="majorBidi" w:cstheme="majorBidi"/>
          <w:b/>
          <w:bCs/>
          <w:lang w:val="es-ES_tradnl"/>
        </w:rPr>
        <w:t>5.346</w:t>
      </w:r>
      <w:r w:rsidRPr="00E44E2D">
        <w:rPr>
          <w:rFonts w:asciiTheme="majorBidi" w:hAnsiTheme="majorBidi" w:cstheme="majorBidi"/>
          <w:lang w:val="es-ES_tradnl"/>
        </w:rPr>
        <w:t>. Aquellas administraciones cuyos territorios están a menos de 670</w:t>
      </w:r>
      <w:r w:rsidR="00A14EF9">
        <w:rPr>
          <w:rFonts w:asciiTheme="majorBidi" w:hAnsiTheme="majorBidi" w:cstheme="majorBidi"/>
          <w:lang w:val="es-ES_tradnl"/>
        </w:rPr>
        <w:t> </w:t>
      </w:r>
      <w:r w:rsidRPr="00E44E2D">
        <w:rPr>
          <w:rFonts w:asciiTheme="majorBidi" w:hAnsiTheme="majorBidi" w:cstheme="majorBidi"/>
          <w:lang w:val="es-ES_tradnl"/>
        </w:rPr>
        <w:t>km deben aplicar la Sección B6.</w:t>
      </w:r>
    </w:p>
    <w:p w14:paraId="71ABBB6D"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r>
      <w:proofErr w:type="gramStart"/>
      <w:r w:rsidRPr="00E44E2D">
        <w:rPr>
          <w:rFonts w:asciiTheme="majorBidi" w:hAnsiTheme="majorBidi" w:cstheme="majorBidi"/>
          <w:lang w:val="es-ES_tradnl"/>
        </w:rPr>
        <w:t>La</w:t>
      </w:r>
      <w:proofErr w:type="gramEnd"/>
      <w:r w:rsidRPr="00E44E2D">
        <w:rPr>
          <w:rFonts w:asciiTheme="majorBidi" w:hAnsiTheme="majorBidi" w:cstheme="majorBidi"/>
          <w:lang w:val="es-ES_tradnl"/>
        </w:rPr>
        <w:t xml:space="preserve"> administración mencionada en el número </w:t>
      </w:r>
      <w:r w:rsidRPr="00E44E2D">
        <w:rPr>
          <w:rFonts w:asciiTheme="majorBidi" w:hAnsiTheme="majorBidi" w:cstheme="majorBidi"/>
          <w:b/>
          <w:bCs/>
          <w:lang w:val="es-ES_tradnl"/>
        </w:rPr>
        <w:t>5.346</w:t>
      </w:r>
      <w:r w:rsidRPr="00E44E2D">
        <w:rPr>
          <w:rFonts w:asciiTheme="majorBidi" w:hAnsiTheme="majorBidi" w:cstheme="majorBidi"/>
          <w:lang w:val="es-ES_tradnl"/>
        </w:rPr>
        <w:t xml:space="preserve"> cuyo territorio se halla a una distancia de 670 km de los países mencionados en el número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es Iraq.</w:t>
      </w:r>
    </w:p>
    <w:p w14:paraId="64423AAF" w14:textId="77777777" w:rsidR="008F6A8F" w:rsidRPr="00CC4FCD" w:rsidRDefault="008F6A8F" w:rsidP="008F6A8F">
      <w:pPr>
        <w:pStyle w:val="Heading8"/>
        <w:rPr>
          <w:color w:val="000000"/>
          <w:lang w:val="es-ES_tradnl"/>
        </w:rPr>
      </w:pPr>
      <w:r w:rsidRPr="00CC4FCD">
        <w:rPr>
          <w:color w:val="000000"/>
          <w:lang w:val="es-ES_tradnl"/>
        </w:rPr>
        <w:t>5.351</w:t>
      </w:r>
    </w:p>
    <w:p w14:paraId="5BD22F9A" w14:textId="2C6AD931" w:rsidR="00894766" w:rsidRPr="00CC4FCD" w:rsidRDefault="00894766" w:rsidP="00894766">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Esta</w:t>
      </w:r>
      <w:proofErr w:type="gramEnd"/>
      <w:r w:rsidRPr="00CC4FCD">
        <w:rPr>
          <w:color w:val="000000"/>
          <w:lang w:val="es-ES_tradnl"/>
        </w:rPr>
        <w:t xml:space="preserve"> disposición permite, como excepción a las definiciones contenidas en los números</w:t>
      </w:r>
      <w:r w:rsidR="00A14EF9">
        <w:rPr>
          <w:color w:val="000000"/>
          <w:lang w:val="es-ES_tradnl"/>
        </w:rPr>
        <w:t> </w:t>
      </w:r>
      <w:r w:rsidRPr="00CC4FCD">
        <w:rPr>
          <w:rStyle w:val="Artref"/>
          <w:b/>
          <w:bCs/>
          <w:color w:val="000000"/>
          <w:lang w:val="es-ES_tradnl"/>
        </w:rPr>
        <w:t>1.70</w:t>
      </w:r>
      <w:r w:rsidRPr="00CC4FCD">
        <w:rPr>
          <w:rStyle w:val="Artref"/>
          <w:bCs/>
          <w:color w:val="000000"/>
          <w:lang w:val="es-ES_tradnl"/>
        </w:rPr>
        <w:t xml:space="preserve">, </w:t>
      </w:r>
      <w:r w:rsidRPr="00CC4FCD">
        <w:rPr>
          <w:rStyle w:val="Artref"/>
          <w:b/>
          <w:bCs/>
          <w:color w:val="000000"/>
          <w:lang w:val="es-ES_tradnl"/>
        </w:rPr>
        <w:t>1.72</w:t>
      </w:r>
      <w:r w:rsidRPr="00CC4FCD">
        <w:rPr>
          <w:rStyle w:val="Artref"/>
          <w:bCs/>
          <w:color w:val="000000"/>
          <w:lang w:val="es-ES_tradnl"/>
        </w:rPr>
        <w:t xml:space="preserve">, </w:t>
      </w:r>
      <w:r w:rsidRPr="00CC4FCD">
        <w:rPr>
          <w:rStyle w:val="Artref"/>
          <w:b/>
          <w:bCs/>
          <w:color w:val="000000"/>
          <w:lang w:val="es-ES_tradnl"/>
        </w:rPr>
        <w:t>1.76</w:t>
      </w:r>
      <w:r w:rsidRPr="00CC4FCD">
        <w:rPr>
          <w:color w:val="000000"/>
          <w:lang w:val="es-ES_tradnl"/>
        </w:rPr>
        <w:t xml:space="preserve"> y </w:t>
      </w:r>
      <w:r w:rsidRPr="00CC4FCD">
        <w:rPr>
          <w:rStyle w:val="Artref"/>
          <w:b/>
          <w:bCs/>
          <w:color w:val="000000"/>
          <w:lang w:val="es-ES_tradnl"/>
        </w:rPr>
        <w:t>1.82</w:t>
      </w:r>
      <w:r w:rsidRPr="00CC4FCD">
        <w:rPr>
          <w:color w:val="000000"/>
          <w:lang w:val="es-ES_tradnl"/>
        </w:rPr>
        <w:t>, la utilización de las bandas atribuidas a un servicio móvil por satélite por una estación situada en un punto fijo especificado (sin que ésta sea una estación terrena costera, terrestre, de base o aeronáutica).</w:t>
      </w:r>
    </w:p>
    <w:p w14:paraId="29791398" w14:textId="77777777" w:rsidR="00B877B4" w:rsidRPr="00CC4FCD" w:rsidRDefault="00B877B4" w:rsidP="00B877B4">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Oficina no puede valorar las circunstancias excepcionales a que se hace refe</w:t>
      </w:r>
      <w:r w:rsidR="00E237E2" w:rsidRPr="00CC4FCD">
        <w:rPr>
          <w:color w:val="000000"/>
          <w:lang w:val="es-ES_tradnl"/>
        </w:rPr>
        <w:softHyphen/>
      </w:r>
      <w:r w:rsidRPr="00CC4FCD">
        <w:rPr>
          <w:color w:val="000000"/>
          <w:lang w:val="es-ES_tradnl"/>
        </w:rPr>
        <w:t>rencia en esta disposición.</w:t>
      </w:r>
    </w:p>
    <w:p w14:paraId="24F1703C" w14:textId="77777777" w:rsidR="00B877B4" w:rsidRPr="00CC4FCD" w:rsidRDefault="00B877B4" w:rsidP="00B877B4">
      <w:pPr>
        <w:rPr>
          <w:color w:val="000000"/>
          <w:lang w:val="es-ES_tradnl"/>
        </w:rPr>
      </w:pPr>
      <w:r w:rsidRPr="00CC4FCD">
        <w:rPr>
          <w:color w:val="000000"/>
          <w:lang w:val="es-ES_tradnl"/>
        </w:rPr>
        <w:t>3</w:t>
      </w:r>
      <w:r w:rsidRPr="00CC4FCD">
        <w:rPr>
          <w:color w:val="000000"/>
          <w:lang w:val="es-ES_tradnl"/>
        </w:rPr>
        <w:tab/>
      </w:r>
      <w:proofErr w:type="gramStart"/>
      <w:r w:rsidRPr="00CC4FCD">
        <w:rPr>
          <w:color w:val="000000"/>
          <w:lang w:val="es-ES_tradnl"/>
        </w:rPr>
        <w:t>Por</w:t>
      </w:r>
      <w:proofErr w:type="gramEnd"/>
      <w:r w:rsidRPr="00CC4FCD">
        <w:rPr>
          <w:color w:val="000000"/>
          <w:lang w:val="es-ES_tradnl"/>
        </w:rPr>
        <w:t xml:space="preserve"> consiguiente, la Junta decidió que las asignaciones notificadas a tenor de esta disposición recibirán una conclusión reglamentaria favorable.</w:t>
      </w:r>
    </w:p>
    <w:p w14:paraId="5D6B623F" w14:textId="77777777" w:rsidR="000A21A1" w:rsidRPr="00CC4FCD" w:rsidRDefault="000A21A1">
      <w:pPr>
        <w:pStyle w:val="Heading8"/>
        <w:rPr>
          <w:color w:val="000000"/>
          <w:lang w:val="es-ES_tradnl"/>
        </w:rPr>
      </w:pPr>
      <w:r w:rsidRPr="00CC4FCD">
        <w:rPr>
          <w:color w:val="000000"/>
          <w:lang w:val="es-ES_tradnl"/>
        </w:rPr>
        <w:t>5.357</w:t>
      </w:r>
    </w:p>
    <w:p w14:paraId="7BA4EA6B" w14:textId="77777777" w:rsidR="00B877B4" w:rsidRDefault="00B877B4" w:rsidP="00B877B4">
      <w:pPr>
        <w:rPr>
          <w:color w:val="000000"/>
          <w:lang w:val="es-ES_tradnl"/>
        </w:rPr>
      </w:pPr>
      <w:r w:rsidRPr="00CC4FCD">
        <w:rPr>
          <w:color w:val="000000"/>
          <w:lang w:val="es-ES_tradnl"/>
        </w:rPr>
        <w:t>El uso para comunicaciones terrenales autorizado en esta disposición parece estar estrechamente relacionado con las condiciones de funcionamiento dentro de un sistema aeronáutico combinado en el que se utilizan radiocomunicaciones espaciales y terrenales. La Oficina no dispone de medios para verificar ese uso y considera esta disposición como una atribución adicional al servicio aeronáutico (R).</w:t>
      </w:r>
    </w:p>
    <w:p w14:paraId="6B03BEA2" w14:textId="77777777" w:rsidR="00E468A4" w:rsidRDefault="00E468A4" w:rsidP="00E468A4">
      <w:pPr>
        <w:rPr>
          <w:lang w:val="es-ES_tradnl"/>
        </w:rPr>
      </w:pPr>
      <w:r>
        <w:rPr>
          <w:lang w:val="es-ES_tradnl"/>
        </w:rPr>
        <w:br w:type="page"/>
      </w:r>
    </w:p>
    <w:p w14:paraId="2CD6E4C1" w14:textId="77777777" w:rsidR="000A21A1" w:rsidRPr="00CC4FCD" w:rsidRDefault="000A21A1">
      <w:pPr>
        <w:pStyle w:val="Heading8"/>
        <w:rPr>
          <w:color w:val="000000"/>
          <w:lang w:val="es-ES_tradnl"/>
        </w:rPr>
      </w:pPr>
      <w:r w:rsidRPr="00CC4FCD">
        <w:rPr>
          <w:color w:val="000000"/>
          <w:lang w:val="es-ES_tradnl"/>
        </w:rPr>
        <w:lastRenderedPageBreak/>
        <w:t>5.364</w:t>
      </w:r>
    </w:p>
    <w:p w14:paraId="4B129263" w14:textId="77777777" w:rsidR="00B877B4" w:rsidRPr="00CC4FCD" w:rsidRDefault="00B877B4" w:rsidP="00180D7D">
      <w:pPr>
        <w:rPr>
          <w:color w:val="000000"/>
          <w:lang w:val="es-ES_tradnl"/>
        </w:rPr>
      </w:pPr>
      <w:r w:rsidRPr="00CC4FCD">
        <w:rPr>
          <w:color w:val="000000"/>
          <w:lang w:val="es-ES_tradnl"/>
        </w:rPr>
        <w:t>En esta disposición se consignan dos tipos de límites de densidad de potencia isótropa radiada equivalente (p.i.r.e.) para las estaciones terrenas móviles que transmiten en la banda de frecuencias 1</w:t>
      </w:r>
      <w:r w:rsidR="00180D7D" w:rsidRPr="00CC4FCD">
        <w:rPr>
          <w:rFonts w:ascii="Tms Rmn" w:hAnsi="Tms Rmn"/>
          <w:color w:val="000000"/>
          <w:sz w:val="12"/>
          <w:lang w:val="es-ES_tradnl"/>
        </w:rPr>
        <w:t> </w:t>
      </w:r>
      <w:r w:rsidRPr="00CC4FCD">
        <w:rPr>
          <w:color w:val="000000"/>
          <w:lang w:val="es-ES_tradnl"/>
        </w:rPr>
        <w:t>610-1</w:t>
      </w:r>
      <w:r w:rsidRPr="00CC4FCD">
        <w:rPr>
          <w:rFonts w:ascii="Tms Rmn" w:hAnsi="Tms Rmn"/>
          <w:color w:val="000000"/>
          <w:sz w:val="12"/>
          <w:lang w:val="es-ES_tradnl"/>
        </w:rPr>
        <w:t> </w:t>
      </w:r>
      <w:r w:rsidRPr="00CC4FCD">
        <w:rPr>
          <w:color w:val="000000"/>
          <w:lang w:val="es-ES_tradnl"/>
        </w:rPr>
        <w:t>626,5 MHz, a saber:</w:t>
      </w:r>
    </w:p>
    <w:p w14:paraId="2286AFE1" w14:textId="77777777" w:rsidR="00B877B4" w:rsidRPr="00CC4FCD" w:rsidRDefault="00B877B4" w:rsidP="00B877B4">
      <w:pPr>
        <w:pStyle w:val="enumlev1"/>
        <w:rPr>
          <w:color w:val="000000"/>
          <w:lang w:val="es-ES_tradnl"/>
        </w:rPr>
      </w:pPr>
      <w:r w:rsidRPr="00CC4FCD">
        <w:rPr>
          <w:i/>
          <w:iCs/>
          <w:color w:val="000000"/>
          <w:lang w:val="es-ES_tradnl"/>
        </w:rPr>
        <w:t>a)</w:t>
      </w:r>
      <w:r w:rsidRPr="00CC4FCD">
        <w:rPr>
          <w:color w:val="000000"/>
          <w:lang w:val="es-ES_tradnl"/>
        </w:rPr>
        <w:tab/>
        <w:t>límite máximo de densidad de la p.i.r.e., y</w:t>
      </w:r>
    </w:p>
    <w:p w14:paraId="241606AF" w14:textId="77777777" w:rsidR="00B877B4" w:rsidRDefault="00B877B4" w:rsidP="00B877B4">
      <w:pPr>
        <w:pStyle w:val="enumlev1"/>
        <w:rPr>
          <w:color w:val="000000"/>
          <w:lang w:val="es-ES_tradnl"/>
        </w:rPr>
      </w:pPr>
      <w:r w:rsidRPr="00CC4FCD">
        <w:rPr>
          <w:i/>
          <w:iCs/>
          <w:color w:val="000000"/>
          <w:lang w:val="es-ES_tradnl"/>
        </w:rPr>
        <w:t>b)</w:t>
      </w:r>
      <w:r w:rsidRPr="00CC4FCD">
        <w:rPr>
          <w:color w:val="000000"/>
          <w:lang w:val="es-ES_tradnl"/>
        </w:rPr>
        <w:tab/>
        <w:t>límite medio de densidad de la p.i.r.e.</w:t>
      </w:r>
    </w:p>
    <w:p w14:paraId="7C0B2709" w14:textId="77777777" w:rsidR="00B877B4" w:rsidRDefault="00B877B4" w:rsidP="00B877B4">
      <w:pPr>
        <w:rPr>
          <w:color w:val="000000"/>
          <w:lang w:val="es-ES_tradnl"/>
        </w:rPr>
      </w:pPr>
      <w:r w:rsidRPr="00CC4FCD">
        <w:rPr>
          <w:color w:val="000000"/>
          <w:lang w:val="es-ES_tradnl"/>
        </w:rPr>
        <w:t>El límite máximo de densidad de la p.i.r.e. se obtiene a partir de la densidad de potencia máxima de la asignación, tal como fue presentada por la administración responsable.</w:t>
      </w:r>
    </w:p>
    <w:p w14:paraId="52E57EB4" w14:textId="77777777" w:rsidR="00B877B4" w:rsidRPr="00CC4FCD" w:rsidRDefault="00B877B4" w:rsidP="009E216C">
      <w:pPr>
        <w:rPr>
          <w:color w:val="000000"/>
          <w:lang w:val="es-ES_tradnl"/>
        </w:rPr>
      </w:pPr>
      <w:r w:rsidRPr="00CC4FCD">
        <w:rPr>
          <w:color w:val="000000"/>
          <w:lang w:val="es-ES_tradnl"/>
        </w:rPr>
        <w:t>En lo que respecta al segundo tipo de límite, no está claro si se trata de una media espectral, una media temporal o una media espacial. A título provisional y hasta que se disponga de la correspondiente Recomendación UIT-R, la Junta decidió que para aplicar esta disposición la Oficina utilice una densidad media espectral de la p.i.r.e. Esta p.i.r.e. media espectral se obtendrá a partir de la densidad de potencia media de una asignación, la que a su vez se obtiene a partir de su potencia total dividida por su anchura de banda necesaria y multiplicada por 4 kHz.</w:t>
      </w:r>
    </w:p>
    <w:p w14:paraId="493A91BD" w14:textId="77777777" w:rsidR="000A21A1" w:rsidRPr="00CC4FCD" w:rsidRDefault="000A21A1" w:rsidP="009E216C">
      <w:pPr>
        <w:pStyle w:val="Heading8"/>
        <w:rPr>
          <w:color w:val="000000"/>
          <w:lang w:val="es-ES_tradnl"/>
        </w:rPr>
      </w:pPr>
      <w:r w:rsidRPr="00CC4FCD">
        <w:rPr>
          <w:color w:val="000000"/>
          <w:lang w:val="es-ES_tradnl"/>
        </w:rPr>
        <w:t>5.366</w:t>
      </w:r>
    </w:p>
    <w:p w14:paraId="66F5CB09" w14:textId="77777777" w:rsidR="00B877B4" w:rsidRPr="00CC4FCD" w:rsidRDefault="00B877B4" w:rsidP="00B877B4">
      <w:pPr>
        <w:rPr>
          <w:color w:val="000000"/>
          <w:lang w:val="es-ES_tradnl"/>
        </w:rPr>
      </w:pPr>
      <w:r w:rsidRPr="00CC4FCD">
        <w:rPr>
          <w:color w:val="000000"/>
          <w:lang w:val="es-ES_tradnl"/>
        </w:rPr>
        <w:t>Esta disposición se considera una atribución adicional al servicio de radionavegación aero</w:t>
      </w:r>
      <w:r w:rsidR="00E237E2" w:rsidRPr="00CC4FCD">
        <w:rPr>
          <w:color w:val="000000"/>
          <w:lang w:val="es-ES_tradnl"/>
        </w:rPr>
        <w:softHyphen/>
      </w:r>
      <w:r w:rsidRPr="00CC4FCD">
        <w:rPr>
          <w:color w:val="000000"/>
          <w:lang w:val="es-ES_tradnl"/>
        </w:rPr>
        <w:t xml:space="preserve">náutica por satélite y se aplican los comentarios </w:t>
      </w:r>
      <w:r w:rsidR="000319B3">
        <w:rPr>
          <w:color w:val="000000"/>
          <w:lang w:val="es-ES_tradnl"/>
        </w:rPr>
        <w:t xml:space="preserve">referentes </w:t>
      </w:r>
      <w:r w:rsidRPr="00CC4FCD">
        <w:rPr>
          <w:color w:val="000000"/>
          <w:lang w:val="es-ES_tradnl"/>
        </w:rPr>
        <w:t xml:space="preserve">al número </w:t>
      </w:r>
      <w:r w:rsidRPr="00CC4FCD">
        <w:rPr>
          <w:rStyle w:val="Artref"/>
          <w:b/>
          <w:bCs/>
          <w:color w:val="000000"/>
          <w:lang w:val="es-ES_tradnl"/>
        </w:rPr>
        <w:t>5.49</w:t>
      </w:r>
      <w:r w:rsidRPr="00A2014E">
        <w:rPr>
          <w:rStyle w:val="Artref"/>
          <w:bCs/>
          <w:color w:val="000000"/>
          <w:lang w:val="es-ES_tradnl"/>
        </w:rPr>
        <w:t>.</w:t>
      </w:r>
      <w:r w:rsidRPr="00CC4FCD">
        <w:rPr>
          <w:color w:val="000000"/>
          <w:lang w:val="es-ES_tradnl"/>
        </w:rPr>
        <w:t xml:space="preserve"> Sin embargo, cuando se publique la Sección especial habrá que indicar en ella que la asignación está destinada a la utilización en todo el mundo de </w:t>
      </w:r>
      <w:r w:rsidRPr="000210B4">
        <w:rPr>
          <w:i/>
          <w:iCs/>
          <w:color w:val="000000"/>
          <w:lang w:val="es-ES_tradnl"/>
        </w:rPr>
        <w:t>«equipos electrónicos de ayuda a la navegación aérea instalados a bordo de aeronaves, así como de las instalaciones con base en tierra o a bordo de satélites directamente asociadas a dichos equipos»</w:t>
      </w:r>
      <w:r w:rsidRPr="00CC4FCD">
        <w:rPr>
          <w:color w:val="000000"/>
          <w:lang w:val="es-ES_tradnl"/>
        </w:rPr>
        <w:t>.</w:t>
      </w:r>
    </w:p>
    <w:p w14:paraId="7E7B0E21" w14:textId="77777777" w:rsidR="000A21A1" w:rsidRPr="00CC4FCD" w:rsidRDefault="000A21A1" w:rsidP="009E216C">
      <w:pPr>
        <w:pStyle w:val="Heading8"/>
        <w:rPr>
          <w:color w:val="000000"/>
          <w:lang w:val="es-ES_tradnl"/>
        </w:rPr>
      </w:pPr>
      <w:r w:rsidRPr="00CC4FCD">
        <w:rPr>
          <w:color w:val="000000"/>
          <w:lang w:val="es-ES_tradnl"/>
        </w:rPr>
        <w:t>5.376</w:t>
      </w:r>
    </w:p>
    <w:p w14:paraId="51D9FD7A" w14:textId="77777777" w:rsidR="00B877B4" w:rsidRPr="00CC4FCD" w:rsidRDefault="00B877B4" w:rsidP="00B877B4">
      <w:pPr>
        <w:rPr>
          <w:color w:val="000000"/>
          <w:lang w:val="es-ES_tradnl"/>
        </w:rPr>
      </w:pPr>
      <w:r w:rsidRPr="00CC4FCD">
        <w:rPr>
          <w:color w:val="000000"/>
          <w:lang w:val="es-ES_tradnl"/>
        </w:rPr>
        <w:t>Se aplican los comentarios de las Reglas de Procedimiento referentes al número </w:t>
      </w:r>
      <w:r w:rsidRPr="00CC4FCD">
        <w:rPr>
          <w:rStyle w:val="Artref"/>
          <w:b/>
          <w:bCs/>
          <w:color w:val="000000"/>
          <w:lang w:val="es-ES_tradnl"/>
        </w:rPr>
        <w:t>5.357</w:t>
      </w:r>
      <w:r w:rsidRPr="00CC4FCD">
        <w:rPr>
          <w:color w:val="000000"/>
          <w:lang w:val="es-ES_tradnl"/>
        </w:rPr>
        <w:t>.</w:t>
      </w:r>
    </w:p>
    <w:p w14:paraId="32DE03F8" w14:textId="77777777" w:rsidR="000A21A1" w:rsidRPr="00CC4FCD" w:rsidRDefault="000A21A1" w:rsidP="009E216C">
      <w:pPr>
        <w:pStyle w:val="Heading8"/>
        <w:rPr>
          <w:color w:val="000000"/>
          <w:lang w:val="es-ES_tradnl"/>
        </w:rPr>
      </w:pPr>
      <w:r w:rsidRPr="00CC4FCD">
        <w:rPr>
          <w:color w:val="000000"/>
          <w:lang w:val="es-ES_tradnl"/>
        </w:rPr>
        <w:t>5.399</w:t>
      </w:r>
    </w:p>
    <w:p w14:paraId="0A4B01FC" w14:textId="435A7AAA" w:rsidR="008511E5" w:rsidRPr="00FD0CF7" w:rsidRDefault="006B4C88" w:rsidP="003C0B46">
      <w:pPr>
        <w:rPr>
          <w:lang w:val="es-ES"/>
        </w:rPr>
      </w:pPr>
      <w:r w:rsidRPr="00017AF6">
        <w:rPr>
          <w:lang w:val="es-ES_tradnl"/>
        </w:rPr>
        <w:t xml:space="preserve">La Junta encargó a la Oficina que al inscribir asignaciones a estaciones del servicio de radiodeterminación por satélite que funcionan en la banda de frecuencias </w:t>
      </w:r>
      <w:r w:rsidRPr="00017AF6">
        <w:rPr>
          <w:color w:val="000000" w:themeColor="text1"/>
          <w:szCs w:val="24"/>
          <w:lang w:val="es-ES_tradnl"/>
        </w:rPr>
        <w:t>2 483,5-2 500 MHz a las que se aplica esta nota introduzca el símbolo R en la columna 13B2 y una referencia al n</w:t>
      </w:r>
      <w:r w:rsidR="00A2014E">
        <w:rPr>
          <w:color w:val="000000" w:themeColor="text1"/>
          <w:szCs w:val="24"/>
          <w:lang w:val="es-ES_tradnl"/>
        </w:rPr>
        <w:t>úmero </w:t>
      </w:r>
      <w:r w:rsidRPr="00A2014E">
        <w:rPr>
          <w:b/>
          <w:bCs/>
          <w:color w:val="000000" w:themeColor="text1"/>
          <w:szCs w:val="24"/>
          <w:lang w:val="es-ES_tradnl"/>
        </w:rPr>
        <w:t>5.399</w:t>
      </w:r>
      <w:r w:rsidRPr="00017AF6">
        <w:rPr>
          <w:color w:val="000000" w:themeColor="text1"/>
          <w:szCs w:val="24"/>
          <w:lang w:val="es-ES_tradnl"/>
        </w:rPr>
        <w:t xml:space="preserve"> en la columna 13B1.</w:t>
      </w:r>
    </w:p>
    <w:p w14:paraId="1AB24D9D" w14:textId="77777777" w:rsidR="00E468A4" w:rsidRDefault="00E468A4" w:rsidP="00E468A4">
      <w:pPr>
        <w:rPr>
          <w:lang w:val="es-ES_tradnl"/>
        </w:rPr>
      </w:pPr>
      <w:r>
        <w:rPr>
          <w:lang w:val="es-ES_tradnl"/>
        </w:rPr>
        <w:br w:type="page"/>
      </w:r>
    </w:p>
    <w:p w14:paraId="2F6867F0" w14:textId="48FFDC46" w:rsidR="000A21A1" w:rsidRPr="00CC4FCD" w:rsidRDefault="000A21A1">
      <w:pPr>
        <w:pStyle w:val="Heading8"/>
        <w:rPr>
          <w:color w:val="000000"/>
          <w:lang w:val="es-ES_tradnl"/>
        </w:rPr>
      </w:pPr>
      <w:r w:rsidRPr="00CC4FCD">
        <w:rPr>
          <w:color w:val="000000"/>
          <w:lang w:val="es-ES_tradnl"/>
        </w:rPr>
        <w:lastRenderedPageBreak/>
        <w:t>5.415</w:t>
      </w:r>
    </w:p>
    <w:p w14:paraId="536826BF" w14:textId="77777777" w:rsidR="00CF65EF" w:rsidRPr="00CC4FCD" w:rsidRDefault="00CF65EF" w:rsidP="00CF65EF">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esta disposición, la atribución </w:t>
      </w:r>
      <w:r w:rsidRPr="000210B4">
        <w:rPr>
          <w:i/>
          <w:iCs/>
          <w:color w:val="000000"/>
          <w:lang w:val="es-ES_tradnl"/>
        </w:rPr>
        <w:t>«está limitada a los sistemas nacionales y regionales»</w:t>
      </w:r>
      <w:r w:rsidRPr="00CC4FCD">
        <w:rPr>
          <w:color w:val="000000"/>
          <w:lang w:val="es-ES_tradnl"/>
        </w:rPr>
        <w:t>. La Junta decidió que un sistema nacional es un sistema con una zona de servicio limitada al territorio de la administración notificante. Como consecuencia de ello, el sistema regional a que se hace referencia se considerará como la suma de dos o más sistemas nacionales; estos sistemas están limitados a los territorios de las respectivas administraciones y serán notificados por una de esas administraciones en nombre de todas las administraciones interesadas. La Junta ha llegado a esta conclusión teniendo presente la nota de pie de página número </w:t>
      </w:r>
      <w:r w:rsidRPr="00CC4FCD">
        <w:rPr>
          <w:rStyle w:val="Artref"/>
          <w:b/>
          <w:bCs/>
          <w:color w:val="000000"/>
          <w:lang w:val="es-ES_tradnl"/>
        </w:rPr>
        <w:t>5.2.1</w:t>
      </w:r>
      <w:r w:rsidRPr="00CC4FCD">
        <w:rPr>
          <w:color w:val="000000"/>
          <w:lang w:val="es-ES_tradnl"/>
        </w:rPr>
        <w:t xml:space="preserve">, relativa a la interpretación de la palabra </w:t>
      </w:r>
      <w:r w:rsidRPr="000210B4">
        <w:rPr>
          <w:i/>
          <w:iCs/>
          <w:color w:val="000000"/>
          <w:lang w:val="es-ES_tradnl"/>
        </w:rPr>
        <w:t>«regional»</w:t>
      </w:r>
      <w:r w:rsidRPr="00CC4FCD">
        <w:rPr>
          <w:color w:val="000000"/>
          <w:lang w:val="es-ES_tradnl"/>
        </w:rPr>
        <w:t xml:space="preserve"> sin </w:t>
      </w:r>
      <w:r w:rsidRPr="000210B4">
        <w:rPr>
          <w:i/>
          <w:iCs/>
          <w:color w:val="000000"/>
          <w:lang w:val="es-ES_tradnl"/>
        </w:rPr>
        <w:t>«R»</w:t>
      </w:r>
      <w:r w:rsidRPr="00CC4FCD">
        <w:rPr>
          <w:color w:val="000000"/>
          <w:lang w:val="es-ES_tradnl"/>
        </w:rPr>
        <w:t xml:space="preserve"> mayúscula.</w:t>
      </w:r>
    </w:p>
    <w:p w14:paraId="5DA34EF1" w14:textId="60ED0034" w:rsidR="00CF65EF" w:rsidRPr="00CC4FCD" w:rsidRDefault="00CF65EF" w:rsidP="00CF65EF">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Con</w:t>
      </w:r>
      <w:proofErr w:type="gramEnd"/>
      <w:r w:rsidRPr="00CC4FCD">
        <w:rPr>
          <w:color w:val="000000"/>
          <w:lang w:val="es-ES_tradnl"/>
        </w:rPr>
        <w:t xml:space="preserve"> arreglo a esta disposición, el servicio fijo por satélite está limitado en las bandas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2 y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535</w:t>
      </w:r>
      <w:r w:rsidR="00A14EF9">
        <w:rPr>
          <w:color w:val="000000"/>
          <w:lang w:val="es-ES_tradnl"/>
        </w:rPr>
        <w:t> </w:t>
      </w:r>
      <w:r w:rsidRPr="00CC4FCD">
        <w:rPr>
          <w:color w:val="000000"/>
          <w:lang w:val="es-ES_tradnl"/>
        </w:rPr>
        <w:t>MHz y 2</w:t>
      </w:r>
      <w:r w:rsidRPr="00CC4FCD">
        <w:rPr>
          <w:rFonts w:ascii="Tms Rmn" w:hAnsi="Tms Rmn"/>
          <w:color w:val="000000"/>
          <w:sz w:val="12"/>
          <w:lang w:val="es-ES_tradnl"/>
        </w:rPr>
        <w:t> </w:t>
      </w:r>
      <w:r w:rsidRPr="00CC4FCD">
        <w:rPr>
          <w:color w:val="000000"/>
          <w:lang w:val="es-ES_tradnl"/>
        </w:rPr>
        <w:t>655-2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3 a los sistemas nacionales o regionales. Sólo las asignaciones que satisfagan las siguientes condiciones se considerarán conformes con el Cuadro de atribución de bandas de frecuencias:</w:t>
      </w:r>
    </w:p>
    <w:p w14:paraId="5D18606C" w14:textId="2651CE91" w:rsidR="00CF65EF" w:rsidRPr="00CC4FCD" w:rsidRDefault="00CF65EF" w:rsidP="00CF65EF">
      <w:pPr>
        <w:pStyle w:val="enumlev1"/>
        <w:rPr>
          <w:color w:val="000000"/>
          <w:lang w:val="es-ES_tradnl"/>
        </w:rPr>
      </w:pPr>
      <w:r w:rsidRPr="00CC4FCD">
        <w:rPr>
          <w:i/>
          <w:color w:val="000000"/>
          <w:lang w:val="es-ES_tradnl"/>
        </w:rPr>
        <w:t>a)</w:t>
      </w:r>
      <w:r w:rsidRPr="00CC4FCD">
        <w:rPr>
          <w:color w:val="000000"/>
          <w:lang w:val="es-ES_tradnl"/>
        </w:rPr>
        <w:tab/>
        <w:t>Que la zona de servicio de un sistema regional se halle en la Región de que se trate, es decir, solamente en la banda 2</w:t>
      </w:r>
      <w:r w:rsidRPr="00CC4FCD">
        <w:rPr>
          <w:rFonts w:ascii="Tms Rmn" w:hAnsi="Tms Rmn"/>
          <w:color w:val="000000"/>
          <w:sz w:val="12"/>
          <w:lang w:val="es-ES_tradnl"/>
        </w:rPr>
        <w:t> </w:t>
      </w:r>
      <w:r w:rsidRPr="00CC4FCD">
        <w:rPr>
          <w:color w:val="000000"/>
          <w:lang w:val="es-ES_tradnl"/>
        </w:rPr>
        <w:t>535-2</w:t>
      </w:r>
      <w:r w:rsidRPr="00CC4FCD">
        <w:rPr>
          <w:rFonts w:ascii="Tms Rmn" w:hAnsi="Tms Rmn"/>
          <w:color w:val="000000"/>
          <w:sz w:val="12"/>
          <w:lang w:val="es-ES_tradnl"/>
        </w:rPr>
        <w:t> </w:t>
      </w:r>
      <w:r w:rsidRPr="00CC4FCD">
        <w:rPr>
          <w:color w:val="000000"/>
          <w:lang w:val="es-ES_tradnl"/>
        </w:rPr>
        <w:t>655</w:t>
      </w:r>
      <w:r w:rsidR="00A14EF9">
        <w:rPr>
          <w:color w:val="000000"/>
          <w:lang w:val="es-ES_tradnl"/>
        </w:rPr>
        <w:t> </w:t>
      </w:r>
      <w:r w:rsidRPr="00CC4FCD">
        <w:rPr>
          <w:color w:val="000000"/>
          <w:lang w:val="es-ES_tradnl"/>
        </w:rPr>
        <w:t>MHz en la Región 2 o en las demás bandas comprendidas entre 2</w:t>
      </w:r>
      <w:r w:rsidRPr="00CC4FCD">
        <w:rPr>
          <w:rFonts w:ascii="Tms Rmn" w:hAnsi="Tms Rmn"/>
          <w:color w:val="000000"/>
          <w:sz w:val="12"/>
          <w:lang w:val="es-ES_tradnl"/>
        </w:rPr>
        <w:t> </w:t>
      </w:r>
      <w:r w:rsidRPr="00CC4FCD">
        <w:rPr>
          <w:color w:val="000000"/>
          <w:lang w:val="es-ES_tradnl"/>
        </w:rPr>
        <w:t>500 y 2</w:t>
      </w:r>
      <w:r w:rsidRPr="00CC4FCD">
        <w:rPr>
          <w:rFonts w:ascii="Tms Rmn" w:hAnsi="Tms Rmn"/>
          <w:color w:val="000000"/>
          <w:sz w:val="12"/>
          <w:lang w:val="es-ES_tradnl"/>
        </w:rPr>
        <w:t> </w:t>
      </w:r>
      <w:r w:rsidRPr="00CC4FCD">
        <w:rPr>
          <w:color w:val="000000"/>
          <w:lang w:val="es-ES_tradnl"/>
        </w:rPr>
        <w:t>690 MHz en las Regiones 2 y 3, y:</w:t>
      </w:r>
    </w:p>
    <w:p w14:paraId="0B37E628" w14:textId="77777777" w:rsidR="00CF65EF" w:rsidRPr="00CC4FCD" w:rsidRDefault="00CF65EF" w:rsidP="00966A02">
      <w:pPr>
        <w:pStyle w:val="enumlev2"/>
        <w:rPr>
          <w:color w:val="000000"/>
          <w:lang w:val="es-ES_tradnl"/>
        </w:rPr>
      </w:pPr>
      <w:r w:rsidRPr="00CC4FCD">
        <w:rPr>
          <w:color w:val="000000"/>
          <w:lang w:val="es-ES_tradnl"/>
        </w:rPr>
        <w:t>i)</w:t>
      </w:r>
      <w:r w:rsidRPr="00CC4FCD">
        <w:rPr>
          <w:color w:val="000000"/>
          <w:lang w:val="es-ES_tradnl"/>
        </w:rPr>
        <w:tab/>
        <w:t>Cuando una administración presenta una petición de coordinación para la zona de servicio que cubre su territorio nacional y se extiende más allá del mismo, la admi</w:t>
      </w:r>
      <w:r w:rsidR="00966A02" w:rsidRPr="00CC4FCD">
        <w:rPr>
          <w:color w:val="000000"/>
          <w:lang w:val="es-ES_tradnl"/>
        </w:rPr>
        <w:softHyphen/>
      </w:r>
      <w:r w:rsidRPr="00CC4FCD">
        <w:rPr>
          <w:color w:val="000000"/>
          <w:lang w:val="es-ES_tradnl"/>
        </w:rPr>
        <w:t>nistración responsable deberá presentar al mismo tiempo la lista de administraciones que acuerdan constituir el sistema regional y se deberá determinar en consecuencia la zona de servicio. Si no se obtiene el acuerdo correspondiente, la zona de servicio deberá limitarse a su territorio nacional.</w:t>
      </w:r>
    </w:p>
    <w:p w14:paraId="7A85349D" w14:textId="77777777" w:rsidR="00651530" w:rsidRDefault="00CF65EF" w:rsidP="000A1EF1">
      <w:pPr>
        <w:pStyle w:val="enumlev2"/>
        <w:rPr>
          <w:color w:val="000000"/>
          <w:lang w:val="es-ES_tradnl"/>
        </w:rPr>
      </w:pPr>
      <w:r w:rsidRPr="00CC4FCD">
        <w:rPr>
          <w:color w:val="000000"/>
          <w:lang w:val="es-ES_tradnl"/>
        </w:rPr>
        <w:t>ii)</w:t>
      </w:r>
      <w:r w:rsidRPr="00CC4FCD">
        <w:rPr>
          <w:color w:val="000000"/>
          <w:lang w:val="es-ES_tradnl"/>
        </w:rPr>
        <w:tab/>
        <w:t>Cuando una administración presenta una petición de coordinación para una zona de servicio que no incluye su territorio nacional sino únicamente territorios de otras administraciones, la administración responsable deberá presentar al mismo tiempo la lista de administraciones que acuerdan constituir el sistema regional y se deberá determinar en consecuencia la zona de servicio. Si no se obtiene el citado acuerdo, se considerará que las asignaciones pertinentes no están de conformidad con el Cuadro de atribución de bandas de frecuencias y la conclusión será desfavorable.</w:t>
      </w:r>
    </w:p>
    <w:p w14:paraId="6340720E" w14:textId="77777777" w:rsidR="00CF65EF" w:rsidRPr="00CC4FCD" w:rsidRDefault="00CF65EF" w:rsidP="000A1EF1">
      <w:pPr>
        <w:pStyle w:val="enumlev1"/>
        <w:rPr>
          <w:color w:val="000000"/>
          <w:lang w:val="es-ES_tradnl"/>
        </w:rPr>
      </w:pPr>
      <w:r w:rsidRPr="00CC4FCD">
        <w:rPr>
          <w:i/>
          <w:color w:val="000000"/>
          <w:lang w:val="es-ES_tradnl"/>
        </w:rPr>
        <w:t>b)</w:t>
      </w:r>
      <w:r w:rsidRPr="00CC4FCD">
        <w:rPr>
          <w:color w:val="000000"/>
          <w:lang w:val="es-ES_tradnl"/>
        </w:rPr>
        <w:tab/>
        <w:t>Que, en el caso de un sistema nacional, la zona de servicio esté limitada al territorio bajo jurisdicción de la administración notificante.</w:t>
      </w:r>
    </w:p>
    <w:p w14:paraId="4606EDDA" w14:textId="7434E85D" w:rsidR="001B3E77" w:rsidRDefault="00CF65EF" w:rsidP="00CF65EF">
      <w:pPr>
        <w:pStyle w:val="enumlev1"/>
        <w:rPr>
          <w:color w:val="000000"/>
          <w:lang w:val="es-ES_tradnl"/>
        </w:rPr>
      </w:pPr>
      <w:r w:rsidRPr="00CC4FCD">
        <w:rPr>
          <w:i/>
          <w:color w:val="000000"/>
          <w:lang w:val="es-ES_tradnl"/>
        </w:rPr>
        <w:t>c)</w:t>
      </w:r>
      <w:r w:rsidRPr="00CC4FCD">
        <w:rPr>
          <w:color w:val="000000"/>
          <w:lang w:val="es-ES_tradnl"/>
        </w:rPr>
        <w:tab/>
        <w:t>Si la red de satélite es explotada en el ámbito de un sistema internacional al que perte</w:t>
      </w:r>
      <w:r w:rsidRPr="00CC4FCD">
        <w:rPr>
          <w:color w:val="000000"/>
          <w:lang w:val="es-ES_tradnl"/>
        </w:rPr>
        <w:softHyphen/>
        <w:t>necen otros países, es necesario indicar en la notificación que la utilización está limitada a la Región o a las Regiones de que se trate.</w:t>
      </w:r>
    </w:p>
    <w:p w14:paraId="12BA8D87" w14:textId="77777777" w:rsidR="001B3E77" w:rsidRDefault="001B3E77" w:rsidP="00CF65EF">
      <w:pPr>
        <w:pStyle w:val="enumlev1"/>
        <w:rPr>
          <w:color w:val="000000"/>
          <w:lang w:val="es-ES_tradnl"/>
        </w:rPr>
      </w:pPr>
    </w:p>
    <w:p w14:paraId="37C06B08" w14:textId="77777777" w:rsidR="001B3E77" w:rsidRDefault="001B3E77" w:rsidP="00995031">
      <w:pPr>
        <w:rPr>
          <w:lang w:val="es-ES_tradnl"/>
        </w:rPr>
        <w:sectPr w:rsidR="001B3E77" w:rsidSect="005D4085">
          <w:headerReference w:type="even" r:id="rId8"/>
          <w:headerReference w:type="default" r:id="rId9"/>
          <w:footnotePr>
            <w:pos w:val="beneathText"/>
            <w:numFmt w:val="chicago"/>
          </w:footnotePr>
          <w:pgSz w:w="11907" w:h="16840" w:code="9"/>
          <w:pgMar w:top="1701" w:right="851" w:bottom="907" w:left="1985" w:header="720" w:footer="482" w:gutter="0"/>
          <w:cols w:space="720"/>
          <w:vAlign w:val="both"/>
        </w:sectPr>
      </w:pPr>
    </w:p>
    <w:p w14:paraId="622B5206" w14:textId="77777777" w:rsidR="000A21A1" w:rsidRPr="00CC4FCD" w:rsidRDefault="000A21A1">
      <w:pPr>
        <w:pStyle w:val="Heading8"/>
        <w:rPr>
          <w:color w:val="000000"/>
          <w:lang w:val="es-ES_tradnl"/>
        </w:rPr>
      </w:pPr>
      <w:r w:rsidRPr="00CC4FCD">
        <w:rPr>
          <w:color w:val="000000"/>
          <w:lang w:val="es-ES_tradnl"/>
        </w:rPr>
        <w:lastRenderedPageBreak/>
        <w:t>5.416</w:t>
      </w:r>
    </w:p>
    <w:p w14:paraId="32F6957C" w14:textId="77777777" w:rsidR="00EA5848" w:rsidRPr="00CC4FCD" w:rsidRDefault="00EA5848" w:rsidP="00EA5848">
      <w:pPr>
        <w:rPr>
          <w:lang w:val="es-ES_tradnl"/>
        </w:rPr>
      </w:pPr>
      <w:r w:rsidRPr="00CC4FCD">
        <w:rPr>
          <w:lang w:val="es-ES_tradnl"/>
        </w:rPr>
        <w:t>1)</w:t>
      </w:r>
      <w:r w:rsidRPr="00CC4FCD">
        <w:rPr>
          <w:lang w:val="es-ES_tradnl"/>
        </w:rPr>
        <w:tab/>
        <w:t>Véanse los comentarios referentes a las Reglas de Procedimiento relativas al número </w:t>
      </w:r>
      <w:r w:rsidRPr="00CC4FCD">
        <w:rPr>
          <w:rStyle w:val="Artref"/>
          <w:b/>
          <w:bCs/>
          <w:color w:val="000000"/>
          <w:lang w:val="es-ES_tradnl"/>
        </w:rPr>
        <w:t>5.415</w:t>
      </w:r>
      <w:r w:rsidRPr="00CC4FCD">
        <w:rPr>
          <w:rStyle w:val="Artref"/>
          <w:color w:val="000000"/>
          <w:lang w:val="es-ES_tradnl"/>
        </w:rPr>
        <w:t xml:space="preserve"> sobre</w:t>
      </w:r>
      <w:r w:rsidRPr="00CC4FCD">
        <w:rPr>
          <w:lang w:val="es-ES_tradnl"/>
        </w:rPr>
        <w:t xml:space="preserve"> la utilización exclusiva de sistemas nacionales y regionales.</w:t>
      </w:r>
    </w:p>
    <w:p w14:paraId="38D17FB4" w14:textId="77777777" w:rsidR="00EA5848" w:rsidRPr="00CC4FCD" w:rsidRDefault="00EA5848" w:rsidP="00EA1686">
      <w:pPr>
        <w:rPr>
          <w:lang w:val="es-ES_tradnl"/>
        </w:rPr>
      </w:pPr>
      <w:r w:rsidRPr="00CC4FCD">
        <w:rPr>
          <w:lang w:val="es-ES_tradnl"/>
        </w:rPr>
        <w:t>2)</w:t>
      </w:r>
      <w:r w:rsidRPr="00CC4FCD">
        <w:rPr>
          <w:lang w:val="es-ES_tradnl"/>
        </w:rPr>
        <w:tab/>
        <w:t xml:space="preserve">A la luz de lo que establece esta disposición, la Junta concluyó que la referencia al procedimiento de coordinación del número </w:t>
      </w:r>
      <w:r w:rsidRPr="00CC4FCD">
        <w:rPr>
          <w:b/>
          <w:bCs/>
          <w:lang w:val="es-ES_tradnl"/>
        </w:rPr>
        <w:t>9.19</w:t>
      </w:r>
      <w:r w:rsidRPr="00CC4FCD">
        <w:rPr>
          <w:lang w:val="es-ES_tradnl"/>
        </w:rPr>
        <w:t xml:space="preserve"> en esta disposición concierne a las adminis</w:t>
      </w:r>
      <w:r w:rsidR="00EA1686" w:rsidRPr="00CC4FCD">
        <w:rPr>
          <w:lang w:val="es-ES_tradnl"/>
        </w:rPr>
        <w:softHyphen/>
      </w:r>
      <w:r w:rsidRPr="00CC4FCD">
        <w:rPr>
          <w:lang w:val="es-ES_tradnl"/>
        </w:rPr>
        <w:t xml:space="preserve">traciones. Por consiguiente, en la fase de examen en virtud del número </w:t>
      </w:r>
      <w:r w:rsidRPr="00CC4FCD">
        <w:rPr>
          <w:b/>
          <w:bCs/>
          <w:lang w:val="es-ES_tradnl"/>
        </w:rPr>
        <w:t>11.32</w:t>
      </w:r>
      <w:r w:rsidRPr="00CC4FCD">
        <w:rPr>
          <w:lang w:val="es-ES_tradnl"/>
        </w:rPr>
        <w:t>, la Oficina no examinará las asignaciones de frecuencias notificadas a una estación transmisora de un servicio terrenal o a una estación terrena transmisora del SFS (Tierra-espacio) con respecto a su conformidad con el número</w:t>
      </w:r>
      <w:r w:rsidR="00EA1686" w:rsidRPr="00CC4FCD">
        <w:rPr>
          <w:lang w:val="es-ES_tradnl"/>
        </w:rPr>
        <w:t> </w:t>
      </w:r>
      <w:r w:rsidRPr="00CC4FCD">
        <w:rPr>
          <w:b/>
          <w:bCs/>
          <w:lang w:val="es-ES_tradnl"/>
        </w:rPr>
        <w:t>9.19</w:t>
      </w:r>
      <w:r w:rsidRPr="00CC4FCD">
        <w:rPr>
          <w:lang w:val="es-ES_tradnl"/>
        </w:rPr>
        <w:t>.</w:t>
      </w:r>
    </w:p>
    <w:p w14:paraId="581CE512" w14:textId="77777777" w:rsidR="000A21A1" w:rsidRPr="00CC4FCD" w:rsidRDefault="000A21A1">
      <w:pPr>
        <w:pStyle w:val="Heading8"/>
        <w:rPr>
          <w:color w:val="000000"/>
          <w:lang w:val="es-ES_tradnl"/>
        </w:rPr>
      </w:pPr>
      <w:r w:rsidRPr="00CC4FCD">
        <w:rPr>
          <w:color w:val="000000"/>
          <w:lang w:val="es-ES_tradnl"/>
        </w:rPr>
        <w:t>5.418C</w:t>
      </w:r>
    </w:p>
    <w:p w14:paraId="678CC4B8" w14:textId="0748A60F" w:rsidR="00EA5848" w:rsidRPr="00CC4FCD" w:rsidRDefault="00EA5848" w:rsidP="004D6A61">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De</w:t>
      </w:r>
      <w:proofErr w:type="gramEnd"/>
      <w:r w:rsidRPr="00CC4FCD">
        <w:rPr>
          <w:color w:val="000000"/>
          <w:lang w:val="es-ES_tradnl"/>
        </w:rPr>
        <w:t xml:space="preserve"> conformidad con la disposición número </w:t>
      </w:r>
      <w:r w:rsidRPr="00CC4FCD">
        <w:rPr>
          <w:rStyle w:val="Artref"/>
          <w:b/>
          <w:bCs/>
          <w:color w:val="000000"/>
          <w:lang w:val="es-ES_tradnl"/>
        </w:rPr>
        <w:t>5.418C</w:t>
      </w:r>
      <w:r w:rsidRPr="00CC4FCD">
        <w:rPr>
          <w:color w:val="000000"/>
          <w:lang w:val="es-ES_tradnl"/>
        </w:rPr>
        <w:t>, modificada por la CMR</w:t>
      </w:r>
      <w:r w:rsidRPr="00CC4FCD">
        <w:rPr>
          <w:color w:val="000000"/>
          <w:lang w:val="es-ES_tradnl"/>
        </w:rPr>
        <w:noBreakHyphen/>
        <w:t>03, la utilización de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por redes de satélites OSG está sujeta a la</w:t>
      </w:r>
      <w:r w:rsidR="001B3E77">
        <w:rPr>
          <w:color w:val="000000"/>
          <w:lang w:val="es-ES_tradnl"/>
        </w:rPr>
        <w:t> </w:t>
      </w:r>
      <w:r w:rsidRPr="00CC4FCD">
        <w:rPr>
          <w:color w:val="000000"/>
          <w:lang w:val="es-ES_tradnl"/>
        </w:rPr>
        <w:t xml:space="preserve">aplicación de las disposiciones del número </w:t>
      </w:r>
      <w:r w:rsidRPr="00CC4FCD">
        <w:rPr>
          <w:rStyle w:val="Artref"/>
          <w:b/>
          <w:bCs/>
          <w:color w:val="000000"/>
          <w:lang w:val="es-ES_tradnl"/>
        </w:rPr>
        <w:t>9.13</w:t>
      </w:r>
      <w:r w:rsidRPr="00CC4FCD">
        <w:rPr>
          <w:color w:val="000000"/>
          <w:lang w:val="es-ES_tradnl"/>
        </w:rPr>
        <w:t xml:space="preserve"> respecto a los sistemas de satélites no</w:t>
      </w:r>
      <w:r w:rsidR="001B3E77">
        <w:rPr>
          <w:color w:val="000000"/>
          <w:lang w:val="es-ES_tradnl"/>
        </w:rPr>
        <w:t> </w:t>
      </w:r>
      <w:r w:rsidRPr="00CC4FCD">
        <w:rPr>
          <w:color w:val="000000"/>
          <w:lang w:val="es-ES_tradnl"/>
        </w:rPr>
        <w:t>OSG</w:t>
      </w:r>
      <w:r w:rsidR="00B24046">
        <w:rPr>
          <w:color w:val="000000"/>
          <w:lang w:val="es-ES_tradnl"/>
        </w:rPr>
        <w:t> </w:t>
      </w:r>
      <w:r w:rsidRPr="00CC4FCD">
        <w:rPr>
          <w:color w:val="000000"/>
          <w:lang w:val="es-ES_tradnl"/>
        </w:rPr>
        <w:t xml:space="preserve">del SRS (sonora), en virtud del número </w:t>
      </w:r>
      <w:r w:rsidRPr="00CC4FCD">
        <w:rPr>
          <w:rStyle w:val="Artref"/>
          <w:b/>
          <w:bCs/>
          <w:color w:val="000000"/>
          <w:lang w:val="es-ES_tradnl"/>
        </w:rPr>
        <w:t>5.418</w:t>
      </w:r>
      <w:r w:rsidRPr="00CC4FCD">
        <w:rPr>
          <w:color w:val="000000"/>
          <w:lang w:val="es-ES_tradnl"/>
        </w:rPr>
        <w:t xml:space="preserve"> a partir del 3 de junio de</w:t>
      </w:r>
      <w:r w:rsidR="001B3E77">
        <w:rPr>
          <w:color w:val="000000"/>
          <w:lang w:val="es-ES_tradnl"/>
        </w:rPr>
        <w:t> </w:t>
      </w:r>
      <w:r w:rsidRPr="00CC4FCD">
        <w:rPr>
          <w:color w:val="000000"/>
          <w:lang w:val="es-ES_tradnl"/>
        </w:rPr>
        <w:t>2000.</w:t>
      </w:r>
      <w:r w:rsidR="001B3E77" w:rsidRPr="001B3E77">
        <w:rPr>
          <w:sz w:val="16"/>
          <w:szCs w:val="16"/>
          <w:lang w:val="es-ES"/>
        </w:rPr>
        <w:t xml:space="preserve"> </w:t>
      </w:r>
      <w:r w:rsidR="001B3E77" w:rsidRPr="001B3E77">
        <w:rPr>
          <w:sz w:val="16"/>
          <w:szCs w:val="16"/>
          <w:lang w:val="es-ES"/>
        </w:rPr>
        <w:t>  </w:t>
      </w:r>
      <w:r w:rsidR="001B3E77">
        <w:rPr>
          <w:sz w:val="16"/>
          <w:szCs w:val="16"/>
          <w:lang w:val="es-ES"/>
        </w:rPr>
        <w:t>  </w:t>
      </w:r>
      <w:r w:rsidR="001B3E77" w:rsidRPr="001B3E77">
        <w:rPr>
          <w:sz w:val="16"/>
          <w:szCs w:val="16"/>
          <w:lang w:val="es-ES"/>
        </w:rPr>
        <w:t> (MOD</w:t>
      </w:r>
      <w:r w:rsidR="001B3E77" w:rsidRPr="001B3E77">
        <w:rPr>
          <w:sz w:val="16"/>
          <w:szCs w:val="16"/>
          <w:lang w:val="es-ES"/>
        </w:rPr>
        <w:t> </w:t>
      </w:r>
      <w:r w:rsidR="001B3E77" w:rsidRPr="001B3E77">
        <w:rPr>
          <w:sz w:val="16"/>
          <w:szCs w:val="16"/>
          <w:lang w:val="es-ES"/>
        </w:rPr>
        <w:t>RRB21/479)</w:t>
      </w:r>
    </w:p>
    <w:p w14:paraId="1E63B73D" w14:textId="77777777" w:rsidR="00EA5848" w:rsidRPr="00CC4FCD" w:rsidRDefault="00EA5848" w:rsidP="00EA1686">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Junta realizó un examen detenido de los distintos procedimientos y disposiciones que se aplican a los sistemas de satélites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y observó</w:t>
      </w:r>
      <w:r w:rsidR="00EA1686" w:rsidRPr="00CC4FCD">
        <w:rPr>
          <w:color w:val="000000"/>
          <w:lang w:val="es-ES_tradnl"/>
        </w:rPr>
        <w:t xml:space="preserve"> </w:t>
      </w:r>
      <w:r w:rsidRPr="00CC4FCD">
        <w:rPr>
          <w:color w:val="000000"/>
          <w:lang w:val="es-ES_tradnl"/>
        </w:rPr>
        <w:t>la</w:t>
      </w:r>
      <w:r w:rsidR="00EA1686" w:rsidRPr="00CC4FCD">
        <w:rPr>
          <w:color w:val="000000"/>
          <w:lang w:val="es-ES_tradnl"/>
        </w:rPr>
        <w:t xml:space="preserve"> </w:t>
      </w:r>
      <w:r w:rsidRPr="00CC4FCD">
        <w:rPr>
          <w:color w:val="000000"/>
          <w:lang w:val="es-ES_tradnl"/>
        </w:rPr>
        <w:t xml:space="preserve">dificultad de vincular la referencia que hace el número </w:t>
      </w:r>
      <w:r w:rsidRPr="00CC4FCD">
        <w:rPr>
          <w:rStyle w:val="Artref"/>
          <w:b/>
          <w:bCs/>
          <w:color w:val="000000"/>
          <w:lang w:val="es-ES_tradnl"/>
        </w:rPr>
        <w:t>5.418C</w:t>
      </w:r>
      <w:r w:rsidRPr="00CC4FCD">
        <w:rPr>
          <w:color w:val="000000"/>
          <w:lang w:val="es-ES_tradnl"/>
        </w:rPr>
        <w:t xml:space="preserve"> a la </w:t>
      </w:r>
      <w:r w:rsidRPr="000210B4">
        <w:rPr>
          <w:i/>
          <w:iCs/>
          <w:color w:val="000000"/>
          <w:lang w:val="es-ES_tradnl"/>
        </w:rPr>
        <w:t>«información de notificación»</w:t>
      </w:r>
      <w:r w:rsidRPr="00CC4FCD">
        <w:rPr>
          <w:color w:val="000000"/>
          <w:lang w:val="es-ES_tradnl"/>
        </w:rPr>
        <w:t xml:space="preserve"> de sistemas del SRS OSG a la aplicación del número </w:t>
      </w:r>
      <w:r w:rsidRPr="00CC4FCD">
        <w:rPr>
          <w:rStyle w:val="Artref"/>
          <w:b/>
          <w:bCs/>
          <w:color w:val="000000"/>
          <w:lang w:val="es-ES_tradnl"/>
        </w:rPr>
        <w:t>22.2</w:t>
      </w:r>
      <w:r w:rsidRPr="00CC4FCD">
        <w:rPr>
          <w:color w:val="000000"/>
          <w:lang w:val="es-ES_tradnl"/>
        </w:rPr>
        <w:t xml:space="preserve"> citada en el número </w:t>
      </w:r>
      <w:r w:rsidRPr="00CC4FCD">
        <w:rPr>
          <w:rStyle w:val="Artref"/>
          <w:b/>
          <w:bCs/>
          <w:color w:val="000000"/>
          <w:lang w:val="es-ES_tradnl"/>
        </w:rPr>
        <w:t>5.418A</w:t>
      </w:r>
      <w:r w:rsidRPr="00CC4FCD">
        <w:rPr>
          <w:color w:val="000000"/>
          <w:lang w:val="es-ES_tradnl"/>
        </w:rPr>
        <w:t>.</w:t>
      </w:r>
    </w:p>
    <w:p w14:paraId="72796451" w14:textId="77777777" w:rsidR="00EA5848" w:rsidRPr="00CC4FCD" w:rsidRDefault="00EA5848" w:rsidP="00EA5848">
      <w:pPr>
        <w:rPr>
          <w:color w:val="000000"/>
          <w:lang w:val="es-ES_tradnl"/>
        </w:rPr>
      </w:pPr>
      <w:r w:rsidRPr="00CC4FCD">
        <w:rPr>
          <w:color w:val="000000"/>
          <w:lang w:val="es-ES_tradnl"/>
        </w:rPr>
        <w:t>3</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el contexto anterior y teniendo en cuenta los debates y la decisión de la CMR</w:t>
      </w:r>
      <w:r w:rsidRPr="00CC4FCD">
        <w:rPr>
          <w:color w:val="000000"/>
          <w:lang w:val="es-ES_tradnl"/>
        </w:rPr>
        <w:noBreakHyphen/>
        <w:t xml:space="preserve">03, la Junta entiende que la coordinación del número </w:t>
      </w:r>
      <w:r w:rsidRPr="00CC4FCD">
        <w:rPr>
          <w:rStyle w:val="Artref"/>
          <w:b/>
          <w:bCs/>
          <w:color w:val="000000"/>
          <w:lang w:val="es-ES_tradnl"/>
        </w:rPr>
        <w:t>9.13</w:t>
      </w:r>
      <w:r w:rsidRPr="00CC4FCD">
        <w:rPr>
          <w:color w:val="000000"/>
          <w:lang w:val="es-ES_tradnl"/>
        </w:rPr>
        <w:t xml:space="preserve"> debe aplicarse como se describe en el Cuadro que aparece a continuación.</w:t>
      </w:r>
    </w:p>
    <w:p w14:paraId="360A6A5E" w14:textId="77777777" w:rsidR="00EA5848" w:rsidRPr="00CC4FCD" w:rsidRDefault="00EA5848" w:rsidP="00032FAE">
      <w:pPr>
        <w:spacing w:before="240"/>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EA5848" w:rsidRPr="00CC4FCD" w14:paraId="43E25D5A" w14:textId="77777777" w:rsidTr="00C81CBC">
        <w:trPr>
          <w:jc w:val="center"/>
        </w:trPr>
        <w:tc>
          <w:tcPr>
            <w:tcW w:w="1701" w:type="dxa"/>
            <w:vAlign w:val="center"/>
          </w:tcPr>
          <w:p w14:paraId="489F643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sz w:val="21"/>
                <w:lang w:val="es-ES_tradnl"/>
              </w:rPr>
              <w:t>Red de satélites OSG</w:t>
            </w:r>
          </w:p>
        </w:tc>
        <w:tc>
          <w:tcPr>
            <w:tcW w:w="2155" w:type="dxa"/>
            <w:vAlign w:val="center"/>
          </w:tcPr>
          <w:p w14:paraId="25D3E061"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coordinación (número </w:t>
            </w:r>
            <w:r w:rsidRPr="00CC4FCD">
              <w:rPr>
                <w:rStyle w:val="Artref"/>
                <w:color w:val="000000"/>
                <w:sz w:val="21"/>
                <w:lang w:val="es-ES_tradnl"/>
              </w:rPr>
              <w:t>9.6</w:t>
            </w:r>
            <w:r w:rsidRPr="00CC4FCD">
              <w:rPr>
                <w:sz w:val="21"/>
                <w:lang w:val="es-ES_tradnl"/>
              </w:rPr>
              <w:t>)</w:t>
            </w:r>
          </w:p>
        </w:tc>
        <w:tc>
          <w:tcPr>
            <w:tcW w:w="2155" w:type="dxa"/>
            <w:vAlign w:val="center"/>
          </w:tcPr>
          <w:p w14:paraId="4C53B9A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notificación</w:t>
            </w:r>
            <w:r w:rsidRPr="00CC4FCD">
              <w:rPr>
                <w:rFonts w:cs="Arial"/>
                <w:sz w:val="21"/>
                <w:lang w:val="es-ES_tradnl"/>
              </w:rPr>
              <w:br/>
              <w:t>(número</w:t>
            </w:r>
            <w:r w:rsidRPr="00CC4FCD">
              <w:rPr>
                <w:rFonts w:cs="Arial"/>
                <w:b w:val="0"/>
                <w:bCs/>
                <w:sz w:val="21"/>
                <w:lang w:val="es-ES_tradnl"/>
              </w:rPr>
              <w:t> </w:t>
            </w:r>
            <w:r w:rsidRPr="00CC4FCD">
              <w:rPr>
                <w:rStyle w:val="Artref"/>
                <w:color w:val="000000"/>
                <w:sz w:val="21"/>
                <w:lang w:val="es-ES_tradnl"/>
              </w:rPr>
              <w:t>11.2</w:t>
            </w:r>
            <w:r w:rsidRPr="00CC4FCD">
              <w:rPr>
                <w:sz w:val="21"/>
                <w:lang w:val="es-ES_tradnl"/>
              </w:rPr>
              <w:t>)</w:t>
            </w:r>
          </w:p>
        </w:tc>
        <w:tc>
          <w:tcPr>
            <w:tcW w:w="1701" w:type="dxa"/>
            <w:vAlign w:val="center"/>
          </w:tcPr>
          <w:p w14:paraId="4305783C"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 xml:space="preserve">Aplicación del número </w:t>
            </w:r>
            <w:r w:rsidRPr="00CC4FCD">
              <w:rPr>
                <w:rStyle w:val="Artref"/>
                <w:color w:val="000000"/>
                <w:sz w:val="21"/>
                <w:lang w:val="es-ES_tradnl"/>
              </w:rPr>
              <w:t>9.13</w:t>
            </w:r>
          </w:p>
        </w:tc>
      </w:tr>
      <w:tr w:rsidR="00EA5848" w:rsidRPr="00CC4FCD" w14:paraId="424B3DBC" w14:textId="77777777" w:rsidTr="00C81CBC">
        <w:trPr>
          <w:cantSplit/>
          <w:jc w:val="center"/>
        </w:trPr>
        <w:tc>
          <w:tcPr>
            <w:tcW w:w="1701" w:type="dxa"/>
            <w:vMerge w:val="restart"/>
          </w:tcPr>
          <w:p w14:paraId="5E243171" w14:textId="77777777" w:rsidR="00EA5848" w:rsidRPr="00CC4FCD" w:rsidRDefault="00EA5848" w:rsidP="00C81CBC">
            <w:pPr>
              <w:pStyle w:val="Tabletext0"/>
              <w:framePr w:hSpace="181" w:wrap="notBeside" w:vAnchor="text" w:hAnchor="text" w:xAlign="center" w:y="1"/>
              <w:rPr>
                <w:sz w:val="21"/>
                <w:szCs w:val="21"/>
                <w:lang w:val="es-ES_tradnl"/>
              </w:rPr>
            </w:pPr>
            <w:r w:rsidRPr="00CC4FCD">
              <w:rPr>
                <w:sz w:val="21"/>
                <w:szCs w:val="21"/>
                <w:lang w:val="es-ES_tradnl"/>
              </w:rPr>
              <w:t>SRS</w:t>
            </w:r>
            <w:r w:rsidRPr="00CC4FCD">
              <w:rPr>
                <w:sz w:val="21"/>
                <w:szCs w:val="21"/>
                <w:lang w:val="es-ES_tradnl"/>
              </w:rPr>
              <w:br/>
              <w:t xml:space="preserve">(número </w:t>
            </w:r>
            <w:r w:rsidRPr="00CC4FCD">
              <w:rPr>
                <w:rStyle w:val="Artref"/>
                <w:b/>
                <w:bCs/>
                <w:color w:val="000000"/>
                <w:sz w:val="21"/>
                <w:szCs w:val="21"/>
                <w:lang w:val="es-ES_tradnl"/>
              </w:rPr>
              <w:t>5.418</w:t>
            </w:r>
            <w:r w:rsidRPr="00CC4FCD">
              <w:rPr>
                <w:sz w:val="21"/>
                <w:szCs w:val="21"/>
                <w:lang w:val="es-ES_tradnl"/>
              </w:rPr>
              <w:t>)</w:t>
            </w:r>
          </w:p>
        </w:tc>
        <w:tc>
          <w:tcPr>
            <w:tcW w:w="2155" w:type="dxa"/>
          </w:tcPr>
          <w:p w14:paraId="2D899D89"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136D5050"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1701" w:type="dxa"/>
          </w:tcPr>
          <w:p w14:paraId="63AEC1BC"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551F833" w14:textId="77777777" w:rsidTr="00C81CBC">
        <w:trPr>
          <w:cantSplit/>
          <w:jc w:val="center"/>
        </w:trPr>
        <w:tc>
          <w:tcPr>
            <w:tcW w:w="1701" w:type="dxa"/>
            <w:vMerge/>
          </w:tcPr>
          <w:p w14:paraId="5B8C397A"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2D85D18B"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01C47B45"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69B9BB43"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0ADA0A9" w14:textId="77777777" w:rsidTr="00C81CBC">
        <w:trPr>
          <w:cantSplit/>
          <w:jc w:val="center"/>
        </w:trPr>
        <w:tc>
          <w:tcPr>
            <w:tcW w:w="1701" w:type="dxa"/>
            <w:vMerge/>
          </w:tcPr>
          <w:p w14:paraId="04AB7481"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40A12047"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2155" w:type="dxa"/>
          </w:tcPr>
          <w:p w14:paraId="00600C1A"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7FBCFFC8"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SÍ</w:t>
            </w:r>
          </w:p>
        </w:tc>
      </w:tr>
    </w:tbl>
    <w:p w14:paraId="07D308ED" w14:textId="77777777" w:rsidR="00AD4853" w:rsidRDefault="00AD4853" w:rsidP="00A14EF9">
      <w:pPr>
        <w:rPr>
          <w:lang w:val="es-ES_tradnl"/>
        </w:rPr>
      </w:pPr>
    </w:p>
    <w:p w14:paraId="460A1FCC" w14:textId="77777777" w:rsidR="00AD4853" w:rsidRDefault="00AD4853" w:rsidP="00A14EF9">
      <w:pPr>
        <w:rPr>
          <w:lang w:val="es-ES_tradnl"/>
        </w:rPr>
      </w:pPr>
    </w:p>
    <w:p w14:paraId="1FBEF877" w14:textId="77777777" w:rsidR="001B3E77" w:rsidRDefault="001B3E77" w:rsidP="00A14EF9">
      <w:pPr>
        <w:rPr>
          <w:lang w:val="es-ES_tradnl"/>
        </w:rPr>
        <w:sectPr w:rsidR="001B3E77" w:rsidSect="005D4085">
          <w:headerReference w:type="default" r:id="rId10"/>
          <w:footerReference w:type="default" r:id="rId11"/>
          <w:footnotePr>
            <w:pos w:val="beneathText"/>
            <w:numFmt w:val="chicago"/>
          </w:footnotePr>
          <w:pgSz w:w="11907" w:h="16840" w:code="9"/>
          <w:pgMar w:top="1701" w:right="851" w:bottom="907" w:left="1985" w:header="720" w:footer="482" w:gutter="0"/>
          <w:cols w:space="720"/>
          <w:vAlign w:val="both"/>
        </w:sectPr>
      </w:pPr>
    </w:p>
    <w:p w14:paraId="790EC0D0" w14:textId="4CE5D8A6" w:rsidR="009E216C" w:rsidRPr="009E216C" w:rsidRDefault="009E216C" w:rsidP="009E216C">
      <w:pPr>
        <w:spacing w:before="0"/>
        <w:rPr>
          <w:sz w:val="2"/>
          <w:szCs w:val="2"/>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tblGrid>
      <w:tr w:rsidR="00C83727" w:rsidRPr="00FF37B7" w14:paraId="6E35081A" w14:textId="77777777" w:rsidTr="00032FAE">
        <w:tc>
          <w:tcPr>
            <w:tcW w:w="2943" w:type="dxa"/>
            <w:tcBorders>
              <w:top w:val="double" w:sz="4" w:space="0" w:color="auto"/>
              <w:left w:val="double" w:sz="4" w:space="0" w:color="auto"/>
              <w:bottom w:val="double" w:sz="4" w:space="0" w:color="auto"/>
              <w:right w:val="double" w:sz="4" w:space="0" w:color="auto"/>
            </w:tcBorders>
          </w:tcPr>
          <w:p w14:paraId="4607ECD0" w14:textId="77777777" w:rsidR="00C83727" w:rsidRPr="00FF37B7" w:rsidRDefault="00C83727" w:rsidP="00032FAE">
            <w:pPr>
              <w:pStyle w:val="Headingb0"/>
              <w:keepNext w:val="0"/>
              <w:spacing w:after="100"/>
              <w:ind w:right="-391"/>
              <w:rPr>
                <w:bCs/>
                <w:color w:val="000000"/>
                <w:lang w:val="en-GB"/>
              </w:rPr>
            </w:pPr>
            <w:r w:rsidRPr="00FF37B7">
              <w:rPr>
                <w:bCs/>
                <w:color w:val="000000"/>
                <w:lang w:val="en-GB"/>
              </w:rPr>
              <w:t>Band</w:t>
            </w:r>
            <w:r>
              <w:rPr>
                <w:bCs/>
                <w:color w:val="000000"/>
                <w:lang w:val="en-GB"/>
              </w:rPr>
              <w:t>a</w:t>
            </w:r>
            <w:r w:rsidRPr="00FF37B7">
              <w:rPr>
                <w:bCs/>
                <w:color w:val="000000"/>
                <w:lang w:val="en-GB"/>
              </w:rPr>
              <w:t xml:space="preserve"> 2</w:t>
            </w:r>
            <w:r w:rsidRPr="00FF37B7">
              <w:rPr>
                <w:rFonts w:ascii="Tms Rmn" w:hAnsi="Tms Rmn"/>
                <w:bCs/>
                <w:color w:val="000000"/>
                <w:sz w:val="12"/>
                <w:lang w:val="en-GB"/>
              </w:rPr>
              <w:t> </w:t>
            </w:r>
            <w:r w:rsidRPr="00FF37B7">
              <w:rPr>
                <w:bCs/>
                <w:color w:val="000000"/>
                <w:lang w:val="en-GB"/>
              </w:rPr>
              <w:t>6</w:t>
            </w:r>
            <w:r>
              <w:rPr>
                <w:bCs/>
                <w:color w:val="000000"/>
                <w:lang w:val="en-GB"/>
              </w:rPr>
              <w:t>30</w:t>
            </w:r>
            <w:r w:rsidRPr="00FF37B7">
              <w:rPr>
                <w:bCs/>
                <w:color w:val="000000"/>
                <w:lang w:val="en-GB"/>
              </w:rPr>
              <w:t>-2</w:t>
            </w:r>
            <w:r w:rsidRPr="00FF37B7">
              <w:rPr>
                <w:rFonts w:ascii="Tms Rmn" w:hAnsi="Tms Rmn"/>
                <w:bCs/>
                <w:color w:val="000000"/>
                <w:sz w:val="12"/>
                <w:lang w:val="en-GB"/>
              </w:rPr>
              <w:t> </w:t>
            </w:r>
            <w:r w:rsidRPr="00FF37B7">
              <w:rPr>
                <w:bCs/>
                <w:color w:val="000000"/>
                <w:lang w:val="en-GB"/>
              </w:rPr>
              <w:t>655 MHz</w:t>
            </w:r>
          </w:p>
        </w:tc>
      </w:tr>
    </w:tbl>
    <w:p w14:paraId="0384C329" w14:textId="77777777" w:rsidR="00947A2E" w:rsidRPr="00947A2E" w:rsidRDefault="00947A2E" w:rsidP="00947A2E">
      <w:pPr>
        <w:rPr>
          <w:rFonts w:asciiTheme="minorHAnsi" w:hAnsiTheme="minorHAnsi"/>
          <w:szCs w:val="24"/>
          <w:lang w:val="es-ES_tradnl"/>
        </w:rPr>
      </w:pPr>
      <w:r w:rsidRPr="00947A2E">
        <w:rPr>
          <w:lang w:val="es-ES_tradnl"/>
        </w:rPr>
        <w:t>1</w:t>
      </w:r>
      <w:r w:rsidRPr="00947A2E">
        <w:rPr>
          <w:lang w:val="es-ES_tradnl"/>
        </w:rPr>
        <w:tab/>
      </w:r>
      <w:proofErr w:type="gramStart"/>
      <w:r w:rsidRPr="00947A2E">
        <w:rPr>
          <w:lang w:val="es-ES_tradnl"/>
        </w:rPr>
        <w:t>Las</w:t>
      </w:r>
      <w:proofErr w:type="gramEnd"/>
      <w:r w:rsidRPr="00947A2E">
        <w:rPr>
          <w:lang w:val="es-ES_tradnl"/>
        </w:rPr>
        <w:t xml:space="preserve"> disposiciones de los números </w:t>
      </w:r>
      <w:r w:rsidRPr="00947A2E">
        <w:rPr>
          <w:rStyle w:val="Artref"/>
          <w:b/>
          <w:color w:val="000000"/>
          <w:lang w:val="es-ES_tradnl"/>
        </w:rPr>
        <w:t>5.416</w:t>
      </w:r>
      <w:r w:rsidRPr="00947A2E">
        <w:rPr>
          <w:lang w:val="es-ES_tradnl"/>
        </w:rPr>
        <w:t xml:space="preserve">, </w:t>
      </w:r>
      <w:r w:rsidRPr="00947A2E">
        <w:rPr>
          <w:rStyle w:val="Artref"/>
          <w:b/>
          <w:color w:val="000000"/>
          <w:lang w:val="es-ES_tradnl"/>
        </w:rPr>
        <w:t>5.418</w:t>
      </w:r>
      <w:r w:rsidRPr="00947A2E">
        <w:rPr>
          <w:lang w:val="es-ES_tradnl"/>
        </w:rPr>
        <w:t xml:space="preserve">,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w:t>
      </w:r>
      <w:r w:rsidRPr="00947A2E">
        <w:rPr>
          <w:rFonts w:asciiTheme="majorBidi" w:hAnsiTheme="majorBidi" w:cstheme="majorBidi"/>
          <w:lang w:val="es-ES_tradnl"/>
        </w:rPr>
        <w:t>proporcionan</w:t>
      </w:r>
      <w:r w:rsidRPr="00947A2E">
        <w:rPr>
          <w:lang w:val="es-ES_tradnl"/>
        </w:rPr>
        <w:t xml:space="preserve"> información sobre las distintas limitaciones y proce</w:t>
      </w:r>
      <w:r w:rsidRPr="00947A2E">
        <w:rPr>
          <w:lang w:val="es-ES_tradnl"/>
        </w:rPr>
        <w:softHyphen/>
        <w:t>dimientos que se aplican al servicio de radiodifusión por satélite (SRS) y al servicio fijo por satélite (SFS) en la gama de frecuencias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r w:rsidRPr="00947A2E">
        <w:rPr>
          <w:rFonts w:asciiTheme="minorHAnsi" w:hAnsiTheme="minorHAnsi"/>
          <w:szCs w:val="24"/>
          <w:lang w:val="es-ES_tradnl"/>
        </w:rPr>
        <w:t>.</w:t>
      </w:r>
    </w:p>
    <w:p w14:paraId="173FBD29" w14:textId="32C01EEF" w:rsidR="00947A2E" w:rsidRPr="00947A2E" w:rsidRDefault="00947A2E" w:rsidP="00947A2E">
      <w:pPr>
        <w:rPr>
          <w:lang w:val="es-ES_tradnl"/>
        </w:rPr>
      </w:pPr>
      <w:r w:rsidRPr="00947A2E">
        <w:rPr>
          <w:lang w:val="es-ES_tradnl"/>
        </w:rPr>
        <w:t>2</w:t>
      </w:r>
      <w:r w:rsidRPr="00947A2E">
        <w:rPr>
          <w:lang w:val="es-ES_tradnl"/>
        </w:rPr>
        <w:tab/>
        <w:t xml:space="preserve">La Junta emprendió un examen detenido de las distintas disposiciones y del empleo de los diferentes </w:t>
      </w:r>
      <w:r w:rsidRPr="00947A2E">
        <w:rPr>
          <w:rFonts w:asciiTheme="majorBidi" w:hAnsiTheme="majorBidi" w:cstheme="majorBidi"/>
          <w:lang w:val="es-ES_tradnl"/>
        </w:rPr>
        <w:t>procedimientos</w:t>
      </w:r>
      <w:r w:rsidRPr="00947A2E">
        <w:rPr>
          <w:lang w:val="es-ES_tradnl"/>
        </w:rPr>
        <w:t xml:space="preserve"> de coordinación (red espacial a red espacial (números </w:t>
      </w:r>
      <w:r w:rsidRPr="00947A2E">
        <w:rPr>
          <w:rStyle w:val="Artref"/>
          <w:b/>
          <w:color w:val="000000"/>
          <w:lang w:val="es-ES_tradnl"/>
        </w:rPr>
        <w:t>9.7</w:t>
      </w:r>
      <w:r w:rsidRPr="00947A2E">
        <w:rPr>
          <w:lang w:val="es-ES_tradnl"/>
        </w:rPr>
        <w:t xml:space="preserve">, </w:t>
      </w:r>
      <w:r w:rsidRPr="00947A2E">
        <w:rPr>
          <w:rStyle w:val="Artref"/>
          <w:b/>
          <w:color w:val="000000"/>
          <w:lang w:val="es-ES_tradnl"/>
        </w:rPr>
        <w:t>9.12</w:t>
      </w:r>
      <w:r w:rsidRPr="00947A2E">
        <w:rPr>
          <w:lang w:val="es-ES_tradnl"/>
        </w:rPr>
        <w:t xml:space="preserve">, </w:t>
      </w:r>
      <w:r w:rsidRPr="00947A2E">
        <w:rPr>
          <w:rStyle w:val="Artref"/>
          <w:b/>
          <w:color w:val="000000"/>
          <w:lang w:val="es-ES_tradnl"/>
        </w:rPr>
        <w:t>9.12A</w:t>
      </w:r>
      <w:r w:rsidRPr="00947A2E">
        <w:rPr>
          <w:lang w:val="es-ES_tradnl"/>
        </w:rPr>
        <w:t xml:space="preserve"> y </w:t>
      </w:r>
      <w:r w:rsidRPr="00947A2E">
        <w:rPr>
          <w:rStyle w:val="Artref"/>
          <w:b/>
          <w:color w:val="000000"/>
          <w:lang w:val="es-ES_tradnl"/>
        </w:rPr>
        <w:t>9.13</w:t>
      </w:r>
      <w:r w:rsidRPr="00947A2E">
        <w:rPr>
          <w:lang w:val="es-ES_tradnl"/>
        </w:rPr>
        <w:t>)) que se aplican a los sistemas de satélites en la banda 2</w:t>
      </w:r>
      <w:r w:rsidRPr="00947A2E">
        <w:rPr>
          <w:rFonts w:ascii="Tms Rmn" w:hAnsi="Tms Rmn"/>
          <w:sz w:val="12"/>
          <w:lang w:val="es-ES_tradnl"/>
        </w:rPr>
        <w:t> </w:t>
      </w:r>
      <w:r w:rsidR="009C3A54">
        <w:rPr>
          <w:lang w:val="es-ES_tradnl"/>
        </w:rPr>
        <w:t>630</w:t>
      </w:r>
      <w:r w:rsidR="009C3A54">
        <w:rPr>
          <w:lang w:val="es-ES_tradnl"/>
        </w:rPr>
        <w:noBreakHyphen/>
      </w:r>
      <w:r w:rsidRPr="00947A2E">
        <w:rPr>
          <w:lang w:val="es-ES_tradnl"/>
        </w:rPr>
        <w:t>2</w:t>
      </w:r>
      <w:r w:rsidRPr="00947A2E">
        <w:rPr>
          <w:rFonts w:ascii="Tms Rmn" w:hAnsi="Tms Rmn"/>
          <w:sz w:val="12"/>
          <w:lang w:val="es-ES_tradnl"/>
        </w:rPr>
        <w:t> </w:t>
      </w:r>
      <w:r w:rsidRPr="00947A2E">
        <w:rPr>
          <w:lang w:val="es-ES_tradnl"/>
        </w:rPr>
        <w:t xml:space="preserve">655 MHz y ha observado la posible dificultad para determinar el servicio (SRS (sonora), SRS (televisión), SFS) y la naturaleza de la red de satélites (OSG o no OSG) a los que deben aplicarse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teniendo debidamente en cuenta las fechas de recepción de la información completa de coordinación o notificación del Apéndice </w:t>
      </w:r>
      <w:r w:rsidRPr="00947A2E">
        <w:rPr>
          <w:rStyle w:val="Appref"/>
          <w:b/>
          <w:bCs/>
          <w:color w:val="000000"/>
          <w:lang w:val="es-ES_tradnl"/>
        </w:rPr>
        <w:t>4</w:t>
      </w:r>
      <w:r w:rsidRPr="00947A2E">
        <w:rPr>
          <w:lang w:val="es-ES_tradnl"/>
        </w:rPr>
        <w:t>, según el caso. Evidentemente,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 el número </w:t>
      </w:r>
      <w:r w:rsidRPr="00947A2E">
        <w:rPr>
          <w:rStyle w:val="Artref"/>
          <w:b/>
          <w:color w:val="000000"/>
          <w:lang w:val="es-ES_tradnl"/>
        </w:rPr>
        <w:t>5.418A</w:t>
      </w:r>
      <w:r w:rsidRPr="00947A2E">
        <w:rPr>
          <w:lang w:val="es-ES_tradnl"/>
        </w:rPr>
        <w:t xml:space="preserve"> se refiere a la aplicación de las disposiciones del número </w:t>
      </w:r>
      <w:r w:rsidRPr="00947A2E">
        <w:rPr>
          <w:rStyle w:val="Artref"/>
          <w:b/>
          <w:color w:val="000000"/>
          <w:lang w:val="es-ES_tradnl"/>
        </w:rPr>
        <w:t>9.12A</w:t>
      </w:r>
      <w:r w:rsidRPr="00947A2E">
        <w:rPr>
          <w:lang w:val="es-ES_tradnl"/>
        </w:rPr>
        <w:t xml:space="preserve"> para sistemas no OSG del SRS (sonora) en ciertos países indicados en el número </w:t>
      </w:r>
      <w:r w:rsidRPr="00947A2E">
        <w:rPr>
          <w:rStyle w:val="Artref"/>
          <w:b/>
          <w:color w:val="000000"/>
          <w:lang w:val="es-ES_tradnl"/>
        </w:rPr>
        <w:t>5.418</w:t>
      </w:r>
      <w:r w:rsidRPr="00947A2E">
        <w:rPr>
          <w:lang w:val="es-ES_tradnl"/>
        </w:rPr>
        <w:t xml:space="preserve"> con respecto a sistemas OSG, sin otros detalles sobre los servicios en cuestión; el número </w:t>
      </w:r>
      <w:r w:rsidRPr="00947A2E">
        <w:rPr>
          <w:rStyle w:val="Artref"/>
          <w:b/>
          <w:color w:val="000000"/>
          <w:lang w:val="es-ES_tradnl"/>
        </w:rPr>
        <w:t>5.418B</w:t>
      </w:r>
      <w:r w:rsidRPr="00947A2E">
        <w:rPr>
          <w:lang w:val="es-ES_tradnl"/>
        </w:rPr>
        <w:t xml:space="preserve"> se refiere a la aplicación de las disposiciones del número </w:t>
      </w:r>
      <w:r w:rsidRPr="00947A2E">
        <w:rPr>
          <w:rStyle w:val="Artref"/>
          <w:b/>
          <w:color w:val="000000"/>
          <w:lang w:val="es-ES_tradnl"/>
        </w:rPr>
        <w:t>9.12</w:t>
      </w:r>
      <w:r w:rsidRPr="00947A2E">
        <w:rPr>
          <w:b/>
          <w:bCs/>
          <w:lang w:val="es-ES_tradnl"/>
        </w:rPr>
        <w:t xml:space="preserve"> </w:t>
      </w:r>
      <w:r w:rsidRPr="00947A2E">
        <w:rPr>
          <w:lang w:val="es-ES_tradnl"/>
        </w:rPr>
        <w:t>para sistemas no OSG del SRS indicados en el número</w:t>
      </w:r>
      <w:r w:rsidR="00A14EF9">
        <w:rPr>
          <w:lang w:val="es-ES_tradnl"/>
        </w:rPr>
        <w:t> </w:t>
      </w:r>
      <w:r w:rsidRPr="00947A2E">
        <w:rPr>
          <w:rStyle w:val="Artref"/>
          <w:b/>
          <w:color w:val="000000"/>
          <w:lang w:val="es-ES_tradnl"/>
        </w:rPr>
        <w:t>5.418</w:t>
      </w:r>
      <w:r w:rsidRPr="00947A2E">
        <w:rPr>
          <w:lang w:val="es-ES_tradnl"/>
        </w:rPr>
        <w:t xml:space="preserve"> con respecto a otros sistemas no OSG; y el número</w:t>
      </w:r>
      <w:r w:rsidR="00A14EF9">
        <w:rPr>
          <w:lang w:val="es-ES_tradnl"/>
        </w:rPr>
        <w:t> </w:t>
      </w:r>
      <w:r w:rsidRPr="00947A2E">
        <w:rPr>
          <w:rStyle w:val="Artref"/>
          <w:b/>
          <w:color w:val="000000"/>
          <w:lang w:val="es-ES_tradnl"/>
        </w:rPr>
        <w:t>5.418C</w:t>
      </w:r>
      <w:r w:rsidRPr="00947A2E">
        <w:rPr>
          <w:b/>
          <w:bCs/>
          <w:lang w:val="es-ES_tradnl"/>
        </w:rPr>
        <w:t xml:space="preserve"> </w:t>
      </w:r>
      <w:r w:rsidRPr="00947A2E">
        <w:rPr>
          <w:lang w:val="es-ES_tradnl"/>
        </w:rPr>
        <w:t xml:space="preserve">se refiere a la aplicación del número </w:t>
      </w:r>
      <w:r w:rsidRPr="00947A2E">
        <w:rPr>
          <w:rStyle w:val="Artref"/>
          <w:b/>
          <w:color w:val="000000"/>
          <w:lang w:val="es-ES_tradnl"/>
        </w:rPr>
        <w:t>9.13</w:t>
      </w:r>
      <w:r w:rsidRPr="00947A2E">
        <w:rPr>
          <w:lang w:val="es-ES_tradnl"/>
        </w:rPr>
        <w:t xml:space="preserve"> por redes OSG con respecto a sistemas no OSG del SRS (sonora), con atribuciones según el número </w:t>
      </w:r>
      <w:r w:rsidRPr="00947A2E">
        <w:rPr>
          <w:rStyle w:val="Artref"/>
          <w:b/>
          <w:color w:val="000000"/>
          <w:lang w:val="es-ES_tradnl"/>
        </w:rPr>
        <w:t>5.418</w:t>
      </w:r>
      <w:r w:rsidRPr="00947A2E">
        <w:rPr>
          <w:lang w:val="es-ES_tradnl"/>
        </w:rPr>
        <w:t>.</w:t>
      </w:r>
    </w:p>
    <w:p w14:paraId="03488964" w14:textId="77777777" w:rsidR="00947A2E" w:rsidRPr="00947A2E" w:rsidRDefault="00947A2E" w:rsidP="00947A2E">
      <w:pPr>
        <w:spacing w:after="120"/>
        <w:rPr>
          <w:lang w:val="es-ES_tradnl"/>
        </w:rPr>
      </w:pPr>
      <w:r w:rsidRPr="00947A2E">
        <w:rPr>
          <w:lang w:val="es-ES_tradnl"/>
        </w:rPr>
        <w:t>3</w:t>
      </w:r>
      <w:r w:rsidRPr="00947A2E">
        <w:rPr>
          <w:lang w:val="es-ES_tradnl"/>
        </w:rPr>
        <w:tab/>
        <w:t>Teniendo en cuenta lo anterior y a la luz de los debates y las decisiones de la CMR</w:t>
      </w:r>
      <w:r w:rsidRPr="00947A2E">
        <w:rPr>
          <w:lang w:val="es-ES_tradnl"/>
        </w:rPr>
        <w:noBreakHyphen/>
        <w:t xml:space="preserve">03, en particular, sobre la adición de una referencia explícita al número </w:t>
      </w:r>
      <w:r w:rsidRPr="00947A2E">
        <w:rPr>
          <w:rStyle w:val="Artref"/>
          <w:b/>
          <w:color w:val="000000"/>
          <w:lang w:val="es-ES_tradnl"/>
        </w:rPr>
        <w:t>5.418</w:t>
      </w:r>
      <w:r w:rsidRPr="00947A2E">
        <w:rPr>
          <w:lang w:val="es-ES_tradnl"/>
        </w:rPr>
        <w:t xml:space="preserve"> en los números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la Junta considera que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se refieren únicamente a los casos de coordinación</w:t>
      </w:r>
      <w:r w:rsidRPr="00947A2E">
        <w:rPr>
          <w:b/>
          <w:bCs/>
          <w:lang w:val="es-ES_tradnl"/>
        </w:rPr>
        <w:t xml:space="preserve"> </w:t>
      </w:r>
      <w:r w:rsidRPr="00947A2E">
        <w:rPr>
          <w:lang w:val="es-ES_tradnl"/>
        </w:rPr>
        <w:t>siguiente</w:t>
      </w:r>
      <w:r w:rsidR="009C3A54">
        <w:rPr>
          <w:lang w:val="es-ES_tradnl"/>
        </w:rPr>
        <w:t>s: sistemas del SRS (sonora) no </w:t>
      </w:r>
      <w:r w:rsidRPr="00947A2E">
        <w:rPr>
          <w:lang w:val="es-ES_tradnl"/>
        </w:rPr>
        <w:t xml:space="preserve">OSG (número </w:t>
      </w:r>
      <w:r w:rsidRPr="00947A2E">
        <w:rPr>
          <w:rStyle w:val="Artref"/>
          <w:b/>
          <w:color w:val="000000"/>
          <w:lang w:val="es-ES_tradnl"/>
        </w:rPr>
        <w:t>5.418</w:t>
      </w:r>
      <w:r w:rsidRPr="00947A2E">
        <w:rPr>
          <w:lang w:val="es-ES_tradnl"/>
        </w:rPr>
        <w:t xml:space="preserve">) de cara a cualquier sistema OSG según el número </w:t>
      </w:r>
      <w:r w:rsidRPr="00947A2E">
        <w:rPr>
          <w:rStyle w:val="Artref"/>
          <w:b/>
          <w:color w:val="000000"/>
          <w:lang w:val="es-ES_tradnl"/>
        </w:rPr>
        <w:t>9.12A</w:t>
      </w:r>
      <w:r w:rsidRPr="00947A2E">
        <w:rPr>
          <w:lang w:val="es-ES_tradnl"/>
        </w:rPr>
        <w:t xml:space="preserve"> y de cara a cualquier sistema no OSG según el número </w:t>
      </w:r>
      <w:r w:rsidRPr="00947A2E">
        <w:rPr>
          <w:rStyle w:val="Artref"/>
          <w:b/>
          <w:color w:val="000000"/>
          <w:lang w:val="es-ES_tradnl"/>
        </w:rPr>
        <w:t>9.12</w:t>
      </w:r>
      <w:r w:rsidRPr="00947A2E">
        <w:rPr>
          <w:lang w:val="es-ES_tradnl"/>
        </w:rPr>
        <w:t xml:space="preserve"> y viceversa, es decir, todo sistema OSG de cara a sistemas del SRS (sonora) no OSG (número </w:t>
      </w:r>
      <w:r w:rsidRPr="00947A2E">
        <w:rPr>
          <w:rStyle w:val="Artref"/>
          <w:b/>
          <w:color w:val="000000"/>
          <w:lang w:val="es-ES_tradnl"/>
        </w:rPr>
        <w:t>5.418</w:t>
      </w:r>
      <w:r w:rsidRPr="00947A2E">
        <w:rPr>
          <w:lang w:val="es-ES_tradnl"/>
        </w:rPr>
        <w:t xml:space="preserve">) según el número </w:t>
      </w:r>
      <w:r w:rsidRPr="00947A2E">
        <w:rPr>
          <w:rStyle w:val="Artref"/>
          <w:b/>
          <w:color w:val="000000"/>
          <w:lang w:val="es-ES_tradnl"/>
        </w:rPr>
        <w:t>9.13</w:t>
      </w:r>
      <w:r w:rsidRPr="00947A2E">
        <w:rPr>
          <w:lang w:val="es-ES_tradnl"/>
        </w:rPr>
        <w:t xml:space="preserve">, y todo sistema OSG de cara a sistemas del SRS (sonora) no OSG (número </w:t>
      </w:r>
      <w:r w:rsidRPr="00947A2E">
        <w:rPr>
          <w:rStyle w:val="Artref"/>
          <w:b/>
          <w:color w:val="000000"/>
          <w:lang w:val="es-ES_tradnl"/>
        </w:rPr>
        <w:t>5.418</w:t>
      </w:r>
      <w:r w:rsidRPr="00947A2E">
        <w:rPr>
          <w:lang w:val="es-ES_tradnl"/>
        </w:rPr>
        <w:t>) según el número</w:t>
      </w:r>
      <w:r>
        <w:rPr>
          <w:lang w:val="es-ES_tradnl"/>
        </w:rPr>
        <w:t> </w:t>
      </w:r>
      <w:r w:rsidRPr="00947A2E">
        <w:rPr>
          <w:rStyle w:val="Artref"/>
          <w:b/>
          <w:color w:val="000000"/>
          <w:lang w:val="es-ES_tradnl"/>
        </w:rPr>
        <w:t>9.12</w:t>
      </w:r>
      <w:r w:rsidRPr="00947A2E">
        <w:rPr>
          <w:lang w:val="es-ES_tradnl"/>
        </w:rPr>
        <w:t>, como se describe en el Cuadro que aparece a continuación y que se aplica a los requisitos de coordinación entre sistemas de satélites OSG y no OSG para los cuales la información de publicación anticipada se recibió después del 1 de enero de 1999 y la información completa de coordinación/ notificación se recibió después del 2 de junio de 2000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p>
    <w:p w14:paraId="10CB7D59" w14:textId="77777777" w:rsidR="00947A2E" w:rsidRPr="00947A2E" w:rsidRDefault="00947A2E" w:rsidP="00947A2E">
      <w:pPr>
        <w:spacing w:before="0"/>
        <w:rPr>
          <w:sz w:val="2"/>
          <w:szCs w:val="2"/>
          <w:lang w:val="es-ES_tradnl"/>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56"/>
        <w:gridCol w:w="1834"/>
        <w:gridCol w:w="1845"/>
        <w:gridCol w:w="1900"/>
      </w:tblGrid>
      <w:tr w:rsidR="00947A2E" w:rsidRPr="001B3E77" w14:paraId="3790704B" w14:textId="77777777" w:rsidTr="00032FAE">
        <w:trPr>
          <w:jc w:val="center"/>
        </w:trPr>
        <w:tc>
          <w:tcPr>
            <w:tcW w:w="3056" w:type="dxa"/>
            <w:tcBorders>
              <w:bottom w:val="single" w:sz="4" w:space="0" w:color="auto"/>
            </w:tcBorders>
          </w:tcPr>
          <w:p w14:paraId="699485C4"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Petición de coordinación (PC): Columna con respecto a fila (</w:t>
            </w:r>
            <w:r w:rsidRPr="005F553C">
              <w:rPr>
                <w:color w:val="000000"/>
              </w:rPr>
              <w:sym w:font="Wingdings" w:char="F0E5"/>
            </w:r>
            <w:r w:rsidRPr="00947A2E">
              <w:rPr>
                <w:color w:val="000000"/>
                <w:lang w:val="es-ES_tradnl"/>
              </w:rPr>
              <w:t>)</w:t>
            </w:r>
            <w:r w:rsidRPr="00947A2E">
              <w:rPr>
                <w:color w:val="000000"/>
                <w:lang w:val="es-ES_tradnl"/>
              </w:rPr>
              <w:br/>
              <w:t>(2</w:t>
            </w:r>
            <w:r w:rsidRPr="00947A2E">
              <w:rPr>
                <w:rFonts w:ascii="Tms Rmn" w:hAnsi="Tms Rmn"/>
                <w:color w:val="000000"/>
                <w:sz w:val="12"/>
                <w:lang w:val="es-ES_tradnl"/>
              </w:rPr>
              <w:t> </w:t>
            </w:r>
            <w:r w:rsidRPr="00947A2E">
              <w:rPr>
                <w:color w:val="000000"/>
                <w:lang w:val="es-ES_tradnl"/>
              </w:rPr>
              <w:t>630-2</w:t>
            </w:r>
            <w:r w:rsidRPr="00947A2E">
              <w:rPr>
                <w:rFonts w:ascii="Tms Rmn" w:hAnsi="Tms Rmn"/>
                <w:color w:val="000000"/>
                <w:sz w:val="12"/>
                <w:lang w:val="es-ES_tradnl"/>
              </w:rPr>
              <w:t> </w:t>
            </w:r>
            <w:r w:rsidRPr="00947A2E">
              <w:rPr>
                <w:color w:val="000000"/>
                <w:lang w:val="es-ES_tradnl"/>
              </w:rPr>
              <w:t>655 MHz)</w:t>
            </w:r>
          </w:p>
        </w:tc>
        <w:tc>
          <w:tcPr>
            <w:tcW w:w="1834" w:type="dxa"/>
            <w:tcBorders>
              <w:bottom w:val="single" w:sz="4" w:space="0" w:color="auto"/>
            </w:tcBorders>
          </w:tcPr>
          <w:p w14:paraId="01DC9729"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rPr>
              <w:br/>
              <w:t>(</w:t>
            </w:r>
            <w:r w:rsidRPr="00887CFD">
              <w:rPr>
                <w:rStyle w:val="Artref"/>
                <w:b/>
                <w:color w:val="000000"/>
              </w:rPr>
              <w:t>5.418</w:t>
            </w:r>
            <w:r w:rsidRPr="005F553C">
              <w:rPr>
                <w:color w:val="000000"/>
              </w:rPr>
              <w:t>)</w:t>
            </w:r>
          </w:p>
        </w:tc>
        <w:tc>
          <w:tcPr>
            <w:tcW w:w="1845" w:type="dxa"/>
            <w:tcBorders>
              <w:bottom w:val="single" w:sz="4" w:space="0" w:color="auto"/>
            </w:tcBorders>
          </w:tcPr>
          <w:p w14:paraId="069FA30A"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w:t>
            </w:r>
            <w:r w:rsidR="00BA320D">
              <w:rPr>
                <w:color w:val="000000"/>
                <w:lang w:val="es-ES_tradnl"/>
              </w:rPr>
              <w:t xml:space="preserve"> </w:t>
            </w:r>
            <w:r w:rsidRPr="00947A2E">
              <w:rPr>
                <w:rStyle w:val="Artref"/>
                <w:b/>
                <w:color w:val="000000"/>
                <w:lang w:val="es-ES_tradnl"/>
              </w:rPr>
              <w:t>5.418</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900" w:type="dxa"/>
            <w:tcBorders>
              <w:bottom w:val="single" w:sz="4" w:space="0" w:color="auto"/>
            </w:tcBorders>
          </w:tcPr>
          <w:p w14:paraId="353E7161"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 xml:space="preserve">) o </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r>
      <w:tr w:rsidR="00947A2E" w:rsidRPr="005F553C" w14:paraId="714E5AB1" w14:textId="77777777" w:rsidTr="00032FAE">
        <w:trPr>
          <w:jc w:val="center"/>
        </w:trPr>
        <w:tc>
          <w:tcPr>
            <w:tcW w:w="3056" w:type="dxa"/>
            <w:tcBorders>
              <w:top w:val="single" w:sz="4" w:space="0" w:color="auto"/>
              <w:bottom w:val="dotted" w:sz="4" w:space="0" w:color="auto"/>
            </w:tcBorders>
          </w:tcPr>
          <w:p w14:paraId="3B30C493"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 xml:space="preserve">SRS no OSG (sonora) </w:t>
            </w:r>
            <w:r w:rsidRPr="005F553C">
              <w:rPr>
                <w:color w:val="000000"/>
                <w:sz w:val="18"/>
              </w:rPr>
              <w:sym w:font="Symbol" w:char="F0AF"/>
            </w:r>
            <w:r w:rsidRPr="005F553C">
              <w:rPr>
                <w:color w:val="000000"/>
                <w:sz w:val="18"/>
              </w:rPr>
              <w:br/>
            </w:r>
            <w:r w:rsidRPr="005F553C">
              <w:rPr>
                <w:color w:val="000000"/>
              </w:rPr>
              <w:t>(</w:t>
            </w:r>
            <w:r w:rsidRPr="00887CFD">
              <w:rPr>
                <w:rStyle w:val="Artref"/>
                <w:b/>
                <w:color w:val="000000"/>
              </w:rPr>
              <w:t>5.418</w:t>
            </w:r>
            <w:r w:rsidRPr="005F553C">
              <w:rPr>
                <w:color w:val="000000"/>
              </w:rPr>
              <w:t>)</w:t>
            </w:r>
          </w:p>
        </w:tc>
        <w:tc>
          <w:tcPr>
            <w:tcW w:w="1834" w:type="dxa"/>
            <w:tcBorders>
              <w:top w:val="single" w:sz="4" w:space="0" w:color="auto"/>
              <w:bottom w:val="dotted" w:sz="4" w:space="0" w:color="auto"/>
            </w:tcBorders>
          </w:tcPr>
          <w:p w14:paraId="58F21CF5"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top w:val="single" w:sz="4" w:space="0" w:color="auto"/>
              <w:bottom w:val="dotted" w:sz="4" w:space="0" w:color="auto"/>
            </w:tcBorders>
          </w:tcPr>
          <w:p w14:paraId="5B4DCFE0"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9.13</w:t>
            </w:r>
            <w:r w:rsidRPr="005F553C">
              <w:rPr>
                <w:color w:val="000000"/>
              </w:rPr>
              <w:br/>
              <w:t>(</w:t>
            </w:r>
            <w:r w:rsidRPr="00887CFD">
              <w:rPr>
                <w:rStyle w:val="Artref"/>
                <w:b/>
                <w:color w:val="000000"/>
              </w:rPr>
              <w:t>5.418C</w:t>
            </w:r>
            <w:r w:rsidRPr="005F553C">
              <w:rPr>
                <w:color w:val="000000"/>
              </w:rPr>
              <w:t>)</w:t>
            </w:r>
          </w:p>
        </w:tc>
        <w:tc>
          <w:tcPr>
            <w:tcW w:w="1900" w:type="dxa"/>
            <w:tcBorders>
              <w:top w:val="single" w:sz="4" w:space="0" w:color="auto"/>
              <w:bottom w:val="dotted" w:sz="4" w:space="0" w:color="auto"/>
            </w:tcBorders>
          </w:tcPr>
          <w:p w14:paraId="532C9B4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r>
      <w:tr w:rsidR="00947A2E" w:rsidRPr="005F553C" w14:paraId="58BD8600" w14:textId="77777777" w:rsidTr="00032FAE">
        <w:trPr>
          <w:jc w:val="center"/>
        </w:trPr>
        <w:tc>
          <w:tcPr>
            <w:tcW w:w="3056" w:type="dxa"/>
            <w:tcBorders>
              <w:bottom w:val="single" w:sz="4" w:space="0" w:color="auto"/>
            </w:tcBorders>
          </w:tcPr>
          <w:p w14:paraId="65FA3F52" w14:textId="77777777" w:rsidR="00947A2E" w:rsidRPr="00947A2E" w:rsidRDefault="00947A2E" w:rsidP="001816F1">
            <w:pPr>
              <w:pStyle w:val="Tabletext0"/>
              <w:framePr w:hSpace="181" w:wrap="notBeside" w:vAnchor="text" w:hAnchor="text" w:xAlign="center" w:y="1"/>
              <w:spacing w:before="30" w:after="30"/>
              <w:jc w:val="center"/>
              <w:rPr>
                <w:color w:val="000000"/>
                <w:lang w:val="es-ES_tradnl"/>
              </w:rPr>
            </w:pPr>
            <w:r w:rsidRPr="00947A2E">
              <w:rPr>
                <w:color w:val="000000"/>
                <w:lang w:val="es-ES_tradnl"/>
              </w:rPr>
              <w:t>SRS OSG</w:t>
            </w:r>
            <w:r w:rsidR="001816F1">
              <w:rPr>
                <w:color w:val="000000"/>
                <w:lang w:val="es-ES_tradnl"/>
              </w:rPr>
              <w:t xml:space="preserve"> </w:t>
            </w:r>
            <w:r w:rsidR="001816F1" w:rsidRPr="001816F1">
              <w:rPr>
                <w:color w:val="000000"/>
                <w:lang w:val="es-ES_tradnl"/>
              </w:rPr>
              <w:t>(sonora)</w:t>
            </w:r>
            <w:r w:rsidRPr="00947A2E">
              <w:rPr>
                <w:color w:val="000000"/>
                <w:lang w:val="es-ES_tradnl"/>
              </w:rPr>
              <w:t xml:space="preserve">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xml:space="preserve">, </w:t>
            </w:r>
            <w:r w:rsidRPr="00947A2E">
              <w:rPr>
                <w:rStyle w:val="Artref"/>
                <w:b/>
                <w:color w:val="000000"/>
                <w:lang w:val="es-ES_tradnl"/>
              </w:rPr>
              <w:t>5.418</w:t>
            </w:r>
            <w:r w:rsidRPr="00947A2E">
              <w:rPr>
                <w:color w:val="000000"/>
                <w:lang w:val="es-ES_tradnl"/>
              </w:rPr>
              <w:t>) o</w:t>
            </w:r>
            <w:r w:rsidR="001816F1">
              <w:rPr>
                <w:color w:val="000000"/>
                <w:lang w:val="es-ES_tradnl"/>
              </w:rPr>
              <w:t xml:space="preserve"> </w:t>
            </w:r>
            <w:r w:rsidRPr="00947A2E">
              <w:rPr>
                <w:color w:val="000000"/>
                <w:lang w:val="es-ES_tradnl"/>
              </w:rP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4C5C12E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9.12A</w:t>
            </w:r>
            <w:r w:rsidRPr="005F553C">
              <w:rPr>
                <w:color w:val="000000"/>
              </w:rPr>
              <w:br/>
              <w:t>(</w:t>
            </w:r>
            <w:r w:rsidRPr="00887CFD">
              <w:rPr>
                <w:rStyle w:val="Artref"/>
                <w:b/>
                <w:color w:val="000000"/>
              </w:rPr>
              <w:t>5.418A</w:t>
            </w:r>
            <w:r w:rsidRPr="005F553C">
              <w:rPr>
                <w:color w:val="000000"/>
              </w:rPr>
              <w:t>)</w:t>
            </w:r>
          </w:p>
        </w:tc>
        <w:tc>
          <w:tcPr>
            <w:tcW w:w="1845" w:type="dxa"/>
            <w:tcBorders>
              <w:bottom w:val="single" w:sz="4" w:space="0" w:color="auto"/>
            </w:tcBorders>
          </w:tcPr>
          <w:p w14:paraId="034E8AF4" w14:textId="77777777" w:rsidR="00947A2E" w:rsidRPr="00887CFD" w:rsidRDefault="00947A2E" w:rsidP="00032FAE">
            <w:pPr>
              <w:pStyle w:val="Tabletext0"/>
              <w:framePr w:hSpace="181" w:wrap="notBeside" w:vAnchor="text" w:hAnchor="text" w:xAlign="center" w:y="1"/>
              <w:spacing w:before="30" w:after="30"/>
              <w:jc w:val="center"/>
              <w:rPr>
                <w:rStyle w:val="Artref"/>
                <w:b/>
                <w:color w:val="000000"/>
              </w:rPr>
            </w:pPr>
            <w:r w:rsidRPr="00887CFD">
              <w:rPr>
                <w:rStyle w:val="Artref"/>
                <w:b/>
                <w:color w:val="000000"/>
              </w:rPr>
              <w:t>9.7</w:t>
            </w:r>
          </w:p>
        </w:tc>
        <w:tc>
          <w:tcPr>
            <w:tcW w:w="1900" w:type="dxa"/>
            <w:tcBorders>
              <w:bottom w:val="single" w:sz="4" w:space="0" w:color="auto"/>
            </w:tcBorders>
          </w:tcPr>
          <w:p w14:paraId="7735745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r>
      <w:tr w:rsidR="00947A2E" w:rsidRPr="005F553C" w14:paraId="5811CFD3" w14:textId="77777777" w:rsidTr="00032FAE">
        <w:trPr>
          <w:jc w:val="center"/>
        </w:trPr>
        <w:tc>
          <w:tcPr>
            <w:tcW w:w="3056" w:type="dxa"/>
            <w:tcBorders>
              <w:bottom w:val="single" w:sz="4" w:space="0" w:color="auto"/>
            </w:tcBorders>
          </w:tcPr>
          <w:p w14:paraId="79CA8EBB" w14:textId="77777777" w:rsidR="00947A2E" w:rsidRPr="00947A2E" w:rsidRDefault="00947A2E" w:rsidP="00625743">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6AD288E1"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bottom w:val="single" w:sz="4" w:space="0" w:color="auto"/>
            </w:tcBorders>
          </w:tcPr>
          <w:p w14:paraId="29D9FDC6"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c>
          <w:tcPr>
            <w:tcW w:w="1900" w:type="dxa"/>
            <w:tcBorders>
              <w:bottom w:val="single" w:sz="4" w:space="0" w:color="auto"/>
            </w:tcBorders>
          </w:tcPr>
          <w:p w14:paraId="2AE96D46" w14:textId="77777777" w:rsidR="00947A2E" w:rsidRPr="005F553C" w:rsidRDefault="00947A2E" w:rsidP="00032FAE">
            <w:pPr>
              <w:pStyle w:val="Tabletext0"/>
              <w:jc w:val="center"/>
            </w:pPr>
            <w:r w:rsidRPr="005F553C">
              <w:t>Sin PC</w:t>
            </w:r>
          </w:p>
        </w:tc>
      </w:tr>
    </w:tbl>
    <w:p w14:paraId="0B64F61F" w14:textId="77777777" w:rsidR="00995031" w:rsidRDefault="00995031" w:rsidP="00995031">
      <w:pPr>
        <w:rPr>
          <w:lang w:val="es-ES_tradnl"/>
        </w:rPr>
      </w:pPr>
      <w:r>
        <w:rPr>
          <w:lang w:val="es-ES_tradnl"/>
        </w:rPr>
        <w:br w:type="page"/>
      </w:r>
    </w:p>
    <w:p w14:paraId="51AF0964" w14:textId="77777777" w:rsidR="000A21A1" w:rsidRPr="00CC4FCD" w:rsidRDefault="000A21A1">
      <w:pPr>
        <w:pStyle w:val="Heading8"/>
        <w:rPr>
          <w:color w:val="000000"/>
          <w:lang w:val="es-ES_tradnl"/>
        </w:rPr>
      </w:pPr>
      <w:r w:rsidRPr="00CC4FCD">
        <w:rPr>
          <w:color w:val="000000"/>
          <w:lang w:val="es-ES_tradnl"/>
        </w:rPr>
        <w:lastRenderedPageBreak/>
        <w:t>5.441</w:t>
      </w:r>
    </w:p>
    <w:p w14:paraId="43082D26" w14:textId="77777777" w:rsidR="000A21A1" w:rsidRPr="00CC4FCD" w:rsidRDefault="000A21A1">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El</w:t>
      </w:r>
      <w:proofErr w:type="gramEnd"/>
      <w:r w:rsidRPr="00CC4FCD">
        <w:rPr>
          <w:color w:val="000000"/>
          <w:lang w:val="es-ES_tradnl"/>
        </w:rPr>
        <w:t xml:space="preserve"> Artículo </w:t>
      </w:r>
      <w:r w:rsidRPr="00CC4FCD">
        <w:rPr>
          <w:rStyle w:val="Artref"/>
          <w:b/>
          <w:bCs/>
          <w:color w:val="000000"/>
          <w:lang w:val="es-ES_tradnl"/>
        </w:rPr>
        <w:t>5</w:t>
      </w:r>
      <w:r w:rsidRPr="00CC4FCD">
        <w:rPr>
          <w:color w:val="000000"/>
          <w:lang w:val="es-ES_tradnl"/>
        </w:rPr>
        <w:t xml:space="preserve"> define, en la banda 10,7-11,7 GHz, una atribución bidireccional al servicio fijo por satélite (SFS) de la Región 1. Además, tres disposiciones (números </w:t>
      </w:r>
      <w:r w:rsidRPr="00CC4FCD">
        <w:rPr>
          <w:rStyle w:val="Artref"/>
          <w:b/>
          <w:bCs/>
          <w:color w:val="000000"/>
          <w:lang w:val="es-ES_tradnl"/>
        </w:rPr>
        <w:t>5.441</w:t>
      </w:r>
      <w:r w:rsidRPr="00CC4FCD">
        <w:rPr>
          <w:color w:val="000000"/>
          <w:lang w:val="es-ES_tradnl"/>
        </w:rPr>
        <w:t xml:space="preserve">, </w:t>
      </w:r>
      <w:r w:rsidRPr="00CC4FCD">
        <w:rPr>
          <w:rStyle w:val="Artref"/>
          <w:b/>
          <w:bCs/>
          <w:color w:val="000000"/>
          <w:lang w:val="es-ES_tradnl"/>
        </w:rPr>
        <w:t>5.484</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rigen la utilización de las bandas. Las disposiciones del número </w:t>
      </w:r>
      <w:r w:rsidRPr="00CC4FCD">
        <w:rPr>
          <w:rStyle w:val="Artref"/>
          <w:b/>
          <w:bCs/>
          <w:color w:val="000000"/>
          <w:lang w:val="es-ES_tradnl"/>
        </w:rPr>
        <w:t>5.484</w:t>
      </w:r>
      <w:r w:rsidRPr="00CC4FCD">
        <w:rPr>
          <w:color w:val="000000"/>
          <w:lang w:val="es-ES_tradnl"/>
        </w:rPr>
        <w:t xml:space="preserve"> se aplican a la atribución al enlace ascendente (Tierra-espacio) para los enlaces de conexión del SRS.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(que abarcan partes de la banda 10,7-11,7 GHz) se aplican al enlace descendente. Estas consideraciones condujeron a observar los siguientes problemas:</w:t>
      </w:r>
    </w:p>
    <w:p w14:paraId="2BB8F342" w14:textId="0CF16195" w:rsidR="000A21A1" w:rsidRPr="00CC4FCD" w:rsidRDefault="000A21A1" w:rsidP="009E216C">
      <w:pPr>
        <w:pStyle w:val="enumlev1"/>
        <w:ind w:left="0" w:firstLine="0"/>
        <w:rPr>
          <w:color w:val="000000"/>
          <w:lang w:val="es-ES_tradnl"/>
        </w:rPr>
      </w:pPr>
      <w:r w:rsidRPr="00CC4FCD">
        <w:rPr>
          <w:color w:val="000000"/>
          <w:lang w:val="es-ES_tradnl"/>
        </w:rPr>
        <w:t>1.1</w:t>
      </w:r>
      <w:r w:rsidRPr="00CC4FCD">
        <w:rPr>
          <w:color w:val="000000"/>
          <w:lang w:val="es-ES_tradnl"/>
        </w:rPr>
        <w:tab/>
        <w:t>El Cuadro de atribución de bandas de frecuencias define una atribución bidi</w:t>
      </w:r>
      <w:r w:rsidR="00E237E2" w:rsidRPr="00CC4FCD">
        <w:rPr>
          <w:color w:val="000000"/>
          <w:lang w:val="es-ES_tradnl"/>
        </w:rPr>
        <w:softHyphen/>
      </w:r>
      <w:r w:rsidRPr="00CC4FCD">
        <w:rPr>
          <w:color w:val="000000"/>
          <w:lang w:val="es-ES_tradnl"/>
        </w:rPr>
        <w:t>reccional de toda la banda 10,7-11,7</w:t>
      </w:r>
      <w:r w:rsidR="00A14EF9">
        <w:rPr>
          <w:color w:val="000000"/>
          <w:lang w:val="es-ES_tradnl"/>
        </w:rPr>
        <w:t> </w:t>
      </w:r>
      <w:r w:rsidRPr="00CC4FCD">
        <w:rPr>
          <w:color w:val="000000"/>
          <w:lang w:val="es-ES_tradnl"/>
        </w:rPr>
        <w:t xml:space="preserve">GHz al SFS en la Región 1. El número </w:t>
      </w:r>
      <w:r w:rsidRPr="00CC4FCD">
        <w:rPr>
          <w:rStyle w:val="Artref"/>
          <w:b/>
          <w:bCs/>
          <w:color w:val="000000"/>
          <w:lang w:val="es-ES_tradnl"/>
        </w:rPr>
        <w:t>5.484</w:t>
      </w:r>
      <w:r w:rsidRPr="00CC4FCD">
        <w:rPr>
          <w:color w:val="000000"/>
          <w:lang w:val="es-ES_tradnl"/>
        </w:rPr>
        <w:t xml:space="preserve"> define la atribución del enlace ascendente en la Región 1 mientras que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regulan la utilización del enlace descendente por los sistemas OSG y no OSG del SFS. Las sub-bandas 10,7-10,95 GHz y 11,2-11,45 GHz para el sentido espacio-Tierra, están cubiertas por las disposiciones del Apéndice </w:t>
      </w:r>
      <w:r w:rsidRPr="00CC4FCD">
        <w:rPr>
          <w:rStyle w:val="Appref"/>
          <w:b/>
          <w:bCs/>
          <w:color w:val="000000"/>
          <w:lang w:val="es-ES_tradnl"/>
        </w:rPr>
        <w:t>30B</w:t>
      </w:r>
      <w:r w:rsidRPr="00CC4FCD">
        <w:rPr>
          <w:color w:val="000000"/>
          <w:lang w:val="es-ES_tradnl"/>
        </w:rPr>
        <w:t xml:space="preserve"> para las aplicaciones OSG. Las atribuciones a los enlaces ascendente y descendente para la utilización OSG, tienen la misma categoría. Las utilizaciones no OSG guardan las limitaciones de densidad de flujo de potencia equivalente, definidas en el Artículo</w:t>
      </w:r>
      <w:r w:rsidR="00A14EF9">
        <w:rPr>
          <w:color w:val="000000"/>
          <w:lang w:val="es-ES_tradnl"/>
        </w:rPr>
        <w:t> </w:t>
      </w:r>
      <w:r w:rsidRPr="00CC4FCD">
        <w:rPr>
          <w:rStyle w:val="Artref"/>
          <w:b/>
          <w:bCs/>
          <w:color w:val="000000"/>
          <w:lang w:val="es-ES_tradnl"/>
        </w:rPr>
        <w:t>22</w:t>
      </w:r>
      <w:r w:rsidRPr="00CC4FCD">
        <w:rPr>
          <w:rStyle w:val="Artref"/>
          <w:b/>
          <w:color w:val="000000"/>
          <w:lang w:val="es-ES_tradnl"/>
        </w:rPr>
        <w:t xml:space="preserve">; </w:t>
      </w:r>
      <w:r w:rsidRPr="00CC4FCD">
        <w:rPr>
          <w:color w:val="000000"/>
          <w:lang w:val="es-ES_tradnl"/>
        </w:rPr>
        <w:t>y están sujetas a ciertas condiciones según se indica en el número </w:t>
      </w:r>
      <w:r w:rsidRPr="00CC4FCD">
        <w:rPr>
          <w:rStyle w:val="Artref"/>
          <w:b/>
          <w:bCs/>
          <w:color w:val="000000"/>
          <w:lang w:val="es-ES_tradnl"/>
        </w:rPr>
        <w:t>5.484A</w:t>
      </w:r>
      <w:r w:rsidRPr="00CC4FCD">
        <w:rPr>
          <w:color w:val="000000"/>
          <w:lang w:val="es-ES_tradnl"/>
        </w:rPr>
        <w:t xml:space="preserve">. La aplicación de la disposición número </w:t>
      </w:r>
      <w:r w:rsidRPr="00CC4FCD">
        <w:rPr>
          <w:rStyle w:val="Artref"/>
          <w:b/>
          <w:bCs/>
          <w:color w:val="000000"/>
          <w:lang w:val="es-ES_tradnl"/>
        </w:rPr>
        <w:t>22.2</w:t>
      </w:r>
      <w:r w:rsidRPr="00CC4FCD">
        <w:rPr>
          <w:color w:val="000000"/>
          <w:lang w:val="es-ES_tradnl"/>
        </w:rPr>
        <w:t xml:space="preserve"> se especifica en la disposición número </w:t>
      </w:r>
      <w:r w:rsidRPr="00CC4FCD">
        <w:rPr>
          <w:rStyle w:val="Artref"/>
          <w:b/>
          <w:bCs/>
          <w:color w:val="000000"/>
          <w:lang w:val="es-ES_tradnl"/>
        </w:rPr>
        <w:t>22.5I</w:t>
      </w:r>
      <w:r w:rsidRPr="00CC4FCD">
        <w:rPr>
          <w:color w:val="000000"/>
          <w:lang w:val="es-ES_tradnl"/>
        </w:rPr>
        <w:t>.</w:t>
      </w:r>
    </w:p>
    <w:p w14:paraId="7158E664" w14:textId="77777777" w:rsidR="000A21A1" w:rsidRPr="00CC4FCD" w:rsidRDefault="000A21A1">
      <w:pPr>
        <w:pStyle w:val="enumlev1"/>
        <w:ind w:left="0" w:firstLine="0"/>
        <w:rPr>
          <w:color w:val="000000"/>
          <w:lang w:val="es-ES_tradnl"/>
        </w:rPr>
      </w:pPr>
      <w:r w:rsidRPr="00CC4FCD">
        <w:rPr>
          <w:color w:val="000000"/>
          <w:lang w:val="es-ES_tradnl"/>
        </w:rPr>
        <w:t>1.2</w:t>
      </w:r>
      <w:r w:rsidRPr="00CC4FCD">
        <w:rPr>
          <w:color w:val="000000"/>
          <w:lang w:val="es-ES_tradnl"/>
        </w:rPr>
        <w:tab/>
        <w:t>Los procedimientos aplicables del Reglamento de Radiocomunicaciones para el SFS son los siguientes:</w:t>
      </w:r>
    </w:p>
    <w:p w14:paraId="7A8B8C1A"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 xml:space="preserve">Tierra-espacio (número </w:t>
      </w:r>
      <w:r w:rsidRPr="00CC4FCD">
        <w:rPr>
          <w:rStyle w:val="Artref"/>
          <w:b/>
          <w:bCs/>
          <w:color w:val="000000"/>
          <w:lang w:val="es-ES_tradnl"/>
        </w:rPr>
        <w:t>5.484</w:t>
      </w:r>
      <w:r w:rsidRPr="00CC4FCD">
        <w:rPr>
          <w:color w:val="000000"/>
          <w:lang w:val="es-ES_tradnl"/>
        </w:rPr>
        <w:t xml:space="preserve">): 10,7-11,7 GHz (Región 1):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568AB25C" w14:textId="77777777"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espacio-Tierra:</w:t>
      </w:r>
    </w:p>
    <w:p w14:paraId="21E96970" w14:textId="77777777" w:rsidR="000A21A1" w:rsidRPr="00CC4FCD" w:rsidRDefault="000A21A1">
      <w:pPr>
        <w:pStyle w:val="enumlev2"/>
        <w:rPr>
          <w:color w:val="000000"/>
          <w:lang w:val="es-ES_tradnl"/>
        </w:rPr>
      </w:pPr>
      <w:r w:rsidRPr="00CC4FCD">
        <w:rPr>
          <w:color w:val="000000"/>
          <w:lang w:val="es-ES_tradnl"/>
        </w:rPr>
        <w:t>10,7-10,95 GHz y 11,2-11,45 GHz:</w:t>
      </w:r>
    </w:p>
    <w:p w14:paraId="127EA463" w14:textId="77777777"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Apéndice </w:t>
      </w:r>
      <w:r w:rsidRPr="00CC4FCD">
        <w:rPr>
          <w:rStyle w:val="Appref"/>
          <w:b/>
          <w:bCs/>
          <w:color w:val="000000"/>
          <w:lang w:val="es-ES_tradnl"/>
        </w:rPr>
        <w:t>30B</w:t>
      </w:r>
      <w:r w:rsidRPr="00CC4FCD">
        <w:rPr>
          <w:color w:val="000000"/>
          <w:lang w:val="es-ES_tradnl"/>
        </w:rPr>
        <w:t xml:space="preserve"> (y Artículo </w:t>
      </w:r>
      <w:r w:rsidRPr="00CC4FCD">
        <w:rPr>
          <w:rStyle w:val="Artref"/>
          <w:b/>
          <w:bCs/>
          <w:color w:val="000000"/>
          <w:lang w:val="es-ES_tradnl"/>
        </w:rPr>
        <w:t>11</w:t>
      </w:r>
      <w:r w:rsidRPr="00CC4FCD">
        <w:rPr>
          <w:color w:val="000000"/>
          <w:lang w:val="es-ES_tradnl"/>
        </w:rPr>
        <w:t>) (número </w:t>
      </w:r>
      <w:r w:rsidRPr="00CC4FCD">
        <w:rPr>
          <w:rStyle w:val="Artref"/>
          <w:b/>
          <w:bCs/>
          <w:color w:val="000000"/>
          <w:lang w:val="es-ES_tradnl"/>
        </w:rPr>
        <w:t>5.441</w:t>
      </w:r>
      <w:r w:rsidRPr="00CC4FCD">
        <w:rPr>
          <w:color w:val="000000"/>
          <w:lang w:val="es-ES_tradnl"/>
        </w:rPr>
        <w:t>);</w:t>
      </w:r>
    </w:p>
    <w:p w14:paraId="1F75345F" w14:textId="77777777"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6E66E225" w14:textId="77777777" w:rsidR="000A21A1" w:rsidRPr="00CC4FCD" w:rsidRDefault="000A21A1">
      <w:pPr>
        <w:pStyle w:val="enumlev2"/>
        <w:rPr>
          <w:color w:val="000000"/>
          <w:lang w:val="es-ES_tradnl"/>
        </w:rPr>
      </w:pPr>
      <w:r w:rsidRPr="00CC4FCD">
        <w:rPr>
          <w:color w:val="000000"/>
          <w:lang w:val="es-ES_tradnl"/>
        </w:rPr>
        <w:t>10,95-11,2 GHz y 11,45-11,7 GHz:</w:t>
      </w:r>
    </w:p>
    <w:p w14:paraId="7BFEAA23" w14:textId="77777777" w:rsidR="000A21A1" w:rsidRPr="00CC4FCD" w:rsidRDefault="000A21A1">
      <w:pPr>
        <w:pStyle w:val="enumlev3"/>
        <w:rPr>
          <w:rStyle w:val="Artref"/>
          <w:b/>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73D1F4ED" w14:textId="77777777" w:rsidR="000A21A1"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58AE1DCF" w14:textId="77777777" w:rsidR="006831C0" w:rsidRDefault="006831C0">
      <w:pPr>
        <w:pStyle w:val="enumlev3"/>
        <w:rPr>
          <w:color w:val="000000"/>
          <w:lang w:val="es-ES_tradnl"/>
        </w:rPr>
      </w:pPr>
    </w:p>
    <w:p w14:paraId="2ABA75D4" w14:textId="77777777" w:rsidR="006831C0" w:rsidRDefault="006831C0">
      <w:pPr>
        <w:pStyle w:val="enumlev3"/>
        <w:rPr>
          <w:color w:val="000000"/>
          <w:lang w:val="es-ES_tradnl"/>
        </w:rPr>
      </w:pPr>
    </w:p>
    <w:p w14:paraId="4E470182" w14:textId="5F32C6CC" w:rsidR="006831C0" w:rsidRDefault="006831C0">
      <w:pPr>
        <w:pStyle w:val="enumlev3"/>
        <w:rPr>
          <w:color w:val="000000"/>
          <w:lang w:val="es-ES_tradnl"/>
        </w:rPr>
      </w:pPr>
    </w:p>
    <w:p w14:paraId="3A015FA5" w14:textId="2FA3F67A" w:rsidR="00A14EF9" w:rsidRDefault="00A14EF9" w:rsidP="00A14EF9">
      <w:pPr>
        <w:rPr>
          <w:lang w:val="es-ES_tradnl"/>
        </w:rPr>
      </w:pPr>
      <w:r>
        <w:rPr>
          <w:lang w:val="es-ES_tradnl"/>
        </w:rPr>
        <w:br w:type="page"/>
      </w:r>
    </w:p>
    <w:p w14:paraId="1511BA9C" w14:textId="62D64110" w:rsidR="00284A32" w:rsidRPr="00CC4FCD" w:rsidRDefault="00284A32" w:rsidP="009E216C">
      <w:pPr>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Las</w:t>
      </w:r>
      <w:proofErr w:type="gramEnd"/>
      <w:r w:rsidRPr="00CC4FCD">
        <w:rPr>
          <w:color w:val="000000"/>
          <w:lang w:val="es-ES_tradnl"/>
        </w:rPr>
        <w:t xml:space="preserve"> relaciones reglamentarias entre utilizaciones OSG del SFS, esto es, </w:t>
      </w:r>
      <w:r w:rsidR="00D56DD5" w:rsidRPr="00CC4FCD">
        <w:rPr>
          <w:color w:val="000000"/>
          <w:lang w:val="es-ES_tradnl"/>
        </w:rPr>
        <w:t xml:space="preserve">la utilización del espectro en el </w:t>
      </w:r>
      <w:r w:rsidRPr="00CC4FCD">
        <w:rPr>
          <w:color w:val="000000"/>
          <w:lang w:val="es-ES_tradnl"/>
        </w:rPr>
        <w:t>enlace ascendente (Región</w:t>
      </w:r>
      <w:r w:rsidR="00A14EF9">
        <w:rPr>
          <w:color w:val="000000"/>
          <w:lang w:val="es-ES_tradnl"/>
        </w:rPr>
        <w:t> </w:t>
      </w:r>
      <w:r w:rsidRPr="00CC4FCD">
        <w:rPr>
          <w:color w:val="000000"/>
          <w:lang w:val="es-ES_tradnl"/>
        </w:rPr>
        <w:t xml:space="preserve">1) y </w:t>
      </w:r>
      <w:r w:rsidR="00D56DD5" w:rsidRPr="00CC4FCD">
        <w:rPr>
          <w:color w:val="000000"/>
          <w:lang w:val="es-ES_tradnl"/>
        </w:rPr>
        <w:t xml:space="preserve">el </w:t>
      </w:r>
      <w:r w:rsidRPr="00CC4FCD">
        <w:rPr>
          <w:color w:val="000000"/>
          <w:lang w:val="es-ES_tradnl"/>
        </w:rPr>
        <w:t>enlace descendente (Apéndice</w:t>
      </w:r>
      <w:r w:rsidR="00EA1686" w:rsidRPr="00CC4FCD">
        <w:rPr>
          <w:color w:val="000000"/>
          <w:lang w:val="es-ES_tradnl"/>
        </w:rPr>
        <w:t> </w:t>
      </w:r>
      <w:r w:rsidRPr="00CC4FCD">
        <w:rPr>
          <w:rStyle w:val="Appref"/>
          <w:b/>
          <w:bCs/>
          <w:color w:val="000000"/>
          <w:lang w:val="es-ES_tradnl"/>
        </w:rPr>
        <w:t>30B</w:t>
      </w:r>
      <w:r w:rsidRPr="00CC4FCD">
        <w:rPr>
          <w:color w:val="000000"/>
          <w:lang w:val="es-ES_tradnl"/>
        </w:rPr>
        <w:t>), no está cubierta por ningún procedimiento reglamentario de radiocomuni</w:t>
      </w:r>
      <w:r w:rsidR="00EA1686" w:rsidRPr="00CC4FCD">
        <w:rPr>
          <w:color w:val="000000"/>
          <w:lang w:val="es-ES_tradnl"/>
        </w:rPr>
        <w:softHyphen/>
      </w:r>
      <w:r w:rsidRPr="00CC4FCD">
        <w:rPr>
          <w:color w:val="000000"/>
          <w:lang w:val="es-ES_tradnl"/>
        </w:rPr>
        <w:t>caciones. La Junta considera esa situación como sigue. Sobre la base del principio general de</w:t>
      </w:r>
      <w:r w:rsidR="00BA320D">
        <w:rPr>
          <w:color w:val="000000"/>
          <w:lang w:val="es-ES_tradnl"/>
        </w:rPr>
        <w:t xml:space="preserve"> </w:t>
      </w:r>
      <w:r w:rsidRPr="00CC4FCD">
        <w:rPr>
          <w:color w:val="000000"/>
          <w:lang w:val="es-ES_tradnl"/>
        </w:rPr>
        <w:t>que la utilización del espectro por dos aplicaciones reconocidas internacionalmente (coordinadas y con utilización planificada) con el mismo estatuto debe ser tenida en cuenta mutuamente, aunque el caso no esté cubierto por procedimientos específicos y sobre la base de las analogías existentes (Artículo 7 del Apéndice</w:t>
      </w:r>
      <w:r w:rsidR="009F750C">
        <w:rPr>
          <w:color w:val="000000"/>
          <w:lang w:val="es-ES_tradnl"/>
        </w:rPr>
        <w:t> </w:t>
      </w:r>
      <w:r w:rsidRPr="00CC4FCD">
        <w:rPr>
          <w:rStyle w:val="Appref"/>
          <w:b/>
          <w:bCs/>
          <w:color w:val="000000"/>
          <w:lang w:val="es-ES_tradnl"/>
        </w:rPr>
        <w:t>30</w:t>
      </w:r>
      <w:r w:rsidRPr="00CC4FCD">
        <w:rPr>
          <w:color w:val="000000"/>
          <w:lang w:val="es-ES_tradnl"/>
        </w:rPr>
        <w:t>, Artículo</w:t>
      </w:r>
      <w:r w:rsidR="009F750C">
        <w:rPr>
          <w:color w:val="000000"/>
          <w:lang w:val="es-ES_tradnl"/>
        </w:rPr>
        <w:t> </w:t>
      </w:r>
      <w:r w:rsidRPr="00CC4FCD">
        <w:rPr>
          <w:color w:val="000000"/>
          <w:lang w:val="es-ES_tradnl"/>
        </w:rPr>
        <w:t>7 del Apéndice</w:t>
      </w:r>
      <w:r w:rsidR="009F750C">
        <w:rPr>
          <w:color w:val="000000"/>
          <w:lang w:val="es-ES_tradnl"/>
        </w:rPr>
        <w:t> </w:t>
      </w:r>
      <w:r w:rsidRPr="00CC4FCD">
        <w:rPr>
          <w:rStyle w:val="Appref"/>
          <w:b/>
          <w:bCs/>
          <w:color w:val="000000"/>
          <w:lang w:val="es-ES_tradnl"/>
        </w:rPr>
        <w:t>30A</w:t>
      </w:r>
      <w:r w:rsidRPr="00CC4FCD">
        <w:rPr>
          <w:rStyle w:val="Appref"/>
          <w:color w:val="000000"/>
          <w:lang w:val="es-ES_tradnl"/>
        </w:rPr>
        <w:t>)</w:t>
      </w:r>
      <w:r w:rsidRPr="00CC4FCD">
        <w:rPr>
          <w:color w:val="000000"/>
          <w:lang w:val="es-ES_tradnl"/>
        </w:rPr>
        <w:t>, la Junta considerando que:</w:t>
      </w:r>
    </w:p>
    <w:p w14:paraId="6430B91A" w14:textId="77777777" w:rsidR="00284A32" w:rsidRPr="00CC4FCD" w:rsidRDefault="00284A32" w:rsidP="00284A32">
      <w:pPr>
        <w:pStyle w:val="enumlev1"/>
        <w:rPr>
          <w:color w:val="000000"/>
          <w:lang w:val="es-ES_tradnl"/>
        </w:rPr>
      </w:pPr>
      <w:r w:rsidRPr="002F31D9">
        <w:rPr>
          <w:i/>
          <w:iCs/>
          <w:color w:val="000000"/>
          <w:lang w:val="es-ES_tradnl"/>
        </w:rPr>
        <w:t>a)</w:t>
      </w:r>
      <w:r w:rsidRPr="00CC4FCD">
        <w:rPr>
          <w:color w:val="000000"/>
          <w:lang w:val="es-ES_tradnl"/>
        </w:rPr>
        <w:tab/>
        <w:t>hasta ahora la Oficina ha recibido sólo un caso de utilización bidireccional por el OSG del SFS de las bandas 10,7-10,95 GHz y 11,2-11,45 GHz, y</w:t>
      </w:r>
    </w:p>
    <w:p w14:paraId="3C3A10C2" w14:textId="77777777" w:rsidR="00284A32" w:rsidRPr="00CC4FCD" w:rsidRDefault="00284A32" w:rsidP="00284A32">
      <w:pPr>
        <w:pStyle w:val="enumlev1"/>
        <w:rPr>
          <w:color w:val="000000"/>
          <w:lang w:val="es-ES_tradnl"/>
        </w:rPr>
      </w:pPr>
      <w:r w:rsidRPr="00CC4FCD">
        <w:rPr>
          <w:i/>
          <w:iCs/>
          <w:color w:val="000000"/>
          <w:lang w:val="es-ES_tradnl"/>
        </w:rPr>
        <w:t>b)</w:t>
      </w:r>
      <w:r w:rsidRPr="00CC4FCD">
        <w:rPr>
          <w:color w:val="000000"/>
          <w:lang w:val="es-ES_tradnl"/>
        </w:rPr>
        <w:tab/>
        <w:t>que la complejidad de la cuestión no justifica el establecimiento de una sofisticada metodología para tratar este caso, decide por lo tanto que la Oficina actúe de la siguiente forma:</w:t>
      </w:r>
    </w:p>
    <w:p w14:paraId="1AA1B50D" w14:textId="77777777" w:rsidR="00284A32" w:rsidRPr="00CC4FCD" w:rsidRDefault="00284A32" w:rsidP="00E237E2">
      <w:pPr>
        <w:pStyle w:val="enumlev1"/>
        <w:ind w:left="0" w:firstLine="0"/>
        <w:rPr>
          <w:color w:val="000000"/>
          <w:lang w:val="es-ES_tradnl"/>
        </w:rPr>
      </w:pPr>
      <w:r w:rsidRPr="00CC4FCD">
        <w:rPr>
          <w:color w:val="000000"/>
          <w:lang w:val="es-ES_tradnl"/>
        </w:rPr>
        <w:t>2.1</w:t>
      </w:r>
      <w:r w:rsidRPr="00CC4FCD">
        <w:rPr>
          <w:color w:val="000000"/>
          <w:lang w:val="es-ES_tradnl"/>
        </w:rPr>
        <w:tab/>
        <w:t>Aplicaciones del enlace ascendente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754415">
        <w:rPr>
          <w:color w:val="000000"/>
          <w:lang w:val="es-ES_tradnl"/>
        </w:rPr>
        <w:noBreakHyphen/>
      </w:r>
      <w:r w:rsidRPr="00CC4FCD">
        <w:rPr>
          <w:color w:val="000000"/>
          <w:lang w:val="es-ES_tradnl"/>
        </w:rPr>
        <w:t>11,45 GHz (Artículo </w:t>
      </w:r>
      <w:r w:rsidRPr="00CC4FCD">
        <w:rPr>
          <w:rStyle w:val="Artref"/>
          <w:b/>
          <w:bCs/>
          <w:color w:val="000000"/>
          <w:lang w:val="es-ES_tradnl"/>
        </w:rPr>
        <w:t>9</w:t>
      </w:r>
      <w:r w:rsidRPr="00CC4FCD">
        <w:rPr>
          <w:color w:val="000000"/>
          <w:lang w:val="es-ES_tradnl"/>
        </w:rPr>
        <w:t>)</w:t>
      </w:r>
      <w:r w:rsidR="00180D7D" w:rsidRPr="00CC4FCD">
        <w:rPr>
          <w:color w:val="000000"/>
          <w:lang w:val="es-ES_tradnl"/>
        </w:rPr>
        <w:t>.</w:t>
      </w:r>
    </w:p>
    <w:p w14:paraId="48AB6DA4" w14:textId="380A72B0" w:rsidR="00284A32" w:rsidRPr="00CC4FCD" w:rsidRDefault="00284A32" w:rsidP="00EA1686">
      <w:pPr>
        <w:rPr>
          <w:color w:val="000000"/>
          <w:lang w:val="es-ES_tradnl"/>
        </w:rPr>
      </w:pPr>
      <w:r w:rsidRPr="00CC4FCD">
        <w:rPr>
          <w:color w:val="000000"/>
          <w:lang w:val="es-ES_tradnl"/>
        </w:rPr>
        <w:t>La utilización de los enlaces ascendentes del SFS (conforme al número</w:t>
      </w:r>
      <w:r w:rsidR="00796849">
        <w:rPr>
          <w:color w:val="000000"/>
          <w:lang w:val="es-ES_tradnl"/>
        </w:rPr>
        <w:t> </w:t>
      </w:r>
      <w:r w:rsidRPr="00CC4FCD">
        <w:rPr>
          <w:rStyle w:val="Artref"/>
          <w:b/>
          <w:bCs/>
          <w:color w:val="000000"/>
          <w:lang w:val="es-ES_tradnl"/>
        </w:rPr>
        <w:t>5.484</w:t>
      </w:r>
      <w:r w:rsidRPr="00CC4FCD">
        <w:rPr>
          <w:color w:val="000000"/>
          <w:lang w:val="es-ES_tradnl"/>
        </w:rPr>
        <w:t>) debe proteger los derechos establecidos en el Plan del Apéndice</w:t>
      </w:r>
      <w:r w:rsidR="00796849">
        <w:rPr>
          <w:color w:val="000000"/>
          <w:lang w:val="es-ES_tradnl"/>
        </w:rPr>
        <w:t> </w:t>
      </w:r>
      <w:proofErr w:type="gramStart"/>
      <w:r w:rsidRPr="00CC4FCD">
        <w:rPr>
          <w:rStyle w:val="Appref"/>
          <w:b/>
          <w:bCs/>
          <w:color w:val="000000"/>
          <w:lang w:val="es-ES_tradnl"/>
        </w:rPr>
        <w:t>30B</w:t>
      </w:r>
      <w:proofErr w:type="gramEnd"/>
      <w:r w:rsidRPr="00CC4FCD">
        <w:rPr>
          <w:color w:val="000000"/>
          <w:lang w:val="es-ES_tradnl"/>
        </w:rPr>
        <w:t xml:space="preserve"> así como las anotaciones de la Lista del mismo Apéndice a medida de su evolución. Con este fin, las redes de enlace ascendente del SFS aplicarán los procedimientos de coordinación (Artículo</w:t>
      </w:r>
      <w:r w:rsidR="00796849">
        <w:rPr>
          <w:color w:val="000000"/>
          <w:lang w:val="es-ES_tradnl"/>
        </w:rPr>
        <w:t> </w:t>
      </w:r>
      <w:r w:rsidRPr="00CC4FCD">
        <w:rPr>
          <w:rStyle w:val="Artref"/>
          <w:b/>
          <w:bCs/>
          <w:color w:val="000000"/>
          <w:lang w:val="es-ES_tradnl"/>
        </w:rPr>
        <w:t>9</w:t>
      </w:r>
      <w:r w:rsidRPr="00CC4FCD">
        <w:rPr>
          <w:color w:val="000000"/>
          <w:lang w:val="es-ES_tradnl"/>
        </w:rPr>
        <w:t>) y de notificación (Artículo </w:t>
      </w:r>
      <w:r w:rsidRPr="00CC4FCD">
        <w:rPr>
          <w:rStyle w:val="Artref"/>
          <w:b/>
          <w:bCs/>
          <w:color w:val="000000"/>
          <w:lang w:val="es-ES_tradnl"/>
        </w:rPr>
        <w:t>11</w:t>
      </w:r>
      <w:r w:rsidRPr="00CC4FCD">
        <w:rPr>
          <w:color w:val="000000"/>
          <w:lang w:val="es-ES_tradnl"/>
        </w:rPr>
        <w:t>) no sólo de cara a otros enlaces ascendentes de redes del SFS en el mismo sentido (Tierra-espacio), sino también respecto a las anotaciones del Plan y de la Lista en sentido contrario (espacio-Tierra). Para tener en cuenta el Plan del Apéndice</w:t>
      </w:r>
      <w:r w:rsidR="00796849">
        <w:rPr>
          <w:color w:val="000000"/>
          <w:lang w:val="es-ES_tradnl"/>
        </w:rPr>
        <w:t> </w:t>
      </w:r>
      <w:r w:rsidRPr="00CC4FCD">
        <w:rPr>
          <w:rStyle w:val="Appref"/>
          <w:b/>
          <w:bCs/>
          <w:color w:val="000000"/>
          <w:lang w:val="es-ES_tradnl"/>
        </w:rPr>
        <w:t>30B</w:t>
      </w:r>
      <w:r w:rsidRPr="00CC4FCD">
        <w:rPr>
          <w:color w:val="000000"/>
          <w:lang w:val="es-ES_tradnl"/>
        </w:rPr>
        <w:t xml:space="preserve"> en el procedimiento del Artículo</w:t>
      </w:r>
      <w:r w:rsidR="00796849">
        <w:rPr>
          <w:color w:val="000000"/>
          <w:lang w:val="es-ES_tradnl"/>
        </w:rPr>
        <w:t> </w:t>
      </w:r>
      <w:r w:rsidRPr="00CC4FCD">
        <w:rPr>
          <w:rStyle w:val="Artref"/>
          <w:b/>
          <w:bCs/>
          <w:color w:val="000000"/>
          <w:lang w:val="es-ES_tradnl"/>
        </w:rPr>
        <w:t>9</w:t>
      </w:r>
      <w:r w:rsidRPr="00CC4FCD">
        <w:rPr>
          <w:color w:val="000000"/>
          <w:lang w:val="es-ES_tradnl"/>
        </w:rPr>
        <w:t>, se considerará el Plan como una utilización coordinada del espectro. Las administraciones encargadas del enlace ascendente del SFS obtendrán acuerdos de coordinación de las demás administraciones cuyos sistemas del Plan o asignaciones en la Lista sean susceptibles de resultar afectados. El método y los criterios para la identificación de las administraciones que hay que coordinar serán, al igual que en el caso del Apéndice</w:t>
      </w:r>
      <w:r w:rsidR="00796849">
        <w:rPr>
          <w:color w:val="000000"/>
          <w:lang w:val="es-ES_tradnl"/>
        </w:rPr>
        <w:t> </w:t>
      </w:r>
      <w:r w:rsidRPr="00CC4FCD">
        <w:rPr>
          <w:rStyle w:val="Appref"/>
          <w:b/>
          <w:bCs/>
          <w:color w:val="000000"/>
          <w:lang w:val="es-ES_tradnl"/>
        </w:rPr>
        <w:t>30A</w:t>
      </w:r>
      <w:r w:rsidRPr="00CC4FCD">
        <w:rPr>
          <w:color w:val="000000"/>
          <w:lang w:val="es-ES_tradnl"/>
        </w:rPr>
        <w:t xml:space="preserve"> (en donde existe el mismo problema bidireccional entre los enlaces de conexión planificados y otros del SFS), los siguientes:</w:t>
      </w:r>
    </w:p>
    <w:p w14:paraId="739A1613" w14:textId="04673007" w:rsidR="00284A32" w:rsidRDefault="00284A32" w:rsidP="00E237E2">
      <w:pPr>
        <w:pStyle w:val="enumlev1"/>
        <w:rPr>
          <w:color w:val="000000"/>
          <w:lang w:val="es-ES_tradnl"/>
        </w:rPr>
      </w:pPr>
      <w:r w:rsidRPr="00CC4FCD">
        <w:rPr>
          <w:i/>
          <w:color w:val="000000"/>
          <w:lang w:val="es-ES_tradnl"/>
        </w:rPr>
        <w:t>a)</w:t>
      </w:r>
      <w:r w:rsidRPr="00CC4FCD">
        <w:rPr>
          <w:color w:val="000000"/>
          <w:lang w:val="es-ES_tradnl"/>
        </w:rPr>
        <w:tab/>
        <w:t>Como en la situación de interferencia espacio-espacio una estación espacial receptora del enlace ascendente del SFS puede recibir interferencia de una estación espacial transmi</w:t>
      </w:r>
      <w:r w:rsidR="00E237E2" w:rsidRPr="00CC4FCD">
        <w:rPr>
          <w:color w:val="000000"/>
          <w:lang w:val="es-ES_tradnl"/>
        </w:rPr>
        <w:softHyphen/>
      </w:r>
      <w:r w:rsidRPr="00CC4FCD">
        <w:rPr>
          <w:color w:val="000000"/>
          <w:lang w:val="es-ES_tradnl"/>
        </w:rPr>
        <w:t xml:space="preserve">sora del Plan del SFS del Apéndice </w:t>
      </w:r>
      <w:r w:rsidRPr="00CC4FCD">
        <w:rPr>
          <w:rStyle w:val="Appref"/>
          <w:b/>
          <w:bCs/>
          <w:color w:val="000000"/>
          <w:lang w:val="es-ES_tradnl"/>
        </w:rPr>
        <w:t>30B</w:t>
      </w:r>
      <w:r w:rsidRPr="00CC4FCD">
        <w:rPr>
          <w:rStyle w:val="Appref"/>
          <w:b/>
          <w:color w:val="000000"/>
          <w:lang w:val="es-ES_tradnl"/>
        </w:rPr>
        <w:t>,</w:t>
      </w:r>
      <w:r w:rsidRPr="00CC4FCD">
        <w:rPr>
          <w:color w:val="000000"/>
          <w:lang w:val="es-ES_tradnl"/>
        </w:rPr>
        <w:t xml:space="preserve"> y como actualmente la Oficina no dispone de un método convenido para evaluar esta interferencia, las asignaciones a estaciones espa</w:t>
      </w:r>
      <w:r w:rsidR="00E237E2" w:rsidRPr="00CC4FCD">
        <w:rPr>
          <w:color w:val="000000"/>
          <w:lang w:val="es-ES_tradnl"/>
        </w:rPr>
        <w:softHyphen/>
      </w:r>
      <w:r w:rsidRPr="00CC4FCD">
        <w:rPr>
          <w:color w:val="000000"/>
          <w:lang w:val="es-ES_tradnl"/>
        </w:rPr>
        <w:t>ciales receptoras que funcionan en el enlace ascendente del SFS presentadas con arreglo a los Artículos</w:t>
      </w:r>
      <w:r w:rsidR="00796849">
        <w:rPr>
          <w:color w:val="000000"/>
          <w:lang w:val="es-ES_tradnl"/>
        </w:rPr>
        <w:t> </w:t>
      </w:r>
      <w:r w:rsidRPr="00CC4FCD">
        <w:rPr>
          <w:rStyle w:val="Artref"/>
          <w:b/>
          <w:bCs/>
          <w:color w:val="000000"/>
          <w:lang w:val="es-ES_tradnl"/>
        </w:rPr>
        <w:t>9</w:t>
      </w:r>
      <w:r w:rsidRPr="00CC4FCD">
        <w:rPr>
          <w:color w:val="000000"/>
          <w:lang w:val="es-ES_tradnl"/>
        </w:rPr>
        <w:t xml:space="preserve"> u </w:t>
      </w:r>
      <w:r w:rsidRPr="00CC4FCD">
        <w:rPr>
          <w:rStyle w:val="Artref"/>
          <w:b/>
          <w:bCs/>
          <w:color w:val="000000"/>
          <w:lang w:val="es-ES_tradnl"/>
        </w:rPr>
        <w:t>11</w:t>
      </w:r>
      <w:r w:rsidRPr="00CC4FCD">
        <w:rPr>
          <w:color w:val="000000"/>
          <w:lang w:val="es-ES_tradnl"/>
        </w:rPr>
        <w:t xml:space="preserve">, no estarán sometidas de forma provisional al examen sobre la compatibilidad con el Apéndice </w:t>
      </w:r>
      <w:r w:rsidRPr="00CC4FCD">
        <w:rPr>
          <w:rStyle w:val="Appref"/>
          <w:b/>
          <w:bCs/>
          <w:color w:val="000000"/>
          <w:lang w:val="es-ES_tradnl"/>
        </w:rPr>
        <w:t>30B</w:t>
      </w:r>
      <w:r w:rsidRPr="00CC4FCD">
        <w:rPr>
          <w:color w:val="000000"/>
          <w:lang w:val="es-ES_tradnl"/>
        </w:rPr>
        <w:t>. En consecuencia, se incluirá una nota en la Sección especial pertinente a fin de reflejar la situación y se incorporará un símbolo en el Registro para indicar que dichas asignaciones no pedirán protección contra las estaciones del Apéndice </w:t>
      </w:r>
      <w:r w:rsidRPr="00CC4FCD">
        <w:rPr>
          <w:rStyle w:val="Appref"/>
          <w:b/>
          <w:bCs/>
          <w:color w:val="000000"/>
          <w:lang w:val="es-ES_tradnl"/>
        </w:rPr>
        <w:t>30B</w:t>
      </w:r>
      <w:r w:rsidRPr="00CC4FCD">
        <w:rPr>
          <w:color w:val="000000"/>
          <w:lang w:val="es-ES_tradnl"/>
        </w:rPr>
        <w:t>.</w:t>
      </w:r>
    </w:p>
    <w:p w14:paraId="05AA260F" w14:textId="70F763A4" w:rsidR="000310FD" w:rsidRDefault="000310FD" w:rsidP="00E237E2">
      <w:pPr>
        <w:pStyle w:val="enumlev1"/>
        <w:rPr>
          <w:color w:val="000000"/>
          <w:lang w:val="es-ES_tradnl"/>
        </w:rPr>
      </w:pPr>
      <w:r>
        <w:rPr>
          <w:color w:val="000000"/>
          <w:lang w:val="es-ES_tradnl"/>
        </w:rPr>
        <w:br w:type="page"/>
      </w:r>
    </w:p>
    <w:p w14:paraId="38D2091C" w14:textId="77777777" w:rsidR="0059682C" w:rsidRDefault="0059682C" w:rsidP="00E237E2">
      <w:pPr>
        <w:rPr>
          <w:color w:val="000000"/>
          <w:lang w:val="es-ES_tradnl"/>
        </w:rPr>
      </w:pPr>
      <w:r w:rsidRPr="00CC4FCD">
        <w:rPr>
          <w:i/>
          <w:color w:val="000000"/>
          <w:lang w:val="es-ES_tradnl"/>
        </w:rPr>
        <w:lastRenderedPageBreak/>
        <w:t>b)</w:t>
      </w:r>
      <w:r w:rsidRPr="00CC4FCD">
        <w:rPr>
          <w:color w:val="000000"/>
          <w:lang w:val="es-ES_tradnl"/>
        </w:rPr>
        <w:tab/>
        <w:t xml:space="preserve">Para la evaluación de la compatibilidad entre las estaciones terrenas (estaciones terrenas transmisoras de enlaces ascendentes del SFS y estaciones terrenas receptoras de las adjudicaciones del Plan) se utilizará el método definido en el Apéndice </w:t>
      </w:r>
      <w:r w:rsidRPr="00CC4FCD">
        <w:rPr>
          <w:rStyle w:val="Appref"/>
          <w:b/>
          <w:bCs/>
          <w:color w:val="000000"/>
          <w:lang w:val="es-ES_tradnl"/>
        </w:rPr>
        <w:t>7</w:t>
      </w:r>
      <w:r w:rsidRPr="00CC4FCD">
        <w:rPr>
          <w:color w:val="000000"/>
          <w:lang w:val="es-ES_tradnl"/>
        </w:rPr>
        <w:t xml:space="preserve">. Las zonas de servicio definidas en el Apéndice </w:t>
      </w:r>
      <w:r w:rsidRPr="00CC4FCD">
        <w:rPr>
          <w:rStyle w:val="Appref"/>
          <w:b/>
          <w:bCs/>
          <w:color w:val="000000"/>
          <w:lang w:val="es-ES_tradnl"/>
        </w:rPr>
        <w:t>30B</w:t>
      </w:r>
      <w:r w:rsidRPr="00CC4FCD">
        <w:rPr>
          <w:color w:val="000000"/>
          <w:lang w:val="es-ES_tradnl"/>
        </w:rPr>
        <w:t xml:space="preserve"> se ampliarán con la distancia de coordinación, constituyendo una «zona de acuerdo» en la que habrá que coordinar una estación terrena transmisora de enlace ascendente del SFS. Para el cálculo de la distancia de coordi</w:t>
      </w:r>
      <w:r w:rsidRPr="00CC4FCD">
        <w:rPr>
          <w:color w:val="000000"/>
          <w:lang w:val="es-ES_tradnl"/>
        </w:rPr>
        <w:softHyphen/>
        <w:t>nación, se utilizará la Recomendación UIT-R más actual.</w:t>
      </w:r>
    </w:p>
    <w:p w14:paraId="6CB44E03" w14:textId="77777777" w:rsidR="00284A32" w:rsidRPr="00CC4FCD" w:rsidRDefault="00284A32" w:rsidP="00E237E2">
      <w:pPr>
        <w:rPr>
          <w:color w:val="000000"/>
          <w:lang w:val="es-ES_tradnl"/>
        </w:rPr>
      </w:pPr>
      <w:r w:rsidRPr="00CC4FCD">
        <w:rPr>
          <w:color w:val="000000"/>
          <w:lang w:val="es-ES_tradnl"/>
        </w:rPr>
        <w:t>2.2</w:t>
      </w:r>
      <w:r w:rsidRPr="00CC4FCD">
        <w:rPr>
          <w:color w:val="000000"/>
          <w:lang w:val="es-ES_tradnl"/>
        </w:rPr>
        <w:tab/>
        <w:t>Aplicaciones de enlaces descendentes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E237E2" w:rsidRPr="00CC4FCD">
        <w:rPr>
          <w:color w:val="000000"/>
          <w:lang w:val="es-ES_tradnl"/>
        </w:rPr>
        <w:t>-</w:t>
      </w:r>
      <w:r w:rsidRPr="00CC4FCD">
        <w:rPr>
          <w:color w:val="000000"/>
          <w:lang w:val="es-ES_tradnl"/>
        </w:rPr>
        <w:t>11,45 GHz (Apéndice</w:t>
      </w:r>
      <w:r w:rsidR="00E237E2" w:rsidRPr="00CC4FCD">
        <w:rPr>
          <w:color w:val="000000"/>
          <w:lang w:val="es-ES_tradnl"/>
        </w:rPr>
        <w:t> </w:t>
      </w:r>
      <w:r w:rsidRPr="00CC4FCD">
        <w:rPr>
          <w:rStyle w:val="Appref"/>
          <w:b/>
          <w:bCs/>
          <w:color w:val="000000"/>
          <w:lang w:val="es-ES_tradnl"/>
        </w:rPr>
        <w:t>30B</w:t>
      </w:r>
      <w:r w:rsidRPr="00CC4FCD">
        <w:rPr>
          <w:color w:val="000000"/>
          <w:lang w:val="es-ES_tradnl"/>
        </w:rPr>
        <w:t>, utilización planificada):</w:t>
      </w:r>
    </w:p>
    <w:p w14:paraId="5C21B6EF" w14:textId="77777777"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En cuanto a la interferencia que probablemente se cause al enlace ascendente del SFS procedente de las estaciones de enlace descendente del Apéndice </w:t>
      </w:r>
      <w:r w:rsidRPr="00CC4FCD">
        <w:rPr>
          <w:rStyle w:val="Appref"/>
          <w:b/>
          <w:bCs/>
          <w:color w:val="000000"/>
          <w:lang w:val="es-ES_tradnl"/>
        </w:rPr>
        <w:t>30B</w:t>
      </w:r>
      <w:r w:rsidRPr="00CC4FCD">
        <w:rPr>
          <w:color w:val="000000"/>
          <w:lang w:val="es-ES_tradnl"/>
        </w:rPr>
        <w:t xml:space="preserve">, se aplica la misma condición del § 2.1 </w:t>
      </w:r>
      <w:r w:rsidRPr="00CC4FCD">
        <w:rPr>
          <w:i/>
          <w:color w:val="000000"/>
          <w:lang w:val="es-ES_tradnl"/>
        </w:rPr>
        <w:t>a)</w:t>
      </w:r>
      <w:r w:rsidRPr="00CC4FCD">
        <w:rPr>
          <w:color w:val="000000"/>
          <w:lang w:val="es-ES_tradnl"/>
        </w:rPr>
        <w:t xml:space="preserve">, es decir, en el examen del Plan del Apéndice </w:t>
      </w:r>
      <w:r w:rsidRPr="00CC4FCD">
        <w:rPr>
          <w:rStyle w:val="Appref"/>
          <w:b/>
          <w:bCs/>
          <w:color w:val="000000"/>
          <w:lang w:val="es-ES_tradnl"/>
        </w:rPr>
        <w:t>30B</w:t>
      </w:r>
      <w:r w:rsidRPr="00CC4FCD">
        <w:rPr>
          <w:color w:val="000000"/>
          <w:lang w:val="es-ES_tradnl"/>
        </w:rPr>
        <w:t xml:space="preserve"> y en las anotaciones en la Lista no se tendrán en cuenta las asignaciones al enlace ascendente del SFS incluidas en el Registro con el símbolo mencionado anteriormente.</w:t>
      </w:r>
    </w:p>
    <w:p w14:paraId="1473D3C1" w14:textId="518B61C0" w:rsidR="00284A32" w:rsidRDefault="00284A32" w:rsidP="00284A32">
      <w:pPr>
        <w:pStyle w:val="enumlev1"/>
        <w:rPr>
          <w:color w:val="000000"/>
          <w:lang w:val="es-ES_tradnl"/>
        </w:rPr>
      </w:pPr>
      <w:r w:rsidRPr="00CC4FCD">
        <w:rPr>
          <w:i/>
          <w:color w:val="000000"/>
          <w:lang w:val="es-ES_tradnl"/>
        </w:rPr>
        <w:t>b)</w:t>
      </w:r>
      <w:r w:rsidRPr="00CC4FCD">
        <w:rPr>
          <w:color w:val="000000"/>
          <w:lang w:val="es-ES_tradnl"/>
        </w:rPr>
        <w:tab/>
        <w:t xml:space="preserve">En cuanto a la interferencia que probablemente se cause a las estaciones terrenas receptoras de enlace descendente del Apéndice </w:t>
      </w:r>
      <w:r w:rsidRPr="00CC4FCD">
        <w:rPr>
          <w:rStyle w:val="Appref"/>
          <w:b/>
          <w:bCs/>
          <w:color w:val="000000"/>
          <w:lang w:val="es-ES_tradnl"/>
        </w:rPr>
        <w:t>30B</w:t>
      </w:r>
      <w:r w:rsidRPr="00CC4FCD">
        <w:rPr>
          <w:color w:val="000000"/>
          <w:lang w:val="es-ES_tradnl"/>
        </w:rPr>
        <w:t xml:space="preserve"> procedente de las estaciones terrenas transmisoras de enlace ascendente del SFS, se aplicará la misma condición indicada en el § 2.1 </w:t>
      </w:r>
      <w:r w:rsidRPr="00CC4FCD">
        <w:rPr>
          <w:i/>
          <w:color w:val="000000"/>
          <w:lang w:val="es-ES_tradnl"/>
        </w:rPr>
        <w:t>b)</w:t>
      </w:r>
      <w:r w:rsidRPr="00CC4FCD">
        <w:rPr>
          <w:color w:val="000000"/>
          <w:lang w:val="es-ES_tradnl"/>
        </w:rPr>
        <w:t>.</w:t>
      </w:r>
    </w:p>
    <w:p w14:paraId="5ACDBEA6" w14:textId="0395AF40" w:rsidR="0069253E" w:rsidRPr="00641E84" w:rsidRDefault="0069253E" w:rsidP="0069253E">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es-ES"/>
        </w:rPr>
      </w:pPr>
      <w:r w:rsidRPr="00641E84">
        <w:rPr>
          <w:b/>
          <w:color w:val="000000"/>
          <w:lang w:val="es-ES"/>
        </w:rPr>
        <w:t>5.441B</w:t>
      </w:r>
    </w:p>
    <w:p w14:paraId="2217DEA4" w14:textId="2EE14C4F" w:rsidR="0069253E" w:rsidRPr="00641E84" w:rsidRDefault="0069253E" w:rsidP="0069253E">
      <w:pPr>
        <w:rPr>
          <w:lang w:val="es-ES"/>
        </w:rPr>
      </w:pPr>
      <w:r w:rsidRPr="00641E84">
        <w:rPr>
          <w:lang w:val="es-ES"/>
        </w:rPr>
        <w:t>En esta disposición se estipula, entre otras cosas, que, antes de poner en servicio una estación IMT del servicio móvil en la banda de frecuencias 4</w:t>
      </w:r>
      <w:r w:rsidR="00796849">
        <w:rPr>
          <w:lang w:val="es-ES"/>
        </w:rPr>
        <w:t> </w:t>
      </w:r>
      <w:r w:rsidRPr="00641E84">
        <w:rPr>
          <w:lang w:val="es-ES"/>
        </w:rPr>
        <w:t>800-4</w:t>
      </w:r>
      <w:r w:rsidR="00796849">
        <w:rPr>
          <w:lang w:val="es-ES"/>
        </w:rPr>
        <w:t> </w:t>
      </w:r>
      <w:r w:rsidRPr="00641E84">
        <w:rPr>
          <w:lang w:val="es-ES"/>
        </w:rPr>
        <w:t>990</w:t>
      </w:r>
      <w:r w:rsidR="00796849">
        <w:rPr>
          <w:lang w:val="es-ES"/>
        </w:rPr>
        <w:t> </w:t>
      </w:r>
      <w:r w:rsidRPr="00641E84">
        <w:rPr>
          <w:lang w:val="es-ES"/>
        </w:rPr>
        <w:t xml:space="preserve">MHz, la administración competente deberá asegurarse de que la densidad de flujo de potencia (dfp) producida por esa estación no exceda de </w:t>
      </w:r>
      <w:r w:rsidRPr="008566DC">
        <w:sym w:font="Symbol" w:char="F02D"/>
      </w:r>
      <w:r w:rsidRPr="00641E84">
        <w:rPr>
          <w:lang w:val="es-ES"/>
        </w:rPr>
        <w:t xml:space="preserve">155 </w:t>
      </w:r>
      <w:proofErr w:type="gramStart"/>
      <w:r w:rsidRPr="00641E84">
        <w:rPr>
          <w:lang w:val="es-ES"/>
        </w:rPr>
        <w:t>dB(</w:t>
      </w:r>
      <w:proofErr w:type="gramEnd"/>
      <w:r w:rsidRPr="00641E84">
        <w:rPr>
          <w:lang w:val="es-ES"/>
        </w:rPr>
        <w:t>W/(m</w:t>
      </w:r>
      <w:r w:rsidRPr="00641E84">
        <w:rPr>
          <w:vertAlign w:val="superscript"/>
          <w:lang w:val="es-ES"/>
        </w:rPr>
        <w:t>2</w:t>
      </w:r>
      <w:r w:rsidRPr="00641E84">
        <w:rPr>
          <w:lang w:val="es-ES"/>
        </w:rPr>
        <w:t> · 1 MHz)) hasta 19 km sobre el nivel del mar a 20</w:t>
      </w:r>
      <w:r w:rsidR="00796849">
        <w:rPr>
          <w:lang w:val="es-ES"/>
        </w:rPr>
        <w:t> </w:t>
      </w:r>
      <w:r w:rsidRPr="00641E84">
        <w:rPr>
          <w:lang w:val="es-ES"/>
        </w:rPr>
        <w:t xml:space="preserve">km de la costa, definida como la marca de bajamar, según lo reconocido oficialmente por el Estado costero. Es de aplicación la Resolución </w:t>
      </w:r>
      <w:r w:rsidRPr="00641E84">
        <w:rPr>
          <w:b/>
          <w:bCs/>
          <w:lang w:val="es-ES"/>
        </w:rPr>
        <w:t>223 (Rev.CMR-19)</w:t>
      </w:r>
      <w:r w:rsidRPr="00641E84">
        <w:rPr>
          <w:lang w:val="es-ES"/>
        </w:rPr>
        <w:t>.</w:t>
      </w:r>
    </w:p>
    <w:p w14:paraId="08C5087B" w14:textId="656AE9D0" w:rsidR="0069253E" w:rsidRPr="00641E84" w:rsidRDefault="0069253E" w:rsidP="0069253E">
      <w:pPr>
        <w:rPr>
          <w:lang w:val="es-ES"/>
        </w:rPr>
      </w:pPr>
      <w:r w:rsidRPr="00641E84">
        <w:rPr>
          <w:lang w:val="es-ES"/>
        </w:rPr>
        <w:t xml:space="preserve">Habida cuenta de que ni esta disposición ni la Resolución </w:t>
      </w:r>
      <w:r w:rsidRPr="00641E84">
        <w:rPr>
          <w:b/>
          <w:bCs/>
          <w:lang w:val="es-ES"/>
        </w:rPr>
        <w:t>223 (Rev.CMR-19)</w:t>
      </w:r>
      <w:r w:rsidRPr="00641E84">
        <w:rPr>
          <w:lang w:val="es-ES"/>
        </w:rPr>
        <w:t xml:space="preserve"> especifican el modelo de propagación que ha de utilizarse para el cálculo de la dfp producida por las estaciones IMT en la banda de frecuencias 4 800-4 990 MHz, la Junta decidió que se utilizase la Recomendación UIT-R P.528-4, para el 1 % del tiempo, a fin de realizar ese cálculo.</w:t>
      </w:r>
    </w:p>
    <w:p w14:paraId="3A8F604A" w14:textId="77777777" w:rsidR="00284A32" w:rsidRPr="00CC4FCD" w:rsidRDefault="00284A32" w:rsidP="00EA1686">
      <w:pPr>
        <w:pStyle w:val="Heading8"/>
        <w:rPr>
          <w:color w:val="000000"/>
          <w:lang w:val="es-ES_tradnl"/>
        </w:rPr>
      </w:pPr>
      <w:r w:rsidRPr="00CC4FCD">
        <w:rPr>
          <w:color w:val="000000"/>
          <w:lang w:val="es-ES_tradnl"/>
        </w:rPr>
        <w:t>5.444B</w:t>
      </w:r>
    </w:p>
    <w:p w14:paraId="296DD42C" w14:textId="041609F2" w:rsidR="00284A32" w:rsidRPr="00FD0CF7" w:rsidRDefault="00284A32" w:rsidP="003C0B46">
      <w:pPr>
        <w:rPr>
          <w:lang w:val="es-ES"/>
        </w:rPr>
      </w:pPr>
      <w:r w:rsidRPr="00CC4FCD">
        <w:rPr>
          <w:lang w:val="es-ES_tradnl"/>
        </w:rPr>
        <w:t>1</w:t>
      </w:r>
      <w:r w:rsidRPr="00CC4FCD">
        <w:rPr>
          <w:lang w:val="es-ES_tradnl"/>
        </w:rPr>
        <w:tab/>
      </w:r>
      <w:proofErr w:type="gramStart"/>
      <w:r w:rsidRPr="00CC4FCD">
        <w:rPr>
          <w:lang w:val="es-ES_tradnl"/>
        </w:rPr>
        <w:t>Esta</w:t>
      </w:r>
      <w:proofErr w:type="gramEnd"/>
      <w:r w:rsidRPr="00CC4FCD">
        <w:rPr>
          <w:lang w:val="es-ES_tradnl"/>
        </w:rPr>
        <w:t xml:space="preserve"> disposición limita la utilización de la banda 5</w:t>
      </w:r>
      <w:r w:rsidR="00180D7D" w:rsidRPr="00CC4FCD">
        <w:rPr>
          <w:rFonts w:ascii="Tms Rmn" w:hAnsi="Tms Rmn"/>
          <w:color w:val="000000"/>
          <w:sz w:val="12"/>
          <w:lang w:val="es-ES_tradnl"/>
        </w:rPr>
        <w:t> </w:t>
      </w:r>
      <w:r w:rsidRPr="00CC4FCD">
        <w:rPr>
          <w:lang w:val="es-ES_tradnl"/>
        </w:rPr>
        <w:t>091</w:t>
      </w:r>
      <w:r w:rsidRPr="00CC4FCD">
        <w:rPr>
          <w:lang w:val="es-ES_tradnl"/>
        </w:rPr>
        <w:noBreakHyphen/>
        <w:t>5</w:t>
      </w:r>
      <w:r w:rsidR="00180D7D" w:rsidRPr="00CC4FCD">
        <w:rPr>
          <w:rFonts w:ascii="Tms Rmn" w:hAnsi="Tms Rmn"/>
          <w:color w:val="000000"/>
          <w:sz w:val="12"/>
          <w:lang w:val="es-ES_tradnl"/>
        </w:rPr>
        <w:t> </w:t>
      </w:r>
      <w:r w:rsidRPr="00CC4FCD">
        <w:rPr>
          <w:lang w:val="es-ES_tradnl"/>
        </w:rPr>
        <w:t xml:space="preserve">150 MHz por el servicio móvil aeronáutico a </w:t>
      </w:r>
      <w:r w:rsidR="00754415">
        <w:rPr>
          <w:lang w:val="es-ES_tradnl"/>
        </w:rPr>
        <w:t>dos</w:t>
      </w:r>
      <w:r w:rsidRPr="00CC4FCD">
        <w:rPr>
          <w:lang w:val="es-ES_tradnl"/>
        </w:rPr>
        <w:t xml:space="preserve"> aplicaciones distintas. No obstante, el Apéndice</w:t>
      </w:r>
      <w:r w:rsidR="00796849">
        <w:rPr>
          <w:lang w:val="es-ES_tradnl"/>
        </w:rPr>
        <w:t> </w:t>
      </w:r>
      <w:r w:rsidRPr="00CC4FCD">
        <w:rPr>
          <w:b/>
          <w:bCs/>
          <w:lang w:val="es-ES_tradnl"/>
        </w:rPr>
        <w:t>4</w:t>
      </w:r>
      <w:r w:rsidRPr="00CC4FCD">
        <w:rPr>
          <w:lang w:val="es-ES_tradnl"/>
        </w:rPr>
        <w:t xml:space="preserve"> no contiene elementos de datos que permitan determinar si la asignación de frecuencias notificada está asociada con una de estas aplicaciones específicas o con otras aplicaciones del servicio móvil aeronáutico. Dado que la Oficina carece de medios para establecer la diferencia, la Junta decidió que la Oficina no examinará las asignaciones de frecuencias notificadas a una estación del servicio móvil aeronáutico con respecto a su conformidad con esta disposición.</w:t>
      </w:r>
    </w:p>
    <w:p w14:paraId="46757B92" w14:textId="77777777" w:rsidR="0069253E" w:rsidRDefault="0069253E">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757154ED" w14:textId="6776DA38" w:rsidR="00284A32" w:rsidRPr="00CC4FCD" w:rsidRDefault="00284A32" w:rsidP="005A7D46">
      <w:pPr>
        <w:rPr>
          <w:lang w:val="es-ES_tradnl"/>
        </w:rPr>
      </w:pPr>
      <w:r w:rsidRPr="00CC4FCD">
        <w:rPr>
          <w:lang w:val="es-ES_tradnl"/>
        </w:rPr>
        <w:lastRenderedPageBreak/>
        <w:t>2</w:t>
      </w:r>
      <w:r w:rsidRPr="00CC4FCD">
        <w:rPr>
          <w:lang w:val="es-ES_tradnl"/>
        </w:rPr>
        <w:tab/>
      </w:r>
      <w:proofErr w:type="gramStart"/>
      <w:r w:rsidRPr="00CC4FCD">
        <w:rPr>
          <w:lang w:val="es-ES_tradnl"/>
        </w:rPr>
        <w:t>Con</w:t>
      </w:r>
      <w:proofErr w:type="gramEnd"/>
      <w:r w:rsidRPr="00CC4FCD">
        <w:rPr>
          <w:lang w:val="es-ES_tradnl"/>
        </w:rPr>
        <w:t xml:space="preserve"> respecto a las notificaciones del servicio móvil aeronáutico (R), incluidas las mencionadas en el primer inciso de esta disposición, y a la luz de lo indicado en el </w:t>
      </w:r>
      <w:r w:rsidRPr="00CC4FCD">
        <w:rPr>
          <w:i/>
          <w:iCs/>
          <w:lang w:val="es-ES_tradnl"/>
        </w:rPr>
        <w:t>resuelve</w:t>
      </w:r>
      <w:r w:rsidR="004B6AEC">
        <w:rPr>
          <w:i/>
          <w:iCs/>
          <w:lang w:val="es-ES_tradnl"/>
        </w:rPr>
        <w:t> </w:t>
      </w:r>
      <w:r w:rsidRPr="004B6AEC">
        <w:rPr>
          <w:lang w:val="es-ES_tradnl"/>
        </w:rPr>
        <w:t>1</w:t>
      </w:r>
      <w:r w:rsidRPr="00CC4FCD">
        <w:rPr>
          <w:i/>
          <w:iCs/>
          <w:lang w:val="es-ES_tradnl"/>
        </w:rPr>
        <w:t xml:space="preserve"> </w:t>
      </w:r>
      <w:r w:rsidRPr="00CC4FCD">
        <w:rPr>
          <w:lang w:val="es-ES_tradnl"/>
        </w:rPr>
        <w:t xml:space="preserve">de la Resolución </w:t>
      </w:r>
      <w:r w:rsidRPr="00CC4FCD">
        <w:rPr>
          <w:b/>
          <w:bCs/>
          <w:lang w:val="es-ES_tradnl"/>
        </w:rPr>
        <w:t>748 (</w:t>
      </w:r>
      <w:r w:rsidR="00C41455">
        <w:rPr>
          <w:b/>
          <w:bCs/>
          <w:lang w:val="es-ES_tradnl"/>
        </w:rPr>
        <w:t>Rev.CMR-1</w:t>
      </w:r>
      <w:r w:rsidR="0061046F">
        <w:rPr>
          <w:b/>
          <w:bCs/>
          <w:lang w:val="es-ES_tradnl"/>
        </w:rPr>
        <w:t>9</w:t>
      </w:r>
      <w:r w:rsidRPr="00CC4FCD">
        <w:rPr>
          <w:b/>
          <w:bCs/>
          <w:lang w:val="es-ES_tradnl"/>
        </w:rPr>
        <w:t>)</w:t>
      </w:r>
      <w:r w:rsidRPr="00CC4FCD">
        <w:rPr>
          <w:lang w:val="es-ES_tradnl"/>
        </w:rPr>
        <w:t xml:space="preserve">, a la inscripción en el MIFR de estas asignaciones se asociará el símbolo «R» en la columna 13B2 </w:t>
      </w:r>
      <w:r w:rsidRPr="0040151B">
        <w:rPr>
          <w:lang w:val="es-ES_tradnl"/>
        </w:rPr>
        <w:t>(«Observaciones a la conclusión»)</w:t>
      </w:r>
      <w:r w:rsidRPr="00CC4FCD">
        <w:rPr>
          <w:i/>
          <w:iCs/>
          <w:lang w:val="es-ES_tradnl"/>
        </w:rPr>
        <w:t xml:space="preserve"> </w:t>
      </w:r>
      <w:r w:rsidRPr="00CC4FCD">
        <w:rPr>
          <w:lang w:val="es-ES_tradnl"/>
        </w:rPr>
        <w:t xml:space="preserve">y el símbolo «RS748» en la columna 13B1 </w:t>
      </w:r>
      <w:r w:rsidRPr="0040151B">
        <w:rPr>
          <w:lang w:val="es-ES_tradnl"/>
        </w:rPr>
        <w:t>(«Referencia de la conclusión»). La</w:t>
      </w:r>
      <w:r w:rsidRPr="00CC4FCD">
        <w:rPr>
          <w:lang w:val="es-ES_tradnl"/>
        </w:rPr>
        <w:t xml:space="preserve"> Junta también consideró que lo indicado en el </w:t>
      </w:r>
      <w:r w:rsidRPr="00CC4FCD">
        <w:rPr>
          <w:i/>
          <w:iCs/>
          <w:lang w:val="es-ES_tradnl"/>
        </w:rPr>
        <w:t xml:space="preserve">resuelve 3 </w:t>
      </w:r>
      <w:r w:rsidRPr="00CC4FCD">
        <w:rPr>
          <w:lang w:val="es-ES_tradnl"/>
        </w:rPr>
        <w:t xml:space="preserve">de la Resolución </w:t>
      </w:r>
      <w:r w:rsidRPr="00CC4FCD">
        <w:rPr>
          <w:b/>
          <w:bCs/>
          <w:lang w:val="es-ES_tradnl"/>
        </w:rPr>
        <w:t>748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incluida la referencia al número</w:t>
      </w:r>
      <w:r w:rsidR="000310FD">
        <w:rPr>
          <w:lang w:val="es-ES_tradnl"/>
        </w:rPr>
        <w:t> </w:t>
      </w:r>
      <w:r w:rsidRPr="00CC4FCD">
        <w:rPr>
          <w:b/>
          <w:bCs/>
          <w:lang w:val="es-ES_tradnl"/>
        </w:rPr>
        <w:t>4.10</w:t>
      </w:r>
      <w:r w:rsidRPr="00CC4FCD">
        <w:rPr>
          <w:lang w:val="es-ES_tradnl"/>
        </w:rPr>
        <w:t xml:space="preserve">, atañe a las administraciones y que la Oficina no habrá de examinar las asignaciones de frecuencias con respecto a su conformidad con las condiciones establecidas en el </w:t>
      </w:r>
      <w:r w:rsidRPr="00CC4FCD">
        <w:rPr>
          <w:i/>
          <w:iCs/>
          <w:lang w:val="es-ES_tradnl"/>
        </w:rPr>
        <w:t>resuelve</w:t>
      </w:r>
      <w:r w:rsidR="00E237E2" w:rsidRPr="00CC4FCD">
        <w:rPr>
          <w:i/>
          <w:iCs/>
          <w:lang w:val="es-ES_tradnl"/>
        </w:rPr>
        <w:t> </w:t>
      </w:r>
      <w:r w:rsidRPr="00CC4FCD">
        <w:rPr>
          <w:i/>
          <w:iCs/>
          <w:lang w:val="es-ES_tradnl"/>
        </w:rPr>
        <w:t xml:space="preserve">3 </w:t>
      </w:r>
      <w:r w:rsidRPr="00CC4FCD">
        <w:rPr>
          <w:lang w:val="es-ES_tradnl"/>
        </w:rPr>
        <w:t xml:space="preserve">de la Resolución </w:t>
      </w:r>
      <w:r w:rsidRPr="00CC4FCD">
        <w:rPr>
          <w:b/>
          <w:bCs/>
          <w:lang w:val="es-ES_tradnl"/>
        </w:rPr>
        <w:t>748 (</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w:t>
      </w:r>
    </w:p>
    <w:p w14:paraId="17D40A1A" w14:textId="4448EAC1" w:rsidR="00284A32" w:rsidRDefault="00284A32" w:rsidP="005A7D46">
      <w:pPr>
        <w:rPr>
          <w:lang w:val="es-ES_tradnl"/>
        </w:rPr>
      </w:pPr>
      <w:r w:rsidRPr="00CC4FCD">
        <w:rPr>
          <w:lang w:val="es-ES_tradnl"/>
        </w:rPr>
        <w:t>3</w:t>
      </w:r>
      <w:r w:rsidRPr="00CC4FCD">
        <w:rPr>
          <w:lang w:val="es-ES_tradnl"/>
        </w:rPr>
        <w:tab/>
        <w:t>Con respecto a las notificaciones relacionadas con las transmisiones de telemedida aeronáutica a que se hace referencia en el segundo inciso de esta disposición, además de las consideraciones del párrafo 1 de la presente Regla de Procedimiento que también se aplica</w:t>
      </w:r>
      <w:r w:rsidR="00D56DD5" w:rsidRPr="00CC4FCD">
        <w:rPr>
          <w:lang w:val="es-ES_tradnl"/>
        </w:rPr>
        <w:t>n</w:t>
      </w:r>
      <w:r w:rsidRPr="00CC4FCD">
        <w:rPr>
          <w:lang w:val="es-ES_tradnl"/>
        </w:rPr>
        <w:t xml:space="preserve"> a las aplicaciones de telemedida aeronáutica, la Junta consideró que lo indicado en el </w:t>
      </w:r>
      <w:r w:rsidRPr="00CC4FCD">
        <w:rPr>
          <w:i/>
          <w:iCs/>
          <w:lang w:val="es-ES_tradnl"/>
        </w:rPr>
        <w:t>resuelve</w:t>
      </w:r>
      <w:r w:rsidR="00E237E2" w:rsidRPr="00CC4FCD">
        <w:rPr>
          <w:i/>
          <w:iCs/>
          <w:lang w:val="es-ES_tradnl"/>
        </w:rPr>
        <w:t> </w:t>
      </w:r>
      <w:r w:rsidRPr="004B6AEC">
        <w:rPr>
          <w:lang w:val="es-ES_tradnl"/>
        </w:rPr>
        <w:t>1</w:t>
      </w:r>
      <w:r w:rsidRPr="00CC4FCD">
        <w:rPr>
          <w:i/>
          <w:iCs/>
          <w:lang w:val="es-ES_tradnl"/>
        </w:rPr>
        <w:t xml:space="preserve"> </w:t>
      </w:r>
      <w:r w:rsidRPr="00CC4FCD">
        <w:rPr>
          <w:lang w:val="es-ES_tradnl"/>
        </w:rPr>
        <w:t xml:space="preserve">y el </w:t>
      </w:r>
      <w:r w:rsidRPr="00CC4FCD">
        <w:rPr>
          <w:i/>
          <w:iCs/>
          <w:lang w:val="es-ES_tradnl"/>
        </w:rPr>
        <w:t>resuelve</w:t>
      </w:r>
      <w:r w:rsidR="00E237E2" w:rsidRPr="00CC4FCD">
        <w:rPr>
          <w:i/>
          <w:iCs/>
          <w:lang w:val="es-ES_tradnl"/>
        </w:rPr>
        <w:t> </w:t>
      </w:r>
      <w:r w:rsidRPr="00CC4FCD">
        <w:rPr>
          <w:lang w:val="es-ES_tradnl"/>
        </w:rPr>
        <w:t xml:space="preserve">2 de la Resolución </w:t>
      </w:r>
      <w:r w:rsidRPr="00CC4FCD">
        <w:rPr>
          <w:b/>
          <w:bCs/>
          <w:lang w:val="es-ES_tradnl"/>
        </w:rPr>
        <w:t>418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xml:space="preserve"> atañe a las administraciones y que la Oficina no habrá de examinar las asignaciones de frecuencias notificadas a una estación del servicio móvil aeronáutico con respecto a su conformidad con las condiciones establecidas en el Anexo</w:t>
      </w:r>
      <w:r w:rsidR="00E237E2" w:rsidRPr="00CC4FCD">
        <w:rPr>
          <w:lang w:val="es-ES_tradnl"/>
        </w:rPr>
        <w:t> </w:t>
      </w:r>
      <w:r w:rsidRPr="00CC4FCD">
        <w:rPr>
          <w:lang w:val="es-ES_tradnl"/>
        </w:rPr>
        <w:t xml:space="preserve">1 a la Resolución </w:t>
      </w:r>
      <w:r w:rsidR="005A7D46">
        <w:rPr>
          <w:b/>
          <w:bCs/>
          <w:lang w:val="es-ES_tradnl"/>
        </w:rPr>
        <w:t>418 (Rev.CMR-1</w:t>
      </w:r>
      <w:r w:rsidR="0061046F">
        <w:rPr>
          <w:b/>
          <w:bCs/>
          <w:lang w:val="es-ES_tradnl"/>
        </w:rPr>
        <w:t>9</w:t>
      </w:r>
      <w:r w:rsidRPr="00CC4FCD">
        <w:rPr>
          <w:b/>
          <w:bCs/>
          <w:lang w:val="es-ES_tradnl"/>
        </w:rPr>
        <w:t>)</w:t>
      </w:r>
      <w:r w:rsidRPr="00CC4FCD">
        <w:rPr>
          <w:lang w:val="es-ES_tradnl"/>
        </w:rPr>
        <w:t>.</w:t>
      </w:r>
    </w:p>
    <w:p w14:paraId="74DDB55C" w14:textId="77777777" w:rsidR="0069253E" w:rsidRPr="00CC4FCD" w:rsidRDefault="0069253E" w:rsidP="005A7D46">
      <w:pPr>
        <w:rPr>
          <w:lang w:val="es-ES_tradnl"/>
        </w:rPr>
      </w:pPr>
    </w:p>
    <w:p w14:paraId="24B27BDD" w14:textId="77777777" w:rsidR="000A21A1" w:rsidRPr="00CC4FCD" w:rsidRDefault="000A21A1" w:rsidP="007D55F8">
      <w:pPr>
        <w:pStyle w:val="Heading8"/>
        <w:spacing w:before="120"/>
        <w:rPr>
          <w:color w:val="000000"/>
          <w:lang w:val="es-ES_tradnl"/>
        </w:rPr>
      </w:pPr>
      <w:r w:rsidRPr="00CC4FCD">
        <w:rPr>
          <w:color w:val="000000"/>
          <w:lang w:val="es-ES_tradnl"/>
        </w:rPr>
        <w:t>5.446A</w:t>
      </w:r>
    </w:p>
    <w:p w14:paraId="6E46919E" w14:textId="3B55357D" w:rsidR="00284A32" w:rsidRPr="00CC4FCD" w:rsidRDefault="00284A32" w:rsidP="001816F1">
      <w:pPr>
        <w:spacing w:before="120"/>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Esta</w:t>
      </w:r>
      <w:proofErr w:type="gramEnd"/>
      <w:r w:rsidRPr="00CC4FCD">
        <w:rPr>
          <w:color w:val="000000"/>
          <w:lang w:val="es-ES_tradnl"/>
        </w:rPr>
        <w:t xml:space="preserve"> disposición estipula que la utilización de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w:t>
      </w:r>
      <w:r w:rsidR="00EA1686" w:rsidRPr="00CC4FCD">
        <w:rPr>
          <w:color w:val="000000"/>
          <w:lang w:val="es-ES_tradnl"/>
        </w:rPr>
        <w:t>-</w:t>
      </w:r>
      <w:r w:rsidRPr="00CC4FCD">
        <w:rPr>
          <w:color w:val="000000"/>
          <w:lang w:val="es-ES_tradnl"/>
        </w:rPr>
        <w:t>5</w:t>
      </w:r>
      <w:r w:rsidRPr="00CC4FCD">
        <w:rPr>
          <w:rFonts w:ascii="Tms Rmn" w:hAnsi="Tms Rmn"/>
          <w:color w:val="000000"/>
          <w:sz w:val="12"/>
          <w:lang w:val="es-ES_tradnl"/>
        </w:rPr>
        <w:t> </w:t>
      </w:r>
      <w:r w:rsidRPr="00CC4FCD">
        <w:rPr>
          <w:color w:val="000000"/>
          <w:lang w:val="es-ES_tradnl"/>
        </w:rPr>
        <w:t>725 MHz por las estaciones del servicio móvil, con excepción del servicio móvil aero</w:t>
      </w:r>
      <w:r w:rsidR="00EA1686" w:rsidRPr="00CC4FCD">
        <w:rPr>
          <w:color w:val="000000"/>
          <w:lang w:val="es-ES_tradnl"/>
        </w:rPr>
        <w:softHyphen/>
      </w:r>
      <w:r w:rsidRPr="00CC4FCD">
        <w:rPr>
          <w:color w:val="000000"/>
          <w:lang w:val="es-ES_tradnl"/>
        </w:rPr>
        <w:t>náutico, será conforme a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1816F1">
        <w:rPr>
          <w:b/>
          <w:bCs/>
          <w:color w:val="000000"/>
          <w:lang w:val="es-ES_tradnl"/>
        </w:rPr>
        <w:t>1</w:t>
      </w:r>
      <w:r w:rsidR="0061046F">
        <w:rPr>
          <w:b/>
          <w:bCs/>
          <w:color w:val="000000"/>
          <w:lang w:val="es-ES_tradnl"/>
        </w:rPr>
        <w:t>9</w:t>
      </w:r>
      <w:r w:rsidRPr="00CC4FCD">
        <w:rPr>
          <w:b/>
          <w:bCs/>
          <w:color w:val="000000"/>
          <w:lang w:val="es-ES_tradnl"/>
        </w:rPr>
        <w:t>)</w:t>
      </w:r>
      <w:r w:rsidRPr="00CC4FCD">
        <w:rPr>
          <w:color w:val="000000"/>
          <w:lang w:val="es-ES_tradnl"/>
        </w:rPr>
        <w:t>. En este sentido, la Resolución</w:t>
      </w:r>
      <w:r w:rsidR="000310FD">
        <w:rPr>
          <w:color w:val="000000"/>
          <w:lang w:val="es-ES_tradnl"/>
        </w:rPr>
        <w:t> </w:t>
      </w:r>
      <w:r w:rsidRPr="00CC4FCD">
        <w:rPr>
          <w:b/>
          <w:bCs/>
          <w:color w:val="000000"/>
          <w:lang w:val="es-ES_tradnl"/>
        </w:rPr>
        <w:t>229</w:t>
      </w:r>
      <w:r w:rsidR="0061046F">
        <w:rPr>
          <w:color w:val="000000"/>
          <w:lang w:val="es-ES_tradnl"/>
        </w:rPr>
        <w:t>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1816F1">
        <w:rPr>
          <w:b/>
          <w:bCs/>
          <w:color w:val="000000"/>
          <w:lang w:val="es-ES_tradnl"/>
        </w:rPr>
        <w:t>1</w:t>
      </w:r>
      <w:r w:rsidR="0061046F">
        <w:rPr>
          <w:b/>
          <w:bCs/>
          <w:color w:val="000000"/>
          <w:lang w:val="es-ES_tradnl"/>
        </w:rPr>
        <w:t>9</w:t>
      </w:r>
      <w:r w:rsidRPr="00CC4FCD">
        <w:rPr>
          <w:b/>
          <w:bCs/>
          <w:color w:val="000000"/>
          <w:lang w:val="es-ES_tradnl"/>
        </w:rPr>
        <w:t>)</w:t>
      </w:r>
      <w:r w:rsidRPr="00CC4FCD">
        <w:rPr>
          <w:color w:val="000000"/>
          <w:lang w:val="es-ES_tradnl"/>
        </w:rPr>
        <w:t xml:space="preserve"> especifica que la utilización de estas bandas por el servicio móvil se efectuará para la impleme</w:t>
      </w:r>
      <w:r w:rsidR="00F53623">
        <w:rPr>
          <w:color w:val="000000"/>
          <w:lang w:val="es-ES_tradnl"/>
        </w:rPr>
        <w:t xml:space="preserve"> </w:t>
      </w:r>
      <w:r w:rsidRPr="00CC4FCD">
        <w:rPr>
          <w:color w:val="000000"/>
          <w:lang w:val="es-ES_tradnl"/>
        </w:rPr>
        <w:t>ntación de los sistemas de acceso inalámbrico (WAS), incluyendo las redes radio</w:t>
      </w:r>
      <w:r w:rsidR="00EA1686" w:rsidRPr="00CC4FCD">
        <w:rPr>
          <w:color w:val="000000"/>
          <w:lang w:val="es-ES_tradnl"/>
        </w:rPr>
        <w:softHyphen/>
      </w:r>
      <w:r w:rsidRPr="00CC4FCD">
        <w:rPr>
          <w:color w:val="000000"/>
          <w:lang w:val="es-ES_tradnl"/>
        </w:rPr>
        <w:t xml:space="preserve">eléctricas de área local (RLAN) (véase el </w:t>
      </w:r>
      <w:r w:rsidRPr="00CC4FCD">
        <w:rPr>
          <w:i/>
          <w:iCs/>
          <w:color w:val="000000"/>
          <w:lang w:val="es-ES_tradnl"/>
        </w:rPr>
        <w:t>resuelve</w:t>
      </w:r>
      <w:r w:rsidRPr="00CC4FCD">
        <w:rPr>
          <w:color w:val="000000"/>
          <w:lang w:val="es-ES_tradnl"/>
        </w:rPr>
        <w:t xml:space="preserve"> 1) y, además de ello, especifica los niveles máximos de la p.i.r.e. para las estaciones del servicio móvil (véanse los </w:t>
      </w:r>
      <w:r w:rsidRPr="00CC4FCD">
        <w:rPr>
          <w:i/>
          <w:iCs/>
          <w:color w:val="000000"/>
          <w:lang w:val="es-ES_tradnl"/>
        </w:rPr>
        <w:t>resuelve</w:t>
      </w:r>
      <w:r w:rsidRPr="00CC4FCD">
        <w:rPr>
          <w:color w:val="000000"/>
          <w:lang w:val="es-ES_tradnl"/>
        </w:rPr>
        <w:t xml:space="preserve"> 2, </w:t>
      </w:r>
      <w:r w:rsidR="0061046F">
        <w:rPr>
          <w:color w:val="000000"/>
          <w:lang w:val="es-ES_tradnl"/>
        </w:rPr>
        <w:t>3, 5</w:t>
      </w:r>
      <w:r w:rsidRPr="00CC4FCD">
        <w:rPr>
          <w:color w:val="000000"/>
          <w:lang w:val="es-ES_tradnl"/>
        </w:rPr>
        <w:t xml:space="preserve"> y </w:t>
      </w:r>
      <w:r w:rsidR="0061046F">
        <w:rPr>
          <w:color w:val="000000"/>
          <w:lang w:val="es-ES_tradnl"/>
        </w:rPr>
        <w:t>7</w:t>
      </w:r>
      <w:r w:rsidRPr="00CC4FCD">
        <w:rPr>
          <w:color w:val="000000"/>
          <w:lang w:val="es-ES_tradnl"/>
        </w:rPr>
        <w:t>).</w:t>
      </w:r>
    </w:p>
    <w:p w14:paraId="244D4D6A" w14:textId="1F22175D" w:rsidR="00284A32" w:rsidRPr="00CC4FCD" w:rsidRDefault="00284A32" w:rsidP="001816F1">
      <w:pPr>
        <w:spacing w:before="120"/>
        <w:rPr>
          <w:color w:val="000000"/>
          <w:lang w:val="es-ES_tradnl"/>
        </w:rPr>
      </w:pPr>
      <w:r w:rsidRPr="00CC4FCD">
        <w:rPr>
          <w:color w:val="000000"/>
          <w:lang w:val="es-ES_tradnl"/>
        </w:rPr>
        <w:t>En lo que se refiere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la situación es bastante sencilla, dado que las disposiciones de la Resolución</w:t>
      </w:r>
      <w:r w:rsidR="000310FD">
        <w:rPr>
          <w:color w:val="000000"/>
          <w:lang w:val="es-ES_tradnl"/>
        </w:rPr>
        <w:t>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1816F1">
        <w:rPr>
          <w:b/>
          <w:bCs/>
          <w:color w:val="000000"/>
          <w:lang w:val="es-ES_tradnl"/>
        </w:rPr>
        <w:t>1</w:t>
      </w:r>
      <w:r w:rsidR="0061046F">
        <w:rPr>
          <w:b/>
          <w:bCs/>
          <w:color w:val="000000"/>
          <w:lang w:val="es-ES_tradnl"/>
        </w:rPr>
        <w:t>9</w:t>
      </w:r>
      <w:r w:rsidRPr="00CC4FCD">
        <w:rPr>
          <w:b/>
          <w:bCs/>
          <w:color w:val="000000"/>
          <w:lang w:val="es-ES_tradnl"/>
        </w:rPr>
        <w:t>)</w:t>
      </w:r>
      <w:r w:rsidRPr="00CC4FCD">
        <w:rPr>
          <w:color w:val="000000"/>
          <w:lang w:val="es-ES_tradnl"/>
        </w:rPr>
        <w:t xml:space="preserve"> son aplicables a todas las estaciones del servicio móvil, con excepción del servicio móvil aeronáutico, salvo en los casos a los que se refiere el número </w:t>
      </w:r>
      <w:r w:rsidRPr="00CC4FCD">
        <w:rPr>
          <w:rStyle w:val="Artref"/>
          <w:b/>
          <w:bCs/>
          <w:color w:val="000000"/>
          <w:lang w:val="es-ES_tradnl"/>
        </w:rPr>
        <w:t>5.447</w:t>
      </w:r>
      <w:r w:rsidRPr="00CC4FCD">
        <w:rPr>
          <w:color w:val="000000"/>
          <w:lang w:val="es-ES_tradnl"/>
        </w:rPr>
        <w:t>, de aplicación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250 MHz y cuando pueden esta</w:t>
      </w:r>
      <w:r w:rsidR="00E237E2" w:rsidRPr="00CC4FCD">
        <w:rPr>
          <w:color w:val="000000"/>
          <w:lang w:val="es-ES_tradnl"/>
        </w:rPr>
        <w:softHyphen/>
      </w:r>
      <w:r w:rsidRPr="00CC4FCD">
        <w:rPr>
          <w:color w:val="000000"/>
          <w:lang w:val="es-ES_tradnl"/>
        </w:rPr>
        <w:t>blecerse otras condiciones (por ejemplo, menos estrictas), en el contexto de la aplicación del procedimiento del número </w:t>
      </w:r>
      <w:r w:rsidRPr="00CC4FCD">
        <w:rPr>
          <w:rStyle w:val="Artref"/>
          <w:b/>
          <w:bCs/>
          <w:color w:val="000000"/>
          <w:lang w:val="es-ES_tradnl"/>
        </w:rPr>
        <w:t>9.21</w:t>
      </w:r>
      <w:r w:rsidRPr="00CC4FCD">
        <w:rPr>
          <w:color w:val="000000"/>
          <w:lang w:val="es-ES_tradnl"/>
        </w:rPr>
        <w:t>.</w:t>
      </w:r>
    </w:p>
    <w:p w14:paraId="449FAE74" w14:textId="3C544C43" w:rsidR="00284A32" w:rsidRPr="00CC4FCD" w:rsidRDefault="00284A32" w:rsidP="001816F1">
      <w:pPr>
        <w:spacing w:before="120"/>
        <w:rPr>
          <w:color w:val="000000"/>
          <w:lang w:val="es-ES_tradnl"/>
        </w:rPr>
      </w:pPr>
      <w:r w:rsidRPr="00CC4FCD">
        <w:rPr>
          <w:color w:val="000000"/>
          <w:lang w:val="es-ES_tradnl"/>
        </w:rPr>
        <w:t>Por otro lado, la situación en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 xml:space="preserve">725 MHz es más compleja, teniendo presente </w:t>
      </w:r>
      <w:proofErr w:type="gramStart"/>
      <w:r w:rsidRPr="00CC4FCD">
        <w:rPr>
          <w:color w:val="000000"/>
          <w:lang w:val="es-ES_tradnl"/>
        </w:rPr>
        <w:t>que</w:t>
      </w:r>
      <w:proofErr w:type="gramEnd"/>
      <w:r w:rsidRPr="00CC4FCD">
        <w:rPr>
          <w:color w:val="000000"/>
          <w:lang w:val="es-ES_tradnl"/>
        </w:rPr>
        <w:t xml:space="preserve"> a las estaciones del servicio móvil, con excepción del servicio móvil aeronáutico, se le aplican otras disposiciones (por ejemplo las indicadas en los números </w:t>
      </w:r>
      <w:r w:rsidRPr="00CC4FCD">
        <w:rPr>
          <w:rStyle w:val="Artref"/>
          <w:b/>
          <w:bCs/>
          <w:color w:val="000000"/>
          <w:lang w:val="es-ES_tradnl"/>
        </w:rPr>
        <w:t>5.451</w:t>
      </w:r>
      <w:r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y en el Cuadro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 las cuales estipulan condiciones diferentes (por ejemplo, límites de potencia) de las indicadas en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1816F1">
        <w:rPr>
          <w:b/>
          <w:bCs/>
          <w:color w:val="000000"/>
          <w:lang w:val="es-ES_tradnl"/>
        </w:rPr>
        <w:t>1</w:t>
      </w:r>
      <w:r w:rsidR="0061046F">
        <w:rPr>
          <w:b/>
          <w:bCs/>
          <w:color w:val="000000"/>
          <w:lang w:val="es-ES_tradnl"/>
        </w:rPr>
        <w:t>9</w:t>
      </w:r>
      <w:r w:rsidRPr="00CC4FCD">
        <w:rPr>
          <w:b/>
          <w:bCs/>
          <w:color w:val="000000"/>
          <w:lang w:val="es-ES_tradnl"/>
        </w:rPr>
        <w:t>)</w:t>
      </w:r>
      <w:r w:rsidRPr="00CC4FCD">
        <w:rPr>
          <w:color w:val="000000"/>
          <w:lang w:val="es-ES_tradnl"/>
        </w:rPr>
        <w:t>. En consecuencia, las administraciones a las que se refieren los números</w:t>
      </w:r>
      <w:r w:rsidR="00EA1686"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650-5</w:t>
      </w:r>
      <w:r w:rsidRPr="00CC4FCD">
        <w:rPr>
          <w:rFonts w:ascii="Tms Rmn" w:hAnsi="Tms Rmn"/>
          <w:color w:val="000000"/>
          <w:sz w:val="12"/>
          <w:lang w:val="es-ES_tradnl"/>
        </w:rPr>
        <w:t> </w:t>
      </w:r>
      <w:r w:rsidRPr="00CC4FCD">
        <w:rPr>
          <w:color w:val="000000"/>
          <w:lang w:val="es-ES_tradnl"/>
        </w:rPr>
        <w:t xml:space="preserve">725 MHz) y </w:t>
      </w:r>
      <w:r w:rsidRPr="00CC4FCD">
        <w:rPr>
          <w:rStyle w:val="Artref"/>
          <w:b/>
          <w:bCs/>
          <w:color w:val="000000"/>
          <w:lang w:val="es-ES_tradnl"/>
        </w:rPr>
        <w:t>5.451</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725</w:t>
      </w:r>
      <w:r w:rsidR="00EA1686" w:rsidRPr="00CC4FCD">
        <w:rPr>
          <w:color w:val="000000"/>
          <w:lang w:val="es-ES_tradnl"/>
        </w:rPr>
        <w:t xml:space="preserve"> </w:t>
      </w:r>
      <w:r w:rsidRPr="00CC4FCD">
        <w:rPr>
          <w:color w:val="000000"/>
          <w:lang w:val="es-ES_tradnl"/>
        </w:rPr>
        <w:t>MHz) pueden implementar otras aplicaciones del servicio móvil, con excepción del servicio móvil aeronáutico, que no sean necesariamente los WAS, siempre que cumplan con las condiciones establecidas en el número</w:t>
      </w:r>
      <w:r w:rsidR="00EA1686" w:rsidRPr="00CC4FCD">
        <w:rPr>
          <w:color w:val="000000"/>
          <w:lang w:val="es-ES_tradnl"/>
        </w:rPr>
        <w:t xml:space="preserve"> </w:t>
      </w:r>
      <w:r w:rsidRPr="00CC4FCD">
        <w:rPr>
          <w:rStyle w:val="Artref"/>
          <w:b/>
          <w:bCs/>
          <w:color w:val="000000"/>
          <w:lang w:val="es-ES_tradnl"/>
        </w:rPr>
        <w:t>5.451</w:t>
      </w:r>
      <w:r w:rsidRPr="00CC4FCD">
        <w:rPr>
          <w:color w:val="000000"/>
          <w:lang w:val="es-ES_tradnl"/>
        </w:rPr>
        <w:t xml:space="preserve"> y los límites de potencia señalados en el Cuadro</w:t>
      </w:r>
      <w:r w:rsidR="00EA1686" w:rsidRPr="00CC4FCD">
        <w:rPr>
          <w:color w:val="000000"/>
          <w:lang w:val="es-ES_tradnl"/>
        </w:rPr>
        <w:t>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w:t>
      </w:r>
    </w:p>
    <w:p w14:paraId="7B176372" w14:textId="77777777" w:rsidR="000310FD" w:rsidRDefault="000310FD" w:rsidP="001816F1">
      <w:pPr>
        <w:spacing w:before="120"/>
        <w:rPr>
          <w:color w:val="000000"/>
          <w:lang w:val="es-ES_tradnl"/>
        </w:rPr>
      </w:pPr>
      <w:r>
        <w:rPr>
          <w:color w:val="000000"/>
          <w:lang w:val="es-ES_tradnl"/>
        </w:rPr>
        <w:br w:type="page"/>
      </w:r>
    </w:p>
    <w:p w14:paraId="3CF474E7" w14:textId="0B27CE8B" w:rsidR="00284A32" w:rsidRDefault="00284A32" w:rsidP="001816F1">
      <w:pPr>
        <w:spacing w:before="120"/>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Dado</w:t>
      </w:r>
      <w:proofErr w:type="gramEnd"/>
      <w:r w:rsidRPr="00CC4FCD">
        <w:rPr>
          <w:color w:val="000000"/>
          <w:lang w:val="es-ES_tradnl"/>
        </w:rPr>
        <w:t xml:space="preserve"> que, para la implementación de los WAS, se prevén densidades de despliegue elevadas, dichas opciones de implementación pueden atenderse adecuadamente mediante notificaciones en forma de estaciones típicas. La notificación de estaciones terrenas en el servicio móvil, con excepción del servicio móvil aeronáutico, en forma de estaciones típicas suele ser posible sin restricciones en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670</w:t>
      </w:r>
      <w:r w:rsidR="000310FD">
        <w:rPr>
          <w:color w:val="000000"/>
          <w:lang w:val="es-ES_tradnl"/>
        </w:rPr>
        <w:t> </w:t>
      </w:r>
      <w:r w:rsidRPr="00CC4FCD">
        <w:rPr>
          <w:color w:val="000000"/>
          <w:lang w:val="es-ES_tradnl"/>
        </w:rPr>
        <w:t>MHz en todos los países, y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en los países no mencionados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No obstante, la disposición número </w:t>
      </w:r>
      <w:r w:rsidRPr="00CC4FCD">
        <w:rPr>
          <w:rStyle w:val="Artref"/>
          <w:b/>
          <w:bCs/>
          <w:color w:val="000000"/>
          <w:lang w:val="es-ES_tradnl"/>
        </w:rPr>
        <w:t>11.21A</w:t>
      </w:r>
      <w:r w:rsidRPr="00CC4FCD">
        <w:rPr>
          <w:color w:val="000000"/>
          <w:lang w:val="es-ES_tradnl"/>
        </w:rPr>
        <w:t>, junto con el Cuadro</w:t>
      </w:r>
      <w:r w:rsidR="000310FD">
        <w:rPr>
          <w:color w:val="000000"/>
          <w:lang w:val="es-ES_tradnl"/>
        </w:rPr>
        <w:t> </w:t>
      </w:r>
      <w:r w:rsidRPr="00CC4FCD">
        <w:rPr>
          <w:b/>
          <w:bCs/>
          <w:lang w:val="es-ES_tradnl"/>
        </w:rPr>
        <w:t>21-2</w:t>
      </w:r>
      <w:r w:rsidRPr="00CC4FCD">
        <w:rPr>
          <w:color w:val="000000"/>
          <w:lang w:val="es-ES_tradnl"/>
        </w:rPr>
        <w:t>, no prevé la posibilidad de notificar estaciones terrenales del servicio móvil, salvo móvil aero</w:t>
      </w:r>
      <w:r w:rsidR="00EA1686" w:rsidRPr="00CC4FCD">
        <w:rPr>
          <w:color w:val="000000"/>
          <w:lang w:val="es-ES_tradnl"/>
        </w:rPr>
        <w:softHyphen/>
      </w:r>
      <w:r w:rsidRPr="00CC4FCD">
        <w:rPr>
          <w:color w:val="000000"/>
          <w:lang w:val="es-ES_tradnl"/>
        </w:rPr>
        <w:t>náutico, en forma de estaciones típicas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para los países indicados en el número </w:t>
      </w:r>
      <w:r w:rsidRPr="00CC4FCD">
        <w:rPr>
          <w:rStyle w:val="Artref"/>
          <w:b/>
          <w:bCs/>
          <w:color w:val="000000"/>
          <w:lang w:val="es-ES_tradnl"/>
        </w:rPr>
        <w:t>5.453</w:t>
      </w:r>
      <w:r w:rsidRPr="00CC4FCD">
        <w:rPr>
          <w:color w:val="000000"/>
          <w:lang w:val="es-ES_tradnl"/>
        </w:rPr>
        <w:t xml:space="preserve">. La aplicación estricta de estas disposiciones significaría que los países indicados en el número </w:t>
      </w:r>
      <w:r w:rsidRPr="00CC4FCD">
        <w:rPr>
          <w:rStyle w:val="Artref"/>
          <w:b/>
          <w:bCs/>
          <w:color w:val="000000"/>
          <w:lang w:val="es-ES_tradnl"/>
        </w:rPr>
        <w:t>5.453</w:t>
      </w:r>
      <w:r w:rsidRPr="00CC4FCD">
        <w:rPr>
          <w:color w:val="000000"/>
          <w:lang w:val="es-ES_tradnl"/>
        </w:rPr>
        <w:t xml:space="preserve"> no pueden notificar sus aplicaciones WAS en forma de esta</w:t>
      </w:r>
      <w:r w:rsidR="00E237E2" w:rsidRPr="00CC4FCD">
        <w:rPr>
          <w:color w:val="000000"/>
          <w:lang w:val="es-ES_tradnl"/>
        </w:rPr>
        <w:softHyphen/>
      </w:r>
      <w:r w:rsidRPr="00CC4FCD">
        <w:rPr>
          <w:color w:val="000000"/>
          <w:lang w:val="es-ES_tradnl"/>
        </w:rPr>
        <w:t>ciones típicas, aun cuando se ajusten a los límites de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1C42C2">
        <w:rPr>
          <w:b/>
          <w:bCs/>
          <w:color w:val="000000"/>
          <w:lang w:val="es-ES_tradnl"/>
        </w:rPr>
        <w:t>Rev. </w:t>
      </w:r>
      <w:r w:rsidRPr="00CC4FCD">
        <w:rPr>
          <w:b/>
          <w:bCs/>
          <w:color w:val="000000"/>
          <w:lang w:val="es-ES_tradnl"/>
        </w:rPr>
        <w:t>CMR</w:t>
      </w:r>
      <w:r w:rsidRPr="00CC4FCD">
        <w:rPr>
          <w:b/>
          <w:bCs/>
          <w:color w:val="000000"/>
          <w:lang w:val="es-ES_tradnl"/>
        </w:rPr>
        <w:noBreakHyphen/>
      </w:r>
      <w:r w:rsidR="001816F1">
        <w:rPr>
          <w:b/>
          <w:bCs/>
          <w:color w:val="000000"/>
          <w:lang w:val="es-ES_tradnl"/>
        </w:rPr>
        <w:t>1</w:t>
      </w:r>
      <w:r w:rsidR="001C42C2">
        <w:rPr>
          <w:b/>
          <w:bCs/>
          <w:color w:val="000000"/>
          <w:lang w:val="es-ES_tradnl"/>
        </w:rPr>
        <w:t>9</w:t>
      </w:r>
      <w:r w:rsidRPr="00CC4FCD">
        <w:rPr>
          <w:b/>
          <w:bCs/>
          <w:color w:val="000000"/>
          <w:lang w:val="es-ES_tradnl"/>
        </w:rPr>
        <w:t>)</w:t>
      </w:r>
      <w:r w:rsidRPr="00CC4FCD">
        <w:rPr>
          <w:color w:val="000000"/>
          <w:lang w:val="es-ES_tradnl"/>
        </w:rPr>
        <w:t>. La Junta llegó a la conclusión de que dicha interpretación estricta de todas las disposiciones pertinentes relativas a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para los países indicados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se traduciría en una carga innecesaria para las administraciones indicadas en el número </w:t>
      </w:r>
      <w:r w:rsidRPr="00CC4FCD">
        <w:rPr>
          <w:rStyle w:val="Artref"/>
          <w:b/>
          <w:bCs/>
          <w:color w:val="000000"/>
          <w:lang w:val="es-ES_tradnl"/>
        </w:rPr>
        <w:t>5.453</w:t>
      </w:r>
      <w:r w:rsidRPr="00CC4FCD">
        <w:rPr>
          <w:color w:val="000000"/>
          <w:lang w:val="es-ES_tradnl"/>
        </w:rPr>
        <w:t xml:space="preserve"> y para la Oficina. En consecuencia, la Junta encargó a la Oficina que acepte las notificaciones de estaciones del servicio móvil, salvo móvil aeronáutico, en forma de estaciones típicas que procedan de administraciones indicadas en el número </w:t>
      </w:r>
      <w:r w:rsidRPr="00CC4FCD">
        <w:rPr>
          <w:rStyle w:val="Artref"/>
          <w:b/>
          <w:bCs/>
          <w:color w:val="000000"/>
          <w:lang w:val="es-ES_tradnl"/>
        </w:rPr>
        <w:t>5.453</w:t>
      </w:r>
      <w:r w:rsidRPr="00CC4FCD">
        <w:rPr>
          <w:color w:val="000000"/>
          <w:lang w:val="es-ES_tradnl"/>
        </w:rPr>
        <w:t>, siempre que el valor máximo de la p.i.r.e. no rebase 1</w:t>
      </w:r>
      <w:r w:rsidR="00EA1686" w:rsidRPr="00CC4FCD">
        <w:rPr>
          <w:color w:val="000000"/>
          <w:lang w:val="es-ES_tradnl"/>
        </w:rPr>
        <w:t xml:space="preserve"> </w:t>
      </w:r>
      <w:r w:rsidRPr="00CC4FCD">
        <w:rPr>
          <w:color w:val="000000"/>
          <w:lang w:val="es-ES_tradnl"/>
        </w:rPr>
        <w:t>W, lo que implica que se considera que cada notificación de estación típica aceptable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 MHz (con una p.i.r.e. inferior o igual a 1 W) forma parte de un WAS.</w:t>
      </w:r>
    </w:p>
    <w:p w14:paraId="3680C569" w14:textId="2072E2F5" w:rsidR="00FA14F8" w:rsidRPr="00FD0CF7" w:rsidRDefault="00FA14F8" w:rsidP="00350077">
      <w:pPr>
        <w:pStyle w:val="Heading8"/>
        <w:rPr>
          <w:lang w:val="es-ES"/>
        </w:rPr>
      </w:pPr>
      <w:r w:rsidRPr="00CC4FCD">
        <w:rPr>
          <w:color w:val="000000"/>
          <w:lang w:val="es-ES_tradnl"/>
        </w:rPr>
        <w:t>5.4</w:t>
      </w:r>
      <w:r>
        <w:rPr>
          <w:color w:val="000000"/>
          <w:lang w:val="es-ES_tradnl"/>
        </w:rPr>
        <w:t>58</w:t>
      </w:r>
    </w:p>
    <w:p w14:paraId="05222903" w14:textId="77777777" w:rsidR="00FA14F8" w:rsidRPr="00CC4FCD" w:rsidRDefault="00FA14F8" w:rsidP="00FA14F8">
      <w:pPr>
        <w:rPr>
          <w:color w:val="000000"/>
          <w:lang w:val="es-ES_tradnl"/>
        </w:rPr>
      </w:pPr>
      <w:r w:rsidRPr="00FA14F8">
        <w:rPr>
          <w:color w:val="000000"/>
          <w:lang w:val="es-ES_tradnl"/>
        </w:rPr>
        <w:t>No existe ninguna atribución a los servicios de exploración de la Tierra por satélite (pasivo) y de investigación espacial (pasivo) en las bandas de frecuencias 6 425-7 075 MHz y 7 075</w:t>
      </w:r>
      <w:r w:rsidRPr="00FA14F8">
        <w:rPr>
          <w:color w:val="000000"/>
          <w:lang w:val="es-ES_tradnl"/>
        </w:rPr>
        <w:noBreakHyphen/>
        <w:t>7 250 MHz. La Oficina considerará que la notificación de asignaciones de frecuencias a los servicios de exploración de la Tierra por satélite (pasivo) y de investigación espacial (pasivo) en las bandas 6 425-7 075 MHz y 7 075-7 250 MHz no está en conformidad con el Cuadro de atribución de bandas de frecuencias.</w:t>
      </w:r>
    </w:p>
    <w:p w14:paraId="0A8BFFBB" w14:textId="77777777" w:rsidR="000A21A1" w:rsidRPr="00CC4FCD" w:rsidRDefault="000A21A1">
      <w:pPr>
        <w:pStyle w:val="Heading8"/>
        <w:rPr>
          <w:color w:val="000000"/>
          <w:lang w:val="es-ES_tradnl"/>
        </w:rPr>
      </w:pPr>
      <w:r w:rsidRPr="00CC4FCD">
        <w:rPr>
          <w:color w:val="000000"/>
          <w:lang w:val="es-ES_tradnl"/>
        </w:rPr>
        <w:t>5.484</w:t>
      </w:r>
    </w:p>
    <w:p w14:paraId="37DE5FC8" w14:textId="77777777" w:rsidR="00284A32" w:rsidRPr="00CC4FCD" w:rsidRDefault="00284A32" w:rsidP="00284A32">
      <w:pPr>
        <w:rPr>
          <w:color w:val="000000"/>
          <w:lang w:val="es-ES_tradnl"/>
        </w:rPr>
      </w:pPr>
      <w:r w:rsidRPr="00CC4FCD">
        <w:rPr>
          <w:color w:val="000000"/>
          <w:lang w:val="es-ES_tradnl"/>
        </w:rPr>
        <w:t>Véanse los comentarios en las Reglas de Procedimiento relativas al número </w:t>
      </w:r>
      <w:r w:rsidRPr="00CC4FCD">
        <w:rPr>
          <w:rStyle w:val="Artref"/>
          <w:b/>
          <w:bCs/>
          <w:color w:val="000000"/>
          <w:lang w:val="es-ES_tradnl"/>
        </w:rPr>
        <w:t>5.441</w:t>
      </w:r>
      <w:r w:rsidRPr="00CC4FCD">
        <w:rPr>
          <w:color w:val="000000"/>
          <w:lang w:val="es-ES_tradnl"/>
        </w:rPr>
        <w:t>.</w:t>
      </w:r>
    </w:p>
    <w:p w14:paraId="690D53FF" w14:textId="77777777" w:rsidR="000A21A1" w:rsidRPr="00CC4FCD" w:rsidRDefault="000A21A1">
      <w:pPr>
        <w:pStyle w:val="Heading8"/>
        <w:rPr>
          <w:color w:val="000000"/>
          <w:lang w:val="es-ES_tradnl"/>
        </w:rPr>
      </w:pPr>
      <w:r w:rsidRPr="00CC4FCD">
        <w:rPr>
          <w:color w:val="000000"/>
          <w:lang w:val="es-ES_tradnl"/>
        </w:rPr>
        <w:t>5.485</w:t>
      </w:r>
    </w:p>
    <w:p w14:paraId="3F5C3D65" w14:textId="77777777" w:rsidR="00284A32" w:rsidRPr="00CC4FCD" w:rsidRDefault="00284A32" w:rsidP="00284A32">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El</w:t>
      </w:r>
      <w:proofErr w:type="gramEnd"/>
      <w:r w:rsidRPr="00CC4FCD">
        <w:rPr>
          <w:color w:val="000000"/>
          <w:lang w:val="es-ES_tradnl"/>
        </w:rPr>
        <w:t xml:space="preserve"> texto de esta disposición ha suscitado la siguiente cuestión fundamental: «¿Está atribuida la banda 11,7-12,2 GHz en la Región 2 al servicio de radiodifusión por satélite?». La Junta ha tenido en cuenta lo siguiente:</w:t>
      </w:r>
    </w:p>
    <w:p w14:paraId="50AC2AC6" w14:textId="3976E830" w:rsidR="00284A32"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que la disposición no se titula </w:t>
      </w:r>
      <w:r w:rsidRPr="00731CA9">
        <w:rPr>
          <w:i/>
          <w:iCs/>
          <w:color w:val="000000"/>
          <w:lang w:val="es-ES_tradnl"/>
        </w:rPr>
        <w:t>«atribución adicional»</w:t>
      </w:r>
      <w:r w:rsidRPr="00CC4FCD">
        <w:rPr>
          <w:color w:val="000000"/>
          <w:lang w:val="es-ES_tradnl"/>
        </w:rPr>
        <w:t xml:space="preserve">. Algunas disposiciones no llevan tal título y la Junta las considera atribuciones </w:t>
      </w:r>
      <w:proofErr w:type="gramStart"/>
      <w:r w:rsidRPr="00CC4FCD">
        <w:rPr>
          <w:color w:val="000000"/>
          <w:lang w:val="es-ES_tradnl"/>
        </w:rPr>
        <w:t>adicionales</w:t>
      </w:r>
      <w:proofErr w:type="gramEnd"/>
      <w:r w:rsidRPr="00CC4FCD">
        <w:rPr>
          <w:color w:val="000000"/>
          <w:lang w:val="es-ES_tradnl"/>
        </w:rPr>
        <w:t xml:space="preserve"> pero en este caso no está claro que el propósito fuese permitir una atribución adicional;</w:t>
      </w:r>
    </w:p>
    <w:p w14:paraId="0CFB62DC" w14:textId="77777777" w:rsidR="00BA5AA9" w:rsidRDefault="00BA5AA9" w:rsidP="00284A32">
      <w:pPr>
        <w:pStyle w:val="enumlev1"/>
        <w:rPr>
          <w:lang w:val="es-ES"/>
        </w:rPr>
        <w:sectPr w:rsidR="00BA5AA9" w:rsidSect="005D4085">
          <w:headerReference w:type="default" r:id="rId12"/>
          <w:footnotePr>
            <w:pos w:val="beneathText"/>
            <w:numFmt w:val="chicago"/>
          </w:footnotePr>
          <w:pgSz w:w="11907" w:h="16840" w:code="9"/>
          <w:pgMar w:top="1701" w:right="851" w:bottom="907" w:left="1985" w:header="720" w:footer="482" w:gutter="0"/>
          <w:cols w:space="720"/>
          <w:vAlign w:val="both"/>
        </w:sectPr>
      </w:pPr>
    </w:p>
    <w:p w14:paraId="77F1DB06" w14:textId="7A2B2B57" w:rsidR="00284A32" w:rsidRPr="00CC4FCD" w:rsidRDefault="00284A32" w:rsidP="00180D7D">
      <w:pPr>
        <w:pStyle w:val="enumlev1"/>
        <w:rPr>
          <w:color w:val="000000"/>
          <w:lang w:val="es-ES_tradnl"/>
        </w:rPr>
      </w:pPr>
      <w:r w:rsidRPr="00CC4FCD">
        <w:rPr>
          <w:i/>
          <w:color w:val="000000"/>
          <w:lang w:val="es-ES_tradnl"/>
        </w:rPr>
        <w:lastRenderedPageBreak/>
        <w:t>b)</w:t>
      </w:r>
      <w:r w:rsidRPr="00CC4FCD">
        <w:rPr>
          <w:color w:val="000000"/>
          <w:lang w:val="es-ES_tradnl"/>
        </w:rPr>
        <w:tab/>
        <w:t xml:space="preserve">en la disposición se dice que </w:t>
      </w:r>
      <w:r w:rsidRPr="00FC3BC6">
        <w:rPr>
          <w:i/>
          <w:iCs/>
          <w:color w:val="000000"/>
          <w:lang w:val="es-ES_tradnl"/>
        </w:rPr>
        <w:t>«los transpondedores de estaciones espaciales del servicio fijo por satélite pueden ser utilizados adicionalmente</w:t>
      </w:r>
      <w:r w:rsidR="000310FD" w:rsidRPr="00FC3BC6">
        <w:rPr>
          <w:i/>
          <w:iCs/>
          <w:color w:val="000000"/>
          <w:lang w:val="es-ES_tradnl"/>
        </w:rPr>
        <w:t> </w:t>
      </w:r>
      <w:r w:rsidRPr="00FC3BC6">
        <w:rPr>
          <w:i/>
          <w:iCs/>
          <w:color w:val="000000"/>
          <w:lang w:val="es-ES_tradnl"/>
        </w:rPr>
        <w:t>... para transmisiones del servicio de radiodifusión por satélite»</w:t>
      </w:r>
      <w:r w:rsidRPr="00CC4FCD">
        <w:rPr>
          <w:color w:val="000000"/>
          <w:lang w:val="es-ES_tradnl"/>
        </w:rPr>
        <w:t xml:space="preserve"> y la utilización de la palabra </w:t>
      </w:r>
      <w:r w:rsidRPr="00FC3BC6">
        <w:rPr>
          <w:i/>
          <w:iCs/>
          <w:color w:val="000000"/>
          <w:lang w:val="es-ES_tradnl"/>
        </w:rPr>
        <w:t>«adicionalmente»</w:t>
      </w:r>
      <w:r w:rsidRPr="00CC4FCD">
        <w:rPr>
          <w:color w:val="000000"/>
          <w:lang w:val="es-ES_tradnl"/>
        </w:rPr>
        <w:t xml:space="preserve"> junto con la última frase en la que se dice </w:t>
      </w:r>
      <w:r w:rsidRPr="00FC3BC6">
        <w:rPr>
          <w:i/>
          <w:iCs/>
          <w:color w:val="000000"/>
          <w:lang w:val="es-ES_tradnl"/>
        </w:rPr>
        <w:t>«esta banda será utilizada principalmente por el servicio fijo por satélite»</w:t>
      </w:r>
      <w:r w:rsidRPr="00CC4FCD">
        <w:rPr>
          <w:color w:val="000000"/>
          <w:lang w:val="es-ES_tradnl"/>
        </w:rPr>
        <w:t xml:space="preserve"> conduce a interpretar que la utilización en el caso de la radiodifusión por satélite no tiene igual naturaleza que tendría la utilización de una banda determinada por un servicio al que esté atribuida la banda;</w:t>
      </w:r>
    </w:p>
    <w:p w14:paraId="146C6101" w14:textId="28EC9305" w:rsidR="00284A32" w:rsidRPr="00BA5AA9" w:rsidRDefault="00284A32" w:rsidP="005A7D46">
      <w:pPr>
        <w:pStyle w:val="enumlev1"/>
        <w:rPr>
          <w:color w:val="000000"/>
          <w:lang w:val="es-ES"/>
        </w:rPr>
      </w:pPr>
      <w:r w:rsidRPr="00CC4FCD">
        <w:rPr>
          <w:i/>
          <w:color w:val="000000"/>
          <w:lang w:val="es-ES_tradnl"/>
        </w:rPr>
        <w:t>c)</w:t>
      </w:r>
      <w:r w:rsidRPr="00CC4FCD">
        <w:rPr>
          <w:color w:val="000000"/>
          <w:lang w:val="es-ES_tradnl"/>
        </w:rPr>
        <w:tab/>
        <w:t xml:space="preserve">la disposición se refiere a transpondedores, que se han de considerar como estaciones transmisoras. En vista de que los procedimientos del Artículo </w:t>
      </w:r>
      <w:r w:rsidRPr="00CC4FCD">
        <w:rPr>
          <w:rStyle w:val="Artref"/>
          <w:b/>
          <w:bCs/>
          <w:color w:val="000000"/>
          <w:lang w:val="es-ES_tradnl"/>
        </w:rPr>
        <w:t>9</w:t>
      </w:r>
      <w:r w:rsidR="003D00AB">
        <w:rPr>
          <w:rStyle w:val="Artref"/>
          <w:b/>
          <w:bCs/>
          <w:color w:val="000000"/>
          <w:lang w:val="es-ES_tradnl"/>
        </w:rPr>
        <w:t xml:space="preserve"> </w:t>
      </w:r>
      <w:r w:rsidRPr="00CC4FCD">
        <w:rPr>
          <w:color w:val="000000"/>
          <w:lang w:val="es-ES_tradnl"/>
        </w:rPr>
        <w:t>se aplican a cada asignación, cada transpondedor se examinará separadamente de los demás. Por consiguiente, la disposición se puede interpretar de cualquiera de las dos maneras siguientes:</w:t>
      </w:r>
      <w:r w:rsidR="00BA5AA9" w:rsidRPr="00BA5AA9">
        <w:rPr>
          <w:color w:val="000000"/>
          <w:sz w:val="16"/>
          <w:szCs w:val="16"/>
          <w:lang w:val="es-ES"/>
        </w:rPr>
        <w:t>  </w:t>
      </w:r>
      <w:proofErr w:type="gramStart"/>
      <w:r w:rsidR="00BA5AA9" w:rsidRPr="00BA5AA9">
        <w:rPr>
          <w:color w:val="000000"/>
          <w:sz w:val="16"/>
          <w:szCs w:val="16"/>
          <w:lang w:val="es-ES"/>
        </w:rPr>
        <w:t>   (</w:t>
      </w:r>
      <w:proofErr w:type="gramEnd"/>
      <w:r w:rsidR="00BA5AA9" w:rsidRPr="00BA5AA9">
        <w:rPr>
          <w:color w:val="000000"/>
          <w:sz w:val="16"/>
          <w:szCs w:val="16"/>
          <w:lang w:val="es-ES"/>
        </w:rPr>
        <w:t>MOD RRB21/479)</w:t>
      </w:r>
    </w:p>
    <w:p w14:paraId="1CD22587" w14:textId="77777777" w:rsidR="00284A32" w:rsidRPr="00CC4FCD" w:rsidRDefault="00284A32" w:rsidP="009E216C">
      <w:pPr>
        <w:pStyle w:val="enumlev2"/>
        <w:rPr>
          <w:color w:val="000000"/>
          <w:lang w:val="es-ES_tradnl"/>
        </w:rPr>
      </w:pPr>
      <w:r w:rsidRPr="00CC4FCD">
        <w:rPr>
          <w:color w:val="000000"/>
          <w:lang w:val="es-ES_tradnl"/>
        </w:rPr>
        <w:t>–</w:t>
      </w:r>
      <w:r w:rsidRPr="00CC4FCD">
        <w:rPr>
          <w:color w:val="000000"/>
          <w:lang w:val="es-ES_tradnl"/>
        </w:rPr>
        <w:tab/>
        <w:t>la primera interpretación consiste en considerar que algunos transpondedores se utilizarán para el SFS y otros para el SRS, lo que equivale a una compartición de la</w:t>
      </w:r>
      <w:r w:rsidR="00BA320D">
        <w:rPr>
          <w:color w:val="000000"/>
          <w:lang w:val="es-ES_tradnl"/>
        </w:rPr>
        <w:t xml:space="preserve"> </w:t>
      </w:r>
      <w:r w:rsidRPr="00CC4FCD">
        <w:rPr>
          <w:color w:val="000000"/>
          <w:lang w:val="es-ES_tradnl"/>
        </w:rPr>
        <w:t xml:space="preserve">banda entre dos servicios y se plantea la siguiente duda sobre la palabra </w:t>
      </w:r>
      <w:r w:rsidRPr="00FC3BC6">
        <w:rPr>
          <w:i/>
          <w:iCs/>
          <w:color w:val="000000"/>
          <w:lang w:val="es-ES_tradnl"/>
        </w:rPr>
        <w:t>«principalmente»</w:t>
      </w:r>
      <w:r w:rsidRPr="00CC4FCD">
        <w:rPr>
          <w:color w:val="000000"/>
          <w:lang w:val="es-ES_tradnl"/>
        </w:rPr>
        <w:t>: ¿cuántos transpondedores se admitirán para cada uno de esos dos servicios?</w:t>
      </w:r>
    </w:p>
    <w:p w14:paraId="44F66E6E" w14:textId="473C9EC6" w:rsidR="001D044B" w:rsidRPr="00BA5AA9" w:rsidRDefault="001D044B" w:rsidP="005A7D46">
      <w:pPr>
        <w:pStyle w:val="enumlev2"/>
        <w:rPr>
          <w:color w:val="000000"/>
          <w:lang w:val="es-ES"/>
        </w:rPr>
      </w:pPr>
      <w:r w:rsidRPr="00CC4FCD">
        <w:rPr>
          <w:color w:val="000000"/>
          <w:lang w:val="es-ES_tradnl"/>
        </w:rPr>
        <w:t>–</w:t>
      </w:r>
      <w:r w:rsidRPr="00CC4FCD">
        <w:rPr>
          <w:color w:val="000000"/>
          <w:lang w:val="es-ES_tradnl"/>
        </w:rPr>
        <w:tab/>
        <w:t>la segunda interpretación consiste en considerar que un transpondedor determinado del SFS se puede utilizar durante un periodo de tiempo determinado para radio</w:t>
      </w:r>
      <w:r w:rsidR="00E237E2" w:rsidRPr="00CC4FCD">
        <w:rPr>
          <w:color w:val="000000"/>
          <w:lang w:val="es-ES_tradnl"/>
        </w:rPr>
        <w:softHyphen/>
      </w:r>
      <w:r w:rsidRPr="00CC4FCD">
        <w:rPr>
          <w:color w:val="000000"/>
          <w:lang w:val="es-ES_tradnl"/>
        </w:rPr>
        <w:t xml:space="preserve">difusión (no hay que confundir este uso con el del SFS para transporte de una </w:t>
      </w:r>
      <w:r w:rsidR="003D1303">
        <w:rPr>
          <w:color w:val="000000"/>
          <w:lang w:val="es-ES_tradnl"/>
        </w:rPr>
        <w:br/>
      </w:r>
      <w:r w:rsidRPr="00CC4FCD">
        <w:rPr>
          <w:color w:val="000000"/>
          <w:lang w:val="es-ES_tradnl"/>
        </w:rPr>
        <w:t xml:space="preserve">señal de imagen entre dos puntos fijos). Si la disposición se ha de considerar en </w:t>
      </w:r>
      <w:r w:rsidR="003D1303">
        <w:rPr>
          <w:color w:val="000000"/>
          <w:lang w:val="es-ES_tradnl"/>
        </w:rPr>
        <w:br/>
      </w:r>
      <w:r w:rsidRPr="00CC4FCD">
        <w:rPr>
          <w:color w:val="000000"/>
          <w:lang w:val="es-ES_tradnl"/>
        </w:rPr>
        <w:t>este caso una atribución adicional, se plantea una duda en cuanto al procedimiento</w:t>
      </w:r>
      <w:r w:rsidR="003D1303">
        <w:rPr>
          <w:color w:val="000000"/>
          <w:lang w:val="es-ES_tradnl"/>
        </w:rPr>
        <w:t> </w:t>
      </w:r>
      <w:r w:rsidRPr="00CC4FCD">
        <w:rPr>
          <w:color w:val="000000"/>
          <w:lang w:val="es-ES_tradnl"/>
        </w:rPr>
        <w:t>que se debe aplicar: ¿debería</w:t>
      </w:r>
      <w:r w:rsidR="003D00AB">
        <w:rPr>
          <w:color w:val="000000"/>
          <w:lang w:val="es-ES_tradnl"/>
        </w:rPr>
        <w:t>n</w:t>
      </w:r>
      <w:r w:rsidRPr="00CC4FCD">
        <w:rPr>
          <w:color w:val="000000"/>
          <w:lang w:val="es-ES_tradnl"/>
        </w:rPr>
        <w:t xml:space="preserve"> ser </w:t>
      </w:r>
      <w:r w:rsidR="003D00AB">
        <w:rPr>
          <w:color w:val="000000"/>
          <w:lang w:val="es-ES_tradnl"/>
        </w:rPr>
        <w:t>las disposiciones pertinentes d</w:t>
      </w:r>
      <w:r w:rsidRPr="00CC4FCD">
        <w:rPr>
          <w:color w:val="000000"/>
          <w:lang w:val="es-ES_tradnl"/>
        </w:rPr>
        <w:t>el los Artículo</w:t>
      </w:r>
      <w:r w:rsidR="00796849">
        <w:rPr>
          <w:color w:val="000000"/>
          <w:lang w:val="es-ES_tradnl"/>
        </w:rPr>
        <w:t> </w:t>
      </w:r>
      <w:r w:rsidRPr="00CC4FCD">
        <w:rPr>
          <w:rStyle w:val="Artref"/>
          <w:b/>
          <w:bCs/>
          <w:color w:val="000000"/>
          <w:lang w:val="es-ES_tradnl"/>
        </w:rPr>
        <w:t>9</w:t>
      </w:r>
      <w:r w:rsidR="003D00AB">
        <w:rPr>
          <w:rStyle w:val="Artref"/>
          <w:b/>
          <w:bCs/>
          <w:color w:val="000000"/>
          <w:lang w:val="es-ES_tradnl"/>
        </w:rPr>
        <w:t xml:space="preserve"> </w:t>
      </w:r>
      <w:r w:rsidR="003D00AB">
        <w:rPr>
          <w:rStyle w:val="Artref"/>
          <w:color w:val="000000"/>
          <w:lang w:val="es-ES_tradnl"/>
        </w:rPr>
        <w:t>para el SFS o para el SRS</w:t>
      </w:r>
      <w:r w:rsidRPr="00CC4FCD">
        <w:rPr>
          <w:color w:val="000000"/>
          <w:lang w:val="es-ES_tradnl"/>
        </w:rPr>
        <w:t>?</w:t>
      </w:r>
      <w:r w:rsidR="00BA5AA9" w:rsidRPr="00BA5AA9">
        <w:rPr>
          <w:color w:val="000000"/>
          <w:lang w:val="es-ES"/>
        </w:rPr>
        <w:t xml:space="preserve"> </w:t>
      </w:r>
      <w:r w:rsidR="00BA5AA9" w:rsidRPr="00BA5AA9">
        <w:rPr>
          <w:color w:val="000000"/>
          <w:sz w:val="16"/>
          <w:szCs w:val="16"/>
          <w:lang w:val="es-ES"/>
        </w:rPr>
        <w:t>     (MOD RRB21/479)</w:t>
      </w:r>
    </w:p>
    <w:p w14:paraId="308E598D" w14:textId="3E962AEB" w:rsidR="001D044B" w:rsidRDefault="001D044B" w:rsidP="0099416B">
      <w:pPr>
        <w:spacing w:before="120"/>
        <w:rPr>
          <w:color w:val="000000"/>
          <w:sz w:val="16"/>
          <w:szCs w:val="16"/>
          <w:lang w:val="es-ES"/>
        </w:rPr>
      </w:pPr>
      <w:r w:rsidRPr="00CC4FCD">
        <w:rPr>
          <w:color w:val="000000"/>
          <w:lang w:val="es-ES_tradnl"/>
        </w:rPr>
        <w:t>2</w:t>
      </w:r>
      <w:r w:rsidRPr="00CC4FCD">
        <w:rPr>
          <w:color w:val="000000"/>
          <w:lang w:val="es-ES_tradnl"/>
        </w:rPr>
        <w:tab/>
      </w:r>
      <w:proofErr w:type="gramStart"/>
      <w:r w:rsidRPr="00CC4FCD">
        <w:rPr>
          <w:color w:val="000000"/>
          <w:lang w:val="es-ES_tradnl"/>
        </w:rPr>
        <w:t>Teniendo</w:t>
      </w:r>
      <w:proofErr w:type="gramEnd"/>
      <w:r w:rsidRPr="00CC4FCD">
        <w:rPr>
          <w:color w:val="000000"/>
          <w:lang w:val="es-ES_tradnl"/>
        </w:rPr>
        <w:t xml:space="preserve"> en cuenta estos comentarios, la Junta ha llegado a la conclusión de que la banda 11,7-12,2</w:t>
      </w:r>
      <w:r w:rsidR="000310FD">
        <w:rPr>
          <w:color w:val="000000"/>
          <w:lang w:val="es-ES_tradnl"/>
        </w:rPr>
        <w:t> </w:t>
      </w:r>
      <w:r w:rsidRPr="00CC4FCD">
        <w:rPr>
          <w:color w:val="000000"/>
          <w:lang w:val="es-ES_tradnl"/>
        </w:rPr>
        <w:t>GHz no está atribuida en la Región 2 al servicio de radiodifusión por satélite. Los transpondedores del servicio fijo por satélite que se utilicen para fines de radio</w:t>
      </w:r>
      <w:r w:rsidRPr="00CC4FCD">
        <w:rPr>
          <w:color w:val="000000"/>
          <w:lang w:val="es-ES_tradnl"/>
        </w:rPr>
        <w:softHyphen/>
        <w:t>difusión por satélite se tramitarán de conformidad con l</w:t>
      </w:r>
      <w:r w:rsidR="003D00AB">
        <w:rPr>
          <w:color w:val="000000"/>
          <w:lang w:val="es-ES_tradnl"/>
        </w:rPr>
        <w:t>a</w:t>
      </w:r>
      <w:r w:rsidRPr="00CC4FCD">
        <w:rPr>
          <w:color w:val="000000"/>
          <w:lang w:val="es-ES_tradnl"/>
        </w:rPr>
        <w:t xml:space="preserve">s </w:t>
      </w:r>
      <w:r w:rsidR="003D00AB">
        <w:rPr>
          <w:color w:val="000000"/>
          <w:lang w:val="es-ES_tradnl"/>
        </w:rPr>
        <w:t xml:space="preserve">disposiciones pertinentes del </w:t>
      </w:r>
      <w:r w:rsidRPr="00CC4FCD">
        <w:rPr>
          <w:color w:val="000000"/>
          <w:lang w:val="es-ES_tradnl"/>
        </w:rPr>
        <w:t xml:space="preserve">Artículo </w:t>
      </w:r>
      <w:r w:rsidRPr="00CC4FCD">
        <w:rPr>
          <w:rStyle w:val="Artref"/>
          <w:b/>
          <w:bCs/>
          <w:color w:val="000000"/>
          <w:lang w:val="es-ES_tradnl"/>
        </w:rPr>
        <w:t>9</w:t>
      </w:r>
      <w:r w:rsidRPr="00CC4FCD">
        <w:rPr>
          <w:color w:val="000000"/>
          <w:lang w:val="es-ES_tradnl"/>
        </w:rPr>
        <w:t xml:space="preserve"> </w:t>
      </w:r>
      <w:r w:rsidR="003D00AB">
        <w:rPr>
          <w:color w:val="000000"/>
          <w:lang w:val="es-ES_tradnl"/>
        </w:rPr>
        <w:t xml:space="preserve">para el SFS </w:t>
      </w:r>
      <w:r w:rsidRPr="00CC4FCD">
        <w:rPr>
          <w:color w:val="000000"/>
          <w:lang w:val="es-ES_tradnl"/>
        </w:rPr>
        <w:t>(y el Apéndice </w:t>
      </w:r>
      <w:r w:rsidRPr="00CC4FCD">
        <w:rPr>
          <w:rStyle w:val="Appref"/>
          <w:b/>
          <w:bCs/>
          <w:color w:val="000000"/>
          <w:lang w:val="es-ES_tradnl"/>
        </w:rPr>
        <w:t>30</w:t>
      </w:r>
      <w:r w:rsidRPr="00CC4FCD">
        <w:rPr>
          <w:color w:val="000000"/>
          <w:lang w:val="es-ES_tradnl"/>
        </w:rPr>
        <w:t xml:space="preserve"> en caso de que se necesite definir la compartición entre Regiones). Cuando este uso esté indicado en la notificación, la Oficina entenderá que la coordinación de la red se efectuó sobre la base de que en el periodo durante el cual el transpondedor se utiliza para radiodifusión, la p.i.r.e. no excederá de la p.i.r.e. notificada para el servicio fijo por satélite. Como el servicio fijo por satélite utiliza una p.i.r.e. relativamente baja, la Oficina considerará el valor de 53 dBW como un límite del que no se debe exceder.</w:t>
      </w:r>
      <w:r w:rsidR="00BA5AA9" w:rsidRPr="00BA5AA9">
        <w:rPr>
          <w:color w:val="000000"/>
          <w:sz w:val="16"/>
          <w:szCs w:val="16"/>
          <w:lang w:val="es-ES"/>
        </w:rPr>
        <w:t>     (MOD RRB21/479)</w:t>
      </w:r>
    </w:p>
    <w:p w14:paraId="21F95FA6" w14:textId="77777777" w:rsidR="00471ECF" w:rsidRPr="00BA5AA9" w:rsidRDefault="00471ECF" w:rsidP="0099416B">
      <w:pPr>
        <w:spacing w:before="120"/>
        <w:rPr>
          <w:color w:val="000000"/>
          <w:lang w:val="es-ES"/>
        </w:rPr>
      </w:pPr>
    </w:p>
    <w:p w14:paraId="2B8E93A6" w14:textId="77777777" w:rsidR="00BA5AA9" w:rsidRDefault="00BA5AA9" w:rsidP="0099416B">
      <w:pPr>
        <w:spacing w:before="120"/>
        <w:rPr>
          <w:color w:val="000000"/>
          <w:lang w:val="es-ES_tradnl"/>
        </w:rPr>
        <w:sectPr w:rsidR="00BA5AA9" w:rsidSect="005D4085">
          <w:headerReference w:type="even" r:id="rId13"/>
          <w:footerReference w:type="even" r:id="rId14"/>
          <w:footnotePr>
            <w:pos w:val="beneathText"/>
            <w:numFmt w:val="chicago"/>
          </w:footnotePr>
          <w:pgSz w:w="11907" w:h="16840" w:code="9"/>
          <w:pgMar w:top="1701" w:right="851" w:bottom="907" w:left="1985" w:header="720" w:footer="482" w:gutter="0"/>
          <w:cols w:space="720"/>
          <w:vAlign w:val="both"/>
        </w:sectPr>
      </w:pPr>
    </w:p>
    <w:p w14:paraId="600E37C9" w14:textId="77777777" w:rsidR="000A21A1" w:rsidRPr="00CC4FCD" w:rsidRDefault="000A21A1" w:rsidP="007D55F8">
      <w:pPr>
        <w:pStyle w:val="Heading8"/>
        <w:spacing w:before="240"/>
        <w:rPr>
          <w:color w:val="000000"/>
          <w:lang w:val="es-ES_tradnl"/>
        </w:rPr>
      </w:pPr>
      <w:r w:rsidRPr="00CC4FCD">
        <w:rPr>
          <w:color w:val="000000"/>
          <w:lang w:val="es-ES_tradnl"/>
        </w:rPr>
        <w:lastRenderedPageBreak/>
        <w:t>5.488</w:t>
      </w:r>
    </w:p>
    <w:p w14:paraId="1C7EF163" w14:textId="6C9416DF" w:rsidR="001D044B" w:rsidRPr="00CC4FCD" w:rsidRDefault="001D044B" w:rsidP="0037172A">
      <w:pPr>
        <w:pStyle w:val="Headingb0"/>
        <w:spacing w:before="120"/>
        <w:jc w:val="both"/>
        <w:rPr>
          <w:color w:val="000000"/>
          <w:lang w:val="es-ES_tradnl"/>
        </w:rPr>
      </w:pPr>
      <w:r w:rsidRPr="00CC4FCD">
        <w:rPr>
          <w:color w:val="000000"/>
          <w:lang w:val="es-ES_tradnl"/>
        </w:rPr>
        <w:t>Aplicación de los umbrales de coordinación de la densidad de flujo de potencia (</w:t>
      </w:r>
      <w:r w:rsidR="005A7D46" w:rsidRPr="00CC4FCD">
        <w:rPr>
          <w:color w:val="000000"/>
          <w:lang w:val="es-ES_tradnl"/>
        </w:rPr>
        <w:t>dfp</w:t>
      </w:r>
      <w:r w:rsidRPr="00CC4FCD">
        <w:rPr>
          <w:color w:val="000000"/>
          <w:lang w:val="es-ES_tradnl"/>
        </w:rPr>
        <w:t>) del número</w:t>
      </w:r>
      <w:r w:rsidR="000310FD">
        <w:rPr>
          <w:color w:val="000000"/>
          <w:lang w:val="es-ES_tradnl"/>
        </w:rPr>
        <w:t> </w:t>
      </w:r>
      <w:r w:rsidRPr="00CC4FCD">
        <w:rPr>
          <w:color w:val="000000"/>
          <w:lang w:val="es-ES_tradnl"/>
        </w:rPr>
        <w:t>9.14 (SFS OSG de la Región</w:t>
      </w:r>
      <w:r w:rsidR="000310FD">
        <w:rPr>
          <w:color w:val="000000"/>
          <w:lang w:val="es-ES_tradnl"/>
        </w:rPr>
        <w:t> </w:t>
      </w:r>
      <w:r w:rsidRPr="00CC4FCD">
        <w:rPr>
          <w:color w:val="000000"/>
          <w:lang w:val="es-ES_tradnl"/>
        </w:rPr>
        <w:t>2 en la banda 11,7-12,2</w:t>
      </w:r>
      <w:r w:rsidR="000310FD">
        <w:rPr>
          <w:color w:val="000000"/>
          <w:lang w:val="es-ES_tradnl"/>
        </w:rPr>
        <w:t> </w:t>
      </w:r>
      <w:r w:rsidRPr="00CC4FCD">
        <w:rPr>
          <w:color w:val="000000"/>
          <w:lang w:val="es-ES_tradnl"/>
        </w:rPr>
        <w:t>GHz) a los haces orientables</w:t>
      </w:r>
    </w:p>
    <w:p w14:paraId="4CFF34DC" w14:textId="77777777" w:rsidR="001D044B" w:rsidRPr="00CC4FCD" w:rsidRDefault="001D044B" w:rsidP="0099416B">
      <w:pPr>
        <w:spacing w:before="120"/>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utilización de haces orientables se está generalizando. Los valores de la </w:t>
      </w:r>
      <w:r w:rsidR="005A7D46" w:rsidRPr="00CC4FCD">
        <w:rPr>
          <w:color w:val="000000"/>
          <w:lang w:val="es-ES_tradnl"/>
        </w:rPr>
        <w:t>dfp</w:t>
      </w:r>
      <w:r w:rsidRPr="00CC4FCD">
        <w:rPr>
          <w:color w:val="000000"/>
          <w:lang w:val="es-ES_tradnl"/>
        </w:rPr>
        <w:t xml:space="preserve"> producidos por las asignaciones de haces orientables suelen rebasar los umbrales aplicables de la </w:t>
      </w:r>
      <w:r w:rsidR="005A7D46" w:rsidRPr="00CC4FCD">
        <w:rPr>
          <w:color w:val="000000"/>
          <w:lang w:val="es-ES_tradnl"/>
        </w:rPr>
        <w:t>dfp</w:t>
      </w:r>
      <w:r w:rsidRPr="00CC4FCD">
        <w:rPr>
          <w:color w:val="000000"/>
          <w:lang w:val="es-ES_tradnl"/>
        </w:rPr>
        <w:t xml:space="preserve"> de coordinación en algunas o en todas las posiciones de dichos haces. En estos casos, las administraciones suelen declarar que los umbrales de la </w:t>
      </w:r>
      <w:r w:rsidR="005A7D46" w:rsidRPr="00CC4FCD">
        <w:rPr>
          <w:color w:val="000000"/>
          <w:lang w:val="es-ES_tradnl"/>
        </w:rPr>
        <w:t>dfp</w:t>
      </w:r>
      <w:r w:rsidRPr="00CC4FCD">
        <w:rPr>
          <w:color w:val="000000"/>
          <w:lang w:val="es-ES_tradnl"/>
        </w:rPr>
        <w:t xml:space="preserve"> de coordinación no se rebasarán y en ocasiones aportan una descripción técnica adecuada de la forma en que se realizará esto.</w:t>
      </w:r>
    </w:p>
    <w:p w14:paraId="759BCA37" w14:textId="77777777" w:rsidR="001D044B" w:rsidRPr="00CC4FCD" w:rsidRDefault="001D044B" w:rsidP="0099416B">
      <w:pPr>
        <w:spacing w:before="120"/>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Por</w:t>
      </w:r>
      <w:proofErr w:type="gramEnd"/>
      <w:r w:rsidRPr="00CC4FCD">
        <w:rPr>
          <w:color w:val="000000"/>
          <w:lang w:val="es-ES_tradnl"/>
        </w:rPr>
        <w:t xml:space="preserve"> motivos de transparencia y para establecer un límite superior de la medida aceptable del control de la </w:t>
      </w:r>
      <w:r w:rsidR="005A7D46" w:rsidRPr="00CC4FCD">
        <w:rPr>
          <w:color w:val="000000"/>
          <w:lang w:val="es-ES_tradnl"/>
        </w:rPr>
        <w:t>dfp</w:t>
      </w:r>
      <w:r w:rsidRPr="00CC4FCD">
        <w:rPr>
          <w:color w:val="000000"/>
          <w:lang w:val="es-ES_tradnl"/>
        </w:rPr>
        <w:t xml:space="preserve">, y con el fin de evitar la subjetividad en la evaluación del método de control de la </w:t>
      </w:r>
      <w:r w:rsidR="005A7D46" w:rsidRPr="00CC4FCD">
        <w:rPr>
          <w:color w:val="000000"/>
          <w:lang w:val="es-ES_tradnl"/>
        </w:rPr>
        <w:t>dfp</w:t>
      </w:r>
      <w:r w:rsidRPr="00CC4FCD">
        <w:rPr>
          <w:color w:val="000000"/>
          <w:lang w:val="es-ES_tradnl"/>
        </w:rPr>
        <w:t>, la Junta llegó a la conclusión de que, hasta que se disponga de una Recomendación UIT</w:t>
      </w:r>
      <w:r w:rsidRPr="00CC4FCD">
        <w:rPr>
          <w:color w:val="000000"/>
          <w:lang w:val="es-ES_tradnl"/>
        </w:rPr>
        <w:noBreakHyphen/>
        <w:t>R pertinente, se aplique con carácter provisional la Regla indicada a continuación.</w:t>
      </w:r>
    </w:p>
    <w:p w14:paraId="74A98834" w14:textId="77777777" w:rsidR="001D044B" w:rsidRPr="00CC4FCD" w:rsidRDefault="001D044B" w:rsidP="0037172A">
      <w:pPr>
        <w:spacing w:before="0"/>
        <w:rPr>
          <w:color w:val="000000"/>
          <w:lang w:val="es-ES_tradnl"/>
        </w:rPr>
      </w:pPr>
      <w:r w:rsidRPr="00CC4FCD">
        <w:rPr>
          <w:color w:val="000000"/>
          <w:lang w:val="es-ES_tradnl"/>
        </w:rPr>
        <w:t>3</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los casos en que las asignaciones de frecuencia de haces orientables de una red de satélite del SFS OSG con funcionamiento en la banda 11,7-12,2 GHz rebase para ciertas posiciones de estos haces, los umbrales de la </w:t>
      </w:r>
      <w:r w:rsidR="00AB613D" w:rsidRPr="00CC4FCD">
        <w:rPr>
          <w:color w:val="000000"/>
          <w:lang w:val="es-ES_tradnl"/>
        </w:rPr>
        <w:t>dfp</w:t>
      </w:r>
      <w:r w:rsidRPr="00CC4FCD">
        <w:rPr>
          <w:color w:val="000000"/>
          <w:lang w:val="es-ES_tradnl"/>
        </w:rPr>
        <w:t xml:space="preserve"> que dan lugar a la coordinación según el número </w:t>
      </w:r>
      <w:r w:rsidRPr="00CC4FCD">
        <w:rPr>
          <w:rStyle w:val="Artref"/>
          <w:b/>
          <w:bCs/>
          <w:color w:val="000000"/>
          <w:lang w:val="es-ES_tradnl"/>
        </w:rPr>
        <w:t>9.14</w:t>
      </w:r>
      <w:r w:rsidRPr="00CC4FCD">
        <w:rPr>
          <w:color w:val="000000"/>
          <w:lang w:val="es-ES_tradnl"/>
        </w:rPr>
        <w:t xml:space="preserve"> respecto a las estaciones de los servicios terrenales, la junta determinará que la coordinación no es necesaria únicamente en el caso de que:</w:t>
      </w:r>
    </w:p>
    <w:p w14:paraId="26DB2635" w14:textId="77777777" w:rsidR="001D044B" w:rsidRPr="00CC4FCD" w:rsidRDefault="001D044B" w:rsidP="001D044B">
      <w:pPr>
        <w:pStyle w:val="enumlev1"/>
        <w:rPr>
          <w:color w:val="000000"/>
          <w:u w:val="single"/>
          <w:lang w:val="es-ES_tradnl"/>
        </w:rPr>
      </w:pPr>
      <w:r w:rsidRPr="00CC4FCD">
        <w:rPr>
          <w:i/>
          <w:color w:val="000000"/>
          <w:lang w:val="es-ES_tradnl"/>
        </w:rPr>
        <w:t>a)</w:t>
      </w:r>
      <w:r w:rsidRPr="00CC4FCD">
        <w:rPr>
          <w:color w:val="000000"/>
          <w:lang w:val="es-ES_tradnl"/>
        </w:rPr>
        <w:tab/>
        <w:t xml:space="preserve">haya al menos una posición del haz orientable en la que no se rebasen los umbrales de la </w:t>
      </w:r>
      <w:r w:rsidR="00AB613D" w:rsidRPr="00CC4FCD">
        <w:rPr>
          <w:color w:val="000000"/>
          <w:lang w:val="es-ES_tradnl"/>
        </w:rPr>
        <w:t>dfp</w:t>
      </w:r>
      <w:r w:rsidRPr="00CC4FCD">
        <w:rPr>
          <w:color w:val="000000"/>
          <w:lang w:val="es-ES_tradnl"/>
        </w:rPr>
        <w:t xml:space="preserve"> de coordinación sin ninguna reducción de la densidad de potencia notificada; y</w:t>
      </w:r>
    </w:p>
    <w:p w14:paraId="405587B6" w14:textId="29E8E8A6" w:rsidR="001D044B" w:rsidRPr="00CC4FCD" w:rsidRDefault="001D044B" w:rsidP="009E216C">
      <w:pPr>
        <w:pStyle w:val="enumlev1"/>
        <w:rPr>
          <w:color w:val="000000"/>
          <w:lang w:val="es-ES_tradnl"/>
        </w:rPr>
      </w:pPr>
      <w:r w:rsidRPr="00CC4FCD">
        <w:rPr>
          <w:i/>
          <w:color w:val="000000"/>
          <w:lang w:val="es-ES_tradnl"/>
        </w:rPr>
        <w:t>b)</w:t>
      </w:r>
      <w:r w:rsidRPr="00CC4FCD">
        <w:rPr>
          <w:color w:val="000000"/>
          <w:lang w:val="es-ES_tradnl"/>
        </w:rPr>
        <w:tab/>
        <w:t xml:space="preserve">la administración indique, para las otras posiciones del haz orientable, que los umbrales aplicables de </w:t>
      </w:r>
      <w:r w:rsidR="00AB613D" w:rsidRPr="00CC4FCD">
        <w:rPr>
          <w:color w:val="000000"/>
          <w:lang w:val="es-ES_tradnl"/>
        </w:rPr>
        <w:t>dfp</w:t>
      </w:r>
      <w:r w:rsidRPr="00CC4FCD">
        <w:rPr>
          <w:color w:val="000000"/>
          <w:lang w:val="es-ES_tradnl"/>
        </w:rPr>
        <w:t xml:space="preserve"> de coordinación no se rebasarán aplicando un método cuya descripción deberá someterse a la Oficina. En el Anexo a la Regla relativa al número </w:t>
      </w:r>
      <w:r w:rsidRPr="00CC4FCD">
        <w:rPr>
          <w:rStyle w:val="Artref"/>
          <w:b/>
          <w:bCs/>
          <w:color w:val="000000"/>
          <w:lang w:val="es-ES_tradnl"/>
        </w:rPr>
        <w:t>21.16</w:t>
      </w:r>
      <w:r w:rsidRPr="00CC4FCD">
        <w:rPr>
          <w:color w:val="000000"/>
          <w:lang w:val="es-ES_tradnl"/>
        </w:rPr>
        <w:t xml:space="preserve"> se describe un posible ejemplo de dicho método.</w:t>
      </w:r>
    </w:p>
    <w:p w14:paraId="2C441D65" w14:textId="77777777" w:rsidR="00B837FE" w:rsidRDefault="00B837FE" w:rsidP="00B837FE">
      <w:pPr>
        <w:rPr>
          <w:lang w:val="es-ES_tradnl"/>
        </w:rPr>
      </w:pPr>
      <w:r>
        <w:rPr>
          <w:lang w:val="es-ES_tradnl"/>
        </w:rPr>
        <w:br w:type="page"/>
      </w:r>
    </w:p>
    <w:p w14:paraId="4C288215" w14:textId="77777777" w:rsidR="000A21A1" w:rsidRPr="00CC4FCD" w:rsidRDefault="000A21A1" w:rsidP="00EA1686">
      <w:pPr>
        <w:pStyle w:val="Heading8"/>
        <w:rPr>
          <w:color w:val="000000"/>
          <w:lang w:val="es-ES_tradnl"/>
        </w:rPr>
      </w:pPr>
      <w:r w:rsidRPr="00CC4FCD">
        <w:rPr>
          <w:color w:val="000000"/>
          <w:lang w:val="es-ES_tradnl"/>
        </w:rPr>
        <w:lastRenderedPageBreak/>
        <w:t>5.492</w:t>
      </w:r>
    </w:p>
    <w:p w14:paraId="49134A07"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Junta ha llegado a la conclusión de que las bandas incluidas en el Apéndice </w:t>
      </w:r>
      <w:r w:rsidRPr="00CC4FCD">
        <w:rPr>
          <w:rStyle w:val="Appref"/>
          <w:b/>
          <w:bCs/>
          <w:color w:val="000000"/>
          <w:lang w:val="es-ES_tradnl"/>
        </w:rPr>
        <w:t>30</w:t>
      </w:r>
      <w:r w:rsidRPr="00CC4FCD">
        <w:rPr>
          <w:color w:val="000000"/>
          <w:lang w:val="es-ES_tradnl"/>
        </w:rPr>
        <w:t xml:space="preserve"> no están atribuidas al SFS en las Regiones en las que el SRS está sujeto al Plan del Apéndice </w:t>
      </w:r>
      <w:r w:rsidRPr="00CC4FCD">
        <w:rPr>
          <w:rStyle w:val="Appref"/>
          <w:b/>
          <w:bCs/>
          <w:color w:val="000000"/>
          <w:lang w:val="es-ES_tradnl"/>
        </w:rPr>
        <w:t>30</w:t>
      </w:r>
      <w:r w:rsidRPr="00CC4FCD">
        <w:rPr>
          <w:color w:val="000000"/>
          <w:lang w:val="es-ES_tradnl"/>
        </w:rPr>
        <w:t>. Los transpondedores del SRS que se utilizan también para fines del SFS se tratarán de acuerdo con el Artículo 5 del Apéndice </w:t>
      </w:r>
      <w:r w:rsidRPr="00CC4FCD">
        <w:rPr>
          <w:rStyle w:val="Appref"/>
          <w:b/>
          <w:bCs/>
          <w:color w:val="000000"/>
          <w:lang w:val="es-ES_tradnl"/>
        </w:rPr>
        <w:t>30</w:t>
      </w:r>
      <w:r w:rsidRPr="00CC4FCD">
        <w:rPr>
          <w:color w:val="000000"/>
          <w:lang w:val="es-ES_tradnl"/>
        </w:rPr>
        <w:t>.</w:t>
      </w:r>
    </w:p>
    <w:p w14:paraId="040BC5B0" w14:textId="77777777" w:rsidR="00651530" w:rsidRDefault="00EC4B1E" w:rsidP="00B837FE">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Las</w:t>
      </w:r>
      <w:proofErr w:type="gramEnd"/>
      <w:r w:rsidRPr="00CC4FCD">
        <w:rPr>
          <w:color w:val="000000"/>
          <w:lang w:val="es-ES_tradnl"/>
        </w:rPr>
        <w:t xml:space="preserve"> estaciones terrenas que reciben transmisiones del SFS desde transpondedores del SRS se tratarán como estaciones terrenas del SRS y no tienen que ser notificadas como estaciones terrenas individuales.</w:t>
      </w:r>
    </w:p>
    <w:p w14:paraId="52ABADEE" w14:textId="77777777" w:rsidR="000A21A1" w:rsidRPr="00CC4FCD" w:rsidRDefault="000A21A1">
      <w:pPr>
        <w:pStyle w:val="Heading8"/>
        <w:rPr>
          <w:color w:val="000000"/>
          <w:lang w:val="es-ES_tradnl"/>
        </w:rPr>
      </w:pPr>
      <w:r w:rsidRPr="00CC4FCD">
        <w:rPr>
          <w:color w:val="000000"/>
          <w:lang w:val="es-ES_tradnl"/>
        </w:rPr>
        <w:t>5.496</w:t>
      </w:r>
    </w:p>
    <w:p w14:paraId="1F3C57C2"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Los</w:t>
      </w:r>
      <w:proofErr w:type="gramEnd"/>
      <w:r w:rsidRPr="00CC4FCD">
        <w:rPr>
          <w:color w:val="000000"/>
          <w:lang w:val="es-ES_tradnl"/>
        </w:rPr>
        <w:t xml:space="preserve"> servicios fijo y móvil (salvo móvil aeronáutico) en los países enumerados en esta disposición:</w:t>
      </w:r>
    </w:p>
    <w:p w14:paraId="68FF6E36"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el SFS en esos mismos países y en las relaciones entre ellos y habrá que proceder a la coordinación prescrita en los números</w:t>
      </w:r>
      <w:r w:rsidR="00E237E2" w:rsidRPr="00CC4FCD">
        <w:rPr>
          <w:color w:val="000000"/>
          <w:lang w:val="es-ES_tradnl"/>
        </w:rPr>
        <w:t> </w:t>
      </w:r>
      <w:r w:rsidRPr="00CC4FCD">
        <w:rPr>
          <w:rStyle w:val="Artref"/>
          <w:b/>
          <w:bCs/>
          <w:color w:val="000000"/>
          <w:lang w:val="es-ES_tradnl"/>
        </w:rPr>
        <w:t>9.17</w:t>
      </w:r>
      <w:r w:rsidRPr="00CC4FCD">
        <w:rPr>
          <w:color w:val="000000"/>
          <w:lang w:val="es-ES_tradnl"/>
        </w:rPr>
        <w:t xml:space="preserve"> y</w:t>
      </w:r>
      <w:r w:rsidR="00E237E2" w:rsidRPr="00CC4FCD">
        <w:rPr>
          <w:color w:val="000000"/>
          <w:lang w:val="es-ES_tradnl"/>
        </w:rPr>
        <w:t> </w:t>
      </w:r>
      <w:r w:rsidRPr="00CC4FCD">
        <w:rPr>
          <w:rStyle w:val="Artref"/>
          <w:b/>
          <w:bCs/>
          <w:color w:val="000000"/>
          <w:lang w:val="es-ES_tradnl"/>
        </w:rPr>
        <w:t>9.18</w:t>
      </w:r>
      <w:r w:rsidRPr="00CC4FCD">
        <w:rPr>
          <w:rStyle w:val="Artref"/>
          <w:bCs/>
          <w:color w:val="000000"/>
          <w:lang w:val="es-ES_tradnl"/>
        </w:rPr>
        <w:t>;</w:t>
      </w:r>
    </w:p>
    <w:p w14:paraId="2A340B6C"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 xml:space="preserve">serán explotados con arreglo al número </w:t>
      </w:r>
      <w:r w:rsidRPr="00CC4FCD">
        <w:rPr>
          <w:rStyle w:val="Artref"/>
          <w:b/>
          <w:bCs/>
          <w:color w:val="000000"/>
          <w:lang w:val="es-ES_tradnl"/>
        </w:rPr>
        <w:t>5.43</w:t>
      </w:r>
      <w:r w:rsidRPr="00CC4FCD">
        <w:rPr>
          <w:color w:val="000000"/>
          <w:lang w:val="es-ES_tradnl"/>
        </w:rPr>
        <w:t xml:space="preserve"> en relación con el SFS en los demás países de la Región 1 y la coordinación prescrita en el número </w:t>
      </w:r>
      <w:r w:rsidRPr="00CC4FCD">
        <w:rPr>
          <w:rStyle w:val="Artref"/>
          <w:b/>
          <w:bCs/>
          <w:color w:val="000000"/>
          <w:lang w:val="es-ES_tradnl"/>
        </w:rPr>
        <w:t>9.17</w:t>
      </w:r>
      <w:r w:rsidRPr="00CC4FCD">
        <w:rPr>
          <w:color w:val="000000"/>
          <w:lang w:val="es-ES_tradnl"/>
        </w:rPr>
        <w:t xml:space="preserve"> no se puede imponer a las estaciones terrenas; las estaciones de los servicios fijo y móvil procederán a la coordi</w:t>
      </w:r>
      <w:r w:rsidR="00EA1686" w:rsidRPr="00CC4FCD">
        <w:rPr>
          <w:color w:val="000000"/>
          <w:lang w:val="es-ES_tradnl"/>
        </w:rPr>
        <w:softHyphen/>
      </w:r>
      <w:r w:rsidRPr="00CC4FCD">
        <w:rPr>
          <w:color w:val="000000"/>
          <w:lang w:val="es-ES_tradnl"/>
        </w:rPr>
        <w:t>nación prescrita en el número </w:t>
      </w:r>
      <w:r w:rsidRPr="00CC4FCD">
        <w:rPr>
          <w:rStyle w:val="Artref"/>
          <w:b/>
          <w:bCs/>
          <w:color w:val="000000"/>
          <w:lang w:val="es-ES_tradnl"/>
        </w:rPr>
        <w:t>9.18</w:t>
      </w:r>
      <w:r w:rsidRPr="00CC4FCD">
        <w:rPr>
          <w:color w:val="000000"/>
          <w:lang w:val="es-ES_tradnl"/>
        </w:rPr>
        <w:t>;</w:t>
      </w:r>
    </w:p>
    <w:p w14:paraId="29A7071A"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los servicios a los que la banda está atribuida en las Regiones 2 y 3.</w:t>
      </w:r>
    </w:p>
    <w:p w14:paraId="07C83442" w14:textId="77777777" w:rsidR="00EC4B1E" w:rsidRPr="00CC4FCD" w:rsidRDefault="00EC4B1E" w:rsidP="00684CAD">
      <w:pPr>
        <w:spacing w:before="80"/>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Se</w:t>
      </w:r>
      <w:proofErr w:type="gramEnd"/>
      <w:r w:rsidRPr="00CC4FCD">
        <w:rPr>
          <w:color w:val="000000"/>
          <w:lang w:val="es-ES_tradnl"/>
        </w:rPr>
        <w:t xml:space="preserve"> aplican los comentarios relativos a las Reglas de Procedimiento referentes al número </w:t>
      </w:r>
      <w:r w:rsidRPr="00CC4FCD">
        <w:rPr>
          <w:rStyle w:val="Artref"/>
          <w:b/>
          <w:bCs/>
          <w:color w:val="000000"/>
          <w:lang w:val="es-ES_tradnl"/>
        </w:rPr>
        <w:t>5.164</w:t>
      </w:r>
      <w:r w:rsidRPr="00CC4FCD">
        <w:rPr>
          <w:color w:val="000000"/>
          <w:lang w:val="es-ES_tradnl"/>
        </w:rPr>
        <w:t>.</w:t>
      </w:r>
    </w:p>
    <w:p w14:paraId="26898A37" w14:textId="77777777" w:rsidR="000A21A1" w:rsidRPr="00CC4FCD" w:rsidRDefault="000A21A1" w:rsidP="00BC7DA3">
      <w:pPr>
        <w:pStyle w:val="Heading8"/>
        <w:spacing w:before="240"/>
        <w:rPr>
          <w:color w:val="000000"/>
          <w:lang w:val="es-ES_tradnl"/>
        </w:rPr>
      </w:pPr>
      <w:r w:rsidRPr="00CC4FCD">
        <w:rPr>
          <w:color w:val="000000"/>
          <w:lang w:val="es-ES_tradnl"/>
        </w:rPr>
        <w:t>5.502</w:t>
      </w:r>
    </w:p>
    <w:p w14:paraId="05882957" w14:textId="77777777" w:rsidR="00EC4B1E" w:rsidRPr="00CC4FCD" w:rsidRDefault="00EC4B1E" w:rsidP="00072ED0">
      <w:pPr>
        <w:spacing w:line="260" w:lineRule="exact"/>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A</w:t>
      </w:r>
      <w:proofErr w:type="gramEnd"/>
      <w:r w:rsidRPr="00CC4FCD">
        <w:rPr>
          <w:color w:val="000000"/>
          <w:lang w:val="es-ES_tradnl"/>
        </w:rPr>
        <w:t xml:space="preserve"> partir del 5 de julio de 2003, el número </w:t>
      </w:r>
      <w:r w:rsidRPr="00CC4FCD">
        <w:rPr>
          <w:rStyle w:val="Artref"/>
          <w:b/>
          <w:bCs/>
          <w:color w:val="000000"/>
          <w:lang w:val="es-ES_tradnl"/>
        </w:rPr>
        <w:t>5.502</w:t>
      </w:r>
      <w:r w:rsidRPr="00CC4FCD">
        <w:rPr>
          <w:color w:val="000000"/>
          <w:lang w:val="es-ES_tradnl"/>
        </w:rPr>
        <w:t xml:space="preserve"> especifica un diámetro mínimo de antena de 1,2 y de 4,5 m para una estación terrena de una red del servicio fijo por satélite OSG y no OSG, respectivamente, en la banda de frecuencias 13,75-14 GHz. La presentación de la información sobre el diámetro de antena es obligatoria a partir del 1 de enero de 2004, con la entrada en vigor del Apéndice </w:t>
      </w:r>
      <w:r w:rsidRPr="00CC4FCD">
        <w:rPr>
          <w:rStyle w:val="Appref"/>
          <w:b/>
          <w:bCs/>
          <w:color w:val="000000"/>
          <w:lang w:val="es-ES_tradnl"/>
        </w:rPr>
        <w:t>4</w:t>
      </w:r>
      <w:r w:rsidRPr="00CC4FCD">
        <w:rPr>
          <w:color w:val="000000"/>
          <w:lang w:val="es-ES_tradnl"/>
        </w:rPr>
        <w:t xml:space="preserve"> modificado por la CMR-03. A fin de contemplar el examen de las notificaciones recibidas en el periodo comprendido entre estas dos fechas, se ha encargado a la Oficina que utilice la ganancia máxima de antena de estación terrena indicada a continuación, en lugar del diámetro de la antena: ganancia máxima de la antena de 42,3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1,2 m y 53,8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4,5 m (la </w:t>
      </w:r>
      <w:r w:rsidRPr="00CC4FCD">
        <w:rPr>
          <w:iCs/>
          <w:color w:val="000000"/>
          <w:lang w:val="es-ES_tradnl"/>
        </w:rPr>
        <w:t xml:space="preserve">relación entre la ganancia y el diámetro se obtiene para la frecuencia mínima de la banda, es decir, </w:t>
      </w:r>
      <w:r w:rsidRPr="00CC4FCD">
        <w:rPr>
          <w:i/>
          <w:color w:val="000000"/>
          <w:lang w:val="es-ES_tradnl"/>
        </w:rPr>
        <w:t>f</w:t>
      </w:r>
      <w:r w:rsidRPr="00CC4FCD">
        <w:rPr>
          <w:iCs/>
          <w:color w:val="000000"/>
          <w:lang w:val="es-ES_tradnl"/>
        </w:rPr>
        <w:t> </w:t>
      </w:r>
      <w:r w:rsidR="00EA1686" w:rsidRPr="00CC4FCD">
        <w:rPr>
          <w:rFonts w:ascii="Tms Rmn" w:hAnsi="Tms Rmn"/>
          <w:iCs/>
          <w:color w:val="000000"/>
          <w:sz w:val="12"/>
          <w:lang w:val="es-ES_tradnl"/>
        </w:rPr>
        <w:t> </w:t>
      </w:r>
      <w:r w:rsidRPr="00CC4FCD">
        <w:rPr>
          <w:rFonts w:ascii="Symbol" w:hAnsi="Symbol"/>
          <w:iCs/>
          <w:color w:val="000000"/>
          <w:lang w:val="es-ES_tradnl"/>
        </w:rPr>
        <w:t></w:t>
      </w:r>
      <w:r w:rsidRPr="00CC4FCD">
        <w:rPr>
          <w:iCs/>
          <w:color w:val="000000"/>
          <w:lang w:val="es-ES_tradnl"/>
        </w:rPr>
        <w:t> 13,75 GHz, y una eficacia de antena razonablemente reducida del 57,2%).</w:t>
      </w:r>
    </w:p>
    <w:p w14:paraId="53A69B69" w14:textId="77777777" w:rsidR="00B837FE" w:rsidRDefault="00B837FE" w:rsidP="00E237E2">
      <w:pPr>
        <w:spacing w:line="260" w:lineRule="exact"/>
        <w:rPr>
          <w:color w:val="000000"/>
          <w:lang w:val="es-ES_tradnl"/>
        </w:rPr>
      </w:pPr>
      <w:r>
        <w:rPr>
          <w:color w:val="000000"/>
          <w:lang w:val="es-ES_tradnl"/>
        </w:rPr>
        <w:br w:type="page"/>
      </w:r>
    </w:p>
    <w:p w14:paraId="39A4FCD0" w14:textId="77777777" w:rsidR="00EC4B1E" w:rsidRPr="00CC4FCD" w:rsidRDefault="00EC4B1E" w:rsidP="00E237E2">
      <w:pPr>
        <w:spacing w:line="260" w:lineRule="exact"/>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Los</w:t>
      </w:r>
      <w:proofErr w:type="gramEnd"/>
      <w:r w:rsidRPr="00CC4FCD">
        <w:rPr>
          <w:color w:val="000000"/>
          <w:lang w:val="es-ES_tradnl"/>
        </w:rPr>
        <w:t xml:space="preserve"> límites de la densidad de flujo de potencia (</w:t>
      </w:r>
      <w:r w:rsidR="005632A5" w:rsidRPr="00CC4FCD">
        <w:rPr>
          <w:color w:val="000000"/>
          <w:lang w:val="es-ES_tradnl"/>
        </w:rPr>
        <w:t>dfp</w:t>
      </w:r>
      <w:r w:rsidRPr="00CC4FCD">
        <w:rPr>
          <w:color w:val="000000"/>
          <w:lang w:val="es-ES_tradnl"/>
        </w:rPr>
        <w:t xml:space="preserve">) del número </w:t>
      </w:r>
      <w:r w:rsidRPr="00CC4FCD">
        <w:rPr>
          <w:rStyle w:val="Artref"/>
          <w:b/>
          <w:bCs/>
          <w:color w:val="000000"/>
          <w:lang w:val="es-ES_tradnl"/>
        </w:rPr>
        <w:t>5.502</w:t>
      </w:r>
      <w:r w:rsidRPr="00CC4FCD">
        <w:rPr>
          <w:color w:val="000000"/>
          <w:lang w:val="es-ES_tradnl"/>
        </w:rPr>
        <w:t xml:space="preserve"> son aplicables a partir del 5 de julio de 2003. De conformidad con el Apéndice </w:t>
      </w:r>
      <w:r w:rsidRPr="00CC4FCD">
        <w:rPr>
          <w:rStyle w:val="Appref"/>
          <w:b/>
          <w:bCs/>
          <w:color w:val="000000"/>
          <w:lang w:val="es-ES_tradnl"/>
        </w:rPr>
        <w:t>4</w:t>
      </w:r>
      <w:r w:rsidRPr="00CC4FCD">
        <w:rPr>
          <w:color w:val="000000"/>
          <w:lang w:val="es-ES_tradnl"/>
        </w:rPr>
        <w:t xml:space="preserve"> modificado por la CMR</w:t>
      </w:r>
      <w:r w:rsidRPr="00CC4FCD">
        <w:rPr>
          <w:color w:val="000000"/>
          <w:lang w:val="es-ES_tradnl"/>
        </w:rPr>
        <w:noBreakHyphen/>
        <w:t xml:space="preserve">03 (dato A.16.b) las administraciones deben indicar el compromiso de cumplimiento de estos límites al notificar o coordinar una estación terrena específica con un diámetro comprendido entre </w:t>
      </w:r>
      <w:r w:rsidRPr="00CC4FCD">
        <w:rPr>
          <w:rFonts w:ascii="Symbol" w:hAnsi="Symbol"/>
          <w:color w:val="000000"/>
          <w:lang w:val="es-ES_tradnl"/>
        </w:rPr>
        <w:t></w:t>
      </w:r>
      <w:r w:rsidRPr="00CC4FCD">
        <w:rPr>
          <w:color w:val="000000"/>
          <w:lang w:val="es-ES_tradnl"/>
        </w:rPr>
        <w:t xml:space="preserve"> 1,2 m y &lt; 4,5 m. En el caso de que, para las notificaciones recibidas entre el 5 de julio de 2003 y el 1 de enero de 2004 (fecha de entrada en vigor del Apéndice</w:t>
      </w:r>
      <w:r w:rsidR="00E237E2" w:rsidRPr="00CC4FCD">
        <w:rPr>
          <w:color w:val="000000"/>
          <w:lang w:val="es-ES_tradnl"/>
        </w:rPr>
        <w:t> </w:t>
      </w:r>
      <w:r w:rsidRPr="00CC4FCD">
        <w:rPr>
          <w:rStyle w:val="Appref"/>
          <w:b/>
          <w:bCs/>
          <w:color w:val="000000"/>
          <w:lang w:val="es-ES_tradnl"/>
        </w:rPr>
        <w:t>4</w:t>
      </w:r>
      <w:r w:rsidRPr="00CC4FCD">
        <w:rPr>
          <w:b/>
          <w:bCs/>
          <w:color w:val="000000"/>
          <w:lang w:val="es-ES_tradnl"/>
        </w:rPr>
        <w:t xml:space="preserve"> </w:t>
      </w:r>
      <w:r w:rsidRPr="00CC4FCD">
        <w:rPr>
          <w:color w:val="000000"/>
          <w:lang w:val="es-ES_tradnl"/>
        </w:rPr>
        <w:t>modificado), las administraciones no hayan comunicado el compromiso, la Oficina esta</w:t>
      </w:r>
      <w:r w:rsidR="00E237E2" w:rsidRPr="00CC4FCD">
        <w:rPr>
          <w:color w:val="000000"/>
          <w:lang w:val="es-ES_tradnl"/>
        </w:rPr>
        <w:softHyphen/>
      </w:r>
      <w:r w:rsidRPr="00CC4FCD">
        <w:rPr>
          <w:color w:val="000000"/>
          <w:lang w:val="es-ES_tradnl"/>
        </w:rPr>
        <w:t>blecerá una conclusión favorable y de solicitar a la administración responsable que facilite el compromiso después del 1 de enero de 2004. Si no se envía el compromiso en los 30 días que siguen a la petición, se cambiará la conclusión por la de desfavorable.</w:t>
      </w:r>
    </w:p>
    <w:p w14:paraId="09838019" w14:textId="77777777" w:rsidR="000A21A1" w:rsidRPr="00CC4FCD" w:rsidRDefault="000A21A1" w:rsidP="00BC7DA3">
      <w:pPr>
        <w:pStyle w:val="Heading8"/>
        <w:spacing w:before="240"/>
        <w:rPr>
          <w:color w:val="000000"/>
          <w:lang w:val="es-ES_tradnl"/>
        </w:rPr>
      </w:pPr>
      <w:r w:rsidRPr="00CC4FCD">
        <w:rPr>
          <w:color w:val="000000"/>
          <w:lang w:val="es-ES_tradnl"/>
        </w:rPr>
        <w:t>5.503</w:t>
      </w:r>
    </w:p>
    <w:p w14:paraId="14D5EBF8" w14:textId="77777777" w:rsidR="00684CAD" w:rsidRDefault="00EC4B1E" w:rsidP="00B837FE">
      <w:pPr>
        <w:rPr>
          <w:lang w:val="es-ES_tradnl"/>
        </w:rPr>
      </w:pPr>
      <w:r w:rsidRPr="00CC4FCD">
        <w:rPr>
          <w:lang w:val="es-ES_tradnl"/>
        </w:rPr>
        <w:t>1</w:t>
      </w:r>
      <w:r w:rsidRPr="00CC4FCD">
        <w:rPr>
          <w:lang w:val="es-ES_tradnl"/>
        </w:rPr>
        <w:tab/>
      </w:r>
      <w:proofErr w:type="gramStart"/>
      <w:r w:rsidRPr="00684CAD">
        <w:rPr>
          <w:spacing w:val="-4"/>
          <w:lang w:val="es-ES_tradnl"/>
        </w:rPr>
        <w:t>En</w:t>
      </w:r>
      <w:proofErr w:type="gramEnd"/>
      <w:r w:rsidRPr="00684CAD">
        <w:rPr>
          <w:spacing w:val="-4"/>
          <w:lang w:val="es-ES_tradnl"/>
        </w:rPr>
        <w:t xml:space="preserve"> el número</w:t>
      </w:r>
      <w:r w:rsidR="00EA1686" w:rsidRPr="00684CAD">
        <w:rPr>
          <w:spacing w:val="-4"/>
          <w:lang w:val="es-ES_tradnl"/>
        </w:rPr>
        <w:t xml:space="preserve"> </w:t>
      </w:r>
      <w:r w:rsidRPr="00684CAD">
        <w:rPr>
          <w:b/>
          <w:bCs/>
          <w:spacing w:val="-4"/>
          <w:lang w:val="es-ES_tradnl"/>
        </w:rPr>
        <w:t>5.503</w:t>
      </w:r>
      <w:r w:rsidRPr="00684CAD">
        <w:rPr>
          <w:spacing w:val="-4"/>
          <w:lang w:val="es-ES_tradnl"/>
        </w:rPr>
        <w:t xml:space="preserve"> se especifica la densidad p.i.r.e. máxima de las emisiones de una estación terrena transmisora del SFS en la banda de frecuencias</w:t>
      </w:r>
      <w:r w:rsidR="00E237E2" w:rsidRPr="00684CAD">
        <w:rPr>
          <w:spacing w:val="-4"/>
          <w:lang w:val="es-ES_tradnl"/>
        </w:rPr>
        <w:t xml:space="preserve"> </w:t>
      </w:r>
      <w:r w:rsidRPr="00684CAD">
        <w:rPr>
          <w:spacing w:val="-4"/>
          <w:lang w:val="es-ES_tradnl"/>
        </w:rPr>
        <w:t>13,77</w:t>
      </w:r>
      <w:r w:rsidR="00E237E2" w:rsidRPr="00684CAD">
        <w:rPr>
          <w:spacing w:val="-4"/>
          <w:lang w:val="es-ES_tradnl"/>
        </w:rPr>
        <w:t>-</w:t>
      </w:r>
      <w:r w:rsidRPr="00684CAD">
        <w:rPr>
          <w:spacing w:val="-4"/>
          <w:lang w:val="es-ES_tradnl"/>
        </w:rPr>
        <w:t>13,78</w:t>
      </w:r>
      <w:r w:rsidR="00E237E2" w:rsidRPr="00684CAD">
        <w:rPr>
          <w:spacing w:val="-4"/>
          <w:lang w:val="es-ES_tradnl"/>
        </w:rPr>
        <w:t xml:space="preserve"> </w:t>
      </w:r>
      <w:r w:rsidRPr="00684CAD">
        <w:rPr>
          <w:spacing w:val="-4"/>
          <w:lang w:val="es-ES_tradnl"/>
        </w:rPr>
        <w:t>GHz. La inobservancia de estos límites da lugar a una conclusión desfavorable con arreglo al número </w:t>
      </w:r>
      <w:r w:rsidRPr="00684CAD">
        <w:rPr>
          <w:b/>
          <w:bCs/>
          <w:spacing w:val="-4"/>
          <w:lang w:val="es-ES_tradnl"/>
        </w:rPr>
        <w:t>9.35/11.31</w:t>
      </w:r>
      <w:r w:rsidRPr="00684CAD">
        <w:rPr>
          <w:spacing w:val="-4"/>
          <w:lang w:val="es-ES_tradnl"/>
        </w:rPr>
        <w:t>. A tenor del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también se pueden exceder estos límites para compensar la atenuación debida a la lluvia, siempre que la densidad de flujo de potencia en la estación espacial del SFS no rebase el valor resultante de la utilización, por parte de una estación terrena, de una p.i.r.e. que cumpla con los límites anteriores en condiciones de cielo despejado. No obstante, en 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y en el Apéndice</w:t>
      </w:r>
      <w:r w:rsidR="00E237E2" w:rsidRPr="00684CAD">
        <w:rPr>
          <w:spacing w:val="-4"/>
          <w:lang w:val="es-ES_tradnl"/>
        </w:rPr>
        <w:t xml:space="preserve"> </w:t>
      </w:r>
      <w:r w:rsidRPr="00684CAD">
        <w:rPr>
          <w:b/>
          <w:bCs/>
          <w:spacing w:val="-4"/>
          <w:lang w:val="es-ES_tradnl"/>
        </w:rPr>
        <w:t>4</w:t>
      </w:r>
      <w:r w:rsidRPr="00684CAD">
        <w:rPr>
          <w:spacing w:val="-4"/>
          <w:lang w:val="es-ES_tradnl"/>
        </w:rPr>
        <w:t xml:space="preserve"> no se especifica cuál es el valor de la densidad de potencia y de la potencia total de una emisión (con la ganancia máxima de antena constituyen la p.i.r.e. y la densidad de p.i.r.e. en el eje) que se debe proporcionar:</w:t>
      </w:r>
    </w:p>
    <w:p w14:paraId="6DCA3500" w14:textId="77777777" w:rsidR="00EC4B1E" w:rsidRPr="00CC4FCD" w:rsidRDefault="00EC4B1E" w:rsidP="00BC7DA3">
      <w:pPr>
        <w:pStyle w:val="enumlev1"/>
        <w:spacing w:before="40"/>
        <w:rPr>
          <w:lang w:val="es-ES_tradnl"/>
        </w:rPr>
      </w:pPr>
      <w:r w:rsidRPr="00CC4FCD">
        <w:rPr>
          <w:lang w:val="es-ES_tradnl"/>
        </w:rPr>
        <w:t>i)</w:t>
      </w:r>
      <w:r w:rsidR="00EA1686" w:rsidRPr="00CC4FCD">
        <w:rPr>
          <w:lang w:val="es-ES_tradnl"/>
        </w:rPr>
        <w:tab/>
      </w:r>
      <w:r w:rsidRPr="00CC4FCD">
        <w:rPr>
          <w:lang w:val="es-ES_tradnl"/>
        </w:rPr>
        <w:t>los prevalecientes en condiciones de cielo despejado, o</w:t>
      </w:r>
    </w:p>
    <w:p w14:paraId="01602BC7" w14:textId="77777777" w:rsidR="00EC4B1E" w:rsidRPr="00CC4FCD" w:rsidRDefault="00EC4B1E" w:rsidP="00BC7DA3">
      <w:pPr>
        <w:pStyle w:val="enumlev1"/>
        <w:spacing w:before="40"/>
        <w:rPr>
          <w:lang w:val="es-ES_tradnl"/>
        </w:rPr>
      </w:pPr>
      <w:r w:rsidRPr="00CC4FCD">
        <w:rPr>
          <w:lang w:val="es-ES_tradnl"/>
        </w:rPr>
        <w:t>ii)</w:t>
      </w:r>
      <w:r w:rsidR="00EA1686" w:rsidRPr="00CC4FCD">
        <w:rPr>
          <w:lang w:val="es-ES_tradnl"/>
        </w:rPr>
        <w:tab/>
      </w:r>
      <w:r w:rsidRPr="00CC4FCD">
        <w:rPr>
          <w:lang w:val="es-ES_tradnl"/>
        </w:rPr>
        <w:t>los prevalecientes durante la precipitación.</w:t>
      </w:r>
    </w:p>
    <w:p w14:paraId="617C1E9F" w14:textId="218248D9" w:rsidR="00EC4B1E" w:rsidRPr="00CC4FCD" w:rsidRDefault="00EC4B1E" w:rsidP="00EA1686">
      <w:pPr>
        <w:rPr>
          <w:sz w:val="16"/>
          <w:szCs w:val="16"/>
          <w:lang w:val="es-ES_tradnl"/>
        </w:rPr>
      </w:pPr>
      <w:r w:rsidRPr="00CC4FCD">
        <w:rPr>
          <w:lang w:val="es-ES_tradnl"/>
        </w:rPr>
        <w:t>Por lo tanto, la Junta decidió que, para las asignaciones de frecuencias a las que se aplica el número </w:t>
      </w:r>
      <w:r w:rsidRPr="00CC4FCD">
        <w:rPr>
          <w:b/>
          <w:bCs/>
          <w:lang w:val="es-ES_tradnl"/>
        </w:rPr>
        <w:t>5.503</w:t>
      </w:r>
      <w:r w:rsidRPr="00CC4FCD">
        <w:rPr>
          <w:lang w:val="es-ES_tradnl"/>
        </w:rPr>
        <w:t>, las administraciones han de proporcionar valores de densidad de potencia máxima (datos de los puntos</w:t>
      </w:r>
      <w:r w:rsidR="00796849">
        <w:rPr>
          <w:lang w:val="es-ES_tradnl"/>
        </w:rPr>
        <w:t> </w:t>
      </w:r>
      <w:r w:rsidRPr="00CC4FCD">
        <w:rPr>
          <w:szCs w:val="22"/>
          <w:lang w:val="es-ES_tradnl"/>
        </w:rPr>
        <w:t>C.8.a.2 o C.8.b.2 del Apéndice</w:t>
      </w:r>
      <w:r w:rsidR="00796849">
        <w:rPr>
          <w:szCs w:val="22"/>
          <w:lang w:val="es-ES_tradnl"/>
        </w:rPr>
        <w:t> </w:t>
      </w:r>
      <w:r w:rsidRPr="00CC4FCD">
        <w:rPr>
          <w:b/>
          <w:bCs/>
          <w:szCs w:val="22"/>
          <w:lang w:val="es-ES_tradnl"/>
        </w:rPr>
        <w:t>4</w:t>
      </w:r>
      <w:r w:rsidRPr="00CC4FCD">
        <w:rPr>
          <w:szCs w:val="22"/>
          <w:lang w:val="es-ES_tradnl"/>
        </w:rPr>
        <w:t>)</w:t>
      </w:r>
      <w:r w:rsidRPr="00CC4FCD">
        <w:rPr>
          <w:lang w:val="es-ES_tradnl"/>
        </w:rPr>
        <w:t xml:space="preserve"> y densidad de potencia máxima de las emisiones (datos de los puntos </w:t>
      </w:r>
      <w:r w:rsidRPr="00CC4FCD">
        <w:rPr>
          <w:szCs w:val="22"/>
          <w:lang w:val="es-ES_tradnl"/>
        </w:rPr>
        <w:t>C.8.a.1 o C.8.b.1 del Apéndice</w:t>
      </w:r>
      <w:r w:rsidR="00EA1686" w:rsidRPr="00CC4FCD">
        <w:rPr>
          <w:szCs w:val="22"/>
          <w:lang w:val="es-ES_tradnl"/>
        </w:rPr>
        <w:t xml:space="preserve"> </w:t>
      </w:r>
      <w:r w:rsidRPr="00CC4FCD">
        <w:rPr>
          <w:b/>
          <w:bCs/>
          <w:szCs w:val="22"/>
          <w:lang w:val="es-ES_tradnl"/>
        </w:rPr>
        <w:t>4</w:t>
      </w:r>
      <w:r w:rsidRPr="00CC4FCD">
        <w:rPr>
          <w:szCs w:val="22"/>
          <w:lang w:val="es-ES_tradnl"/>
        </w:rPr>
        <w:t>)</w:t>
      </w:r>
      <w:r w:rsidRPr="00CC4FCD">
        <w:rPr>
          <w:lang w:val="es-ES_tradnl"/>
        </w:rPr>
        <w:t xml:space="preserve"> en condi</w:t>
      </w:r>
      <w:r w:rsidR="00EA1686" w:rsidRPr="00CC4FCD">
        <w:rPr>
          <w:lang w:val="es-ES_tradnl"/>
        </w:rPr>
        <w:softHyphen/>
      </w:r>
      <w:r w:rsidRPr="00CC4FCD">
        <w:rPr>
          <w:lang w:val="es-ES_tradnl"/>
        </w:rPr>
        <w:t>ciones de cielo despejado, cuando soliciten coordinación o notifiquen redes de satélite o estaciones terrenas. Esto se aplicará a las peticiones de coordinación y notificación recibidas a partir del 1 de enero de 2009.</w:t>
      </w:r>
    </w:p>
    <w:p w14:paraId="71AFB5D7" w14:textId="77777777" w:rsidR="00B837FE" w:rsidRDefault="00B837FE" w:rsidP="00EF465E">
      <w:pPr>
        <w:rPr>
          <w:lang w:val="es-ES_tradnl"/>
        </w:rPr>
      </w:pPr>
      <w:r>
        <w:rPr>
          <w:lang w:val="es-ES_tradnl"/>
        </w:rPr>
        <w:br w:type="page"/>
      </w:r>
    </w:p>
    <w:p w14:paraId="7CDFFCFA" w14:textId="77777777" w:rsidR="00EC4B1E" w:rsidRPr="00CC4FCD" w:rsidRDefault="00EC4B1E" w:rsidP="00BC7DA3">
      <w:pPr>
        <w:spacing w:before="120"/>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el número </w:t>
      </w:r>
      <w:r w:rsidRPr="00CC4FCD">
        <w:rPr>
          <w:rStyle w:val="Artref"/>
          <w:b/>
          <w:bCs/>
          <w:color w:val="000000"/>
          <w:lang w:val="es-ES_tradnl"/>
        </w:rPr>
        <w:t>5.503</w:t>
      </w:r>
      <w:r w:rsidRPr="00CC4FCD">
        <w:rPr>
          <w:color w:val="000000"/>
          <w:lang w:val="es-ES_tradnl"/>
        </w:rPr>
        <w:t>, la CMR-03 incluyó límites de la densidad de la p.i.r.e. para las estaciones terrenas en función del diámetro de la antena. Estos límites son aplicables a partir del 5 de julio de 2003. Cuando no se disponga del diámetro de una antena antes del 1</w:t>
      </w:r>
      <w:r w:rsidR="00995B38" w:rsidRPr="00CC4FCD">
        <w:rPr>
          <w:color w:val="000000"/>
          <w:lang w:val="es-ES_tradnl"/>
        </w:rPr>
        <w:t> </w:t>
      </w:r>
      <w:r w:rsidRPr="00CC4FCD">
        <w:rPr>
          <w:color w:val="000000"/>
          <w:lang w:val="es-ES_tradnl"/>
        </w:rPr>
        <w:t xml:space="preserve">enero de 2004 (véase la Regla relativa al número </w:t>
      </w:r>
      <w:r w:rsidRPr="00CC4FCD">
        <w:rPr>
          <w:rStyle w:val="Artref"/>
          <w:b/>
          <w:bCs/>
          <w:color w:val="000000"/>
          <w:lang w:val="es-ES_tradnl"/>
        </w:rPr>
        <w:t>5.502</w:t>
      </w:r>
      <w:r w:rsidRPr="00CC4FCD">
        <w:rPr>
          <w:color w:val="000000"/>
          <w:lang w:val="es-ES_tradnl"/>
        </w:rPr>
        <w:t>), la Oficina utilizará los límites de la densidad de la p.i.r.e. indicados a continuación, en función de la ganancia máxima de la antena (o del diámetro de la antena) de la estación terrena, a fin de poder examinar las notificaciones recibidas entre el 5 de julio de 2003 y el 1 de enero de 2004.</w:t>
      </w:r>
    </w:p>
    <w:p w14:paraId="37F8F709" w14:textId="77777777" w:rsidR="00EC4B1E" w:rsidRPr="007D55F8" w:rsidRDefault="00EC4B1E" w:rsidP="00EA1686">
      <w:pPr>
        <w:rPr>
          <w:sz w:val="4"/>
          <w:szCs w:val="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EC4B1E" w:rsidRPr="001B3E77" w14:paraId="1CED442B" w14:textId="77777777" w:rsidTr="00281017">
        <w:tc>
          <w:tcPr>
            <w:tcW w:w="3116" w:type="dxa"/>
            <w:tcBorders>
              <w:top w:val="nil"/>
              <w:left w:val="nil"/>
            </w:tcBorders>
          </w:tcPr>
          <w:p w14:paraId="6529E39E"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6171" w:type="dxa"/>
            <w:gridSpan w:val="2"/>
            <w:vAlign w:val="center"/>
          </w:tcPr>
          <w:p w14:paraId="130E0BF4" w14:textId="18C159F0"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Límites de la densidad de la p.i.r.e. en la banda de frecuencias 13,77</w:t>
            </w:r>
            <w:r w:rsidR="00644C2E">
              <w:rPr>
                <w:color w:val="000000"/>
                <w:sz w:val="20"/>
                <w:lang w:val="es-ES_tradnl"/>
              </w:rPr>
              <w:noBreakHyphen/>
            </w:r>
            <w:r w:rsidRPr="00BC7DA3">
              <w:rPr>
                <w:color w:val="000000"/>
                <w:sz w:val="20"/>
                <w:lang w:val="es-ES_tradnl"/>
              </w:rPr>
              <w:t>13,78 GHz</w:t>
            </w:r>
            <w:r w:rsidR="00BA320D">
              <w:rPr>
                <w:color w:val="000000"/>
                <w:sz w:val="20"/>
                <w:lang w:val="es-ES_tradnl"/>
              </w:rPr>
              <w:t xml:space="preserve"> </w:t>
            </w:r>
            <w:r w:rsidRPr="00BC7DA3">
              <w:rPr>
                <w:color w:val="000000"/>
                <w:sz w:val="20"/>
                <w:lang w:val="es-ES_tradnl"/>
              </w:rPr>
              <w:t>para estaciones terrenas del SFS que funcionan</w:t>
            </w:r>
            <w:r w:rsidR="00644C2E">
              <w:rPr>
                <w:color w:val="000000"/>
                <w:sz w:val="20"/>
                <w:lang w:val="es-ES_tradnl"/>
              </w:rPr>
              <w:br/>
            </w:r>
            <w:r w:rsidRPr="00BC7DA3">
              <w:rPr>
                <w:color w:val="000000"/>
                <w:sz w:val="20"/>
                <w:lang w:val="es-ES_tradnl"/>
              </w:rPr>
              <w:t>con una estación espacial OSG</w:t>
            </w:r>
          </w:p>
        </w:tc>
      </w:tr>
      <w:tr w:rsidR="00EC4B1E" w:rsidRPr="001B3E77" w14:paraId="2B255E07" w14:textId="77777777" w:rsidTr="00281017">
        <w:trPr>
          <w:cantSplit/>
        </w:trPr>
        <w:tc>
          <w:tcPr>
            <w:tcW w:w="3116" w:type="dxa"/>
            <w:vMerge w:val="restart"/>
            <w:vAlign w:val="center"/>
          </w:tcPr>
          <w:p w14:paraId="555CE5C2" w14:textId="2A386889"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Tamaño de la antena de</w:t>
            </w:r>
            <w:r w:rsidRPr="00BC7DA3">
              <w:rPr>
                <w:color w:val="000000"/>
                <w:sz w:val="20"/>
                <w:lang w:val="es-ES_tradnl"/>
              </w:rPr>
              <w:br/>
              <w:t>la estación terrena (medido</w:t>
            </w:r>
            <w:r w:rsidR="00644C2E">
              <w:rPr>
                <w:color w:val="000000"/>
                <w:sz w:val="20"/>
                <w:lang w:val="es-ES_tradnl"/>
              </w:rPr>
              <w:br/>
            </w:r>
            <w:r w:rsidRPr="00BC7DA3">
              <w:rPr>
                <w:color w:val="000000"/>
                <w:sz w:val="20"/>
                <w:lang w:val="es-ES_tradnl"/>
              </w:rPr>
              <w:t xml:space="preserve">por su diámetro, </w:t>
            </w:r>
            <w:r w:rsidRPr="00BC7DA3">
              <w:rPr>
                <w:i/>
                <w:iCs/>
                <w:color w:val="000000"/>
                <w:sz w:val="20"/>
                <w:lang w:val="es-ES_tradnl"/>
              </w:rPr>
              <w:t>D</w:t>
            </w:r>
            <w:r w:rsidRPr="00BC7DA3">
              <w:rPr>
                <w:color w:val="000000"/>
                <w:sz w:val="20"/>
                <w:lang w:val="es-ES_tradnl"/>
              </w:rPr>
              <w:t> (m) o</w:t>
            </w:r>
            <w:r w:rsidRPr="00BC7DA3">
              <w:rPr>
                <w:color w:val="000000"/>
                <w:sz w:val="20"/>
                <w:lang w:val="es-ES_tradnl"/>
              </w:rPr>
              <w:br/>
              <w:t>su ganancia máxima de antena,</w:t>
            </w:r>
            <w:r w:rsidR="00644C2E">
              <w:rPr>
                <w:color w:val="000000"/>
                <w:sz w:val="20"/>
                <w:lang w:val="es-ES_tradnl"/>
              </w:rPr>
              <w:br/>
            </w:r>
            <w:r w:rsidRPr="00BC7DA3">
              <w:rPr>
                <w:i/>
                <w:iCs/>
                <w:color w:val="000000"/>
                <w:sz w:val="20"/>
                <w:lang w:val="es-ES_tradnl"/>
              </w:rPr>
              <w:t>G</w:t>
            </w:r>
            <w:r w:rsidRPr="00BC7DA3">
              <w:rPr>
                <w:color w:val="000000"/>
                <w:sz w:val="20"/>
                <w:lang w:val="es-ES_tradnl"/>
              </w:rPr>
              <w:t xml:space="preserve"> (dBi))</w:t>
            </w:r>
          </w:p>
        </w:tc>
        <w:tc>
          <w:tcPr>
            <w:tcW w:w="6171" w:type="dxa"/>
            <w:gridSpan w:val="2"/>
          </w:tcPr>
          <w:p w14:paraId="67E72FE5"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color w:val="000000"/>
                <w:sz w:val="20"/>
                <w:lang w:val="es-ES_tradnl"/>
              </w:rPr>
              <w:t>Para emisiones con anchura de banda necesaria</w:t>
            </w:r>
          </w:p>
        </w:tc>
      </w:tr>
      <w:tr w:rsidR="00EC4B1E" w:rsidRPr="00BC7DA3" w14:paraId="68F865CA" w14:textId="77777777" w:rsidTr="00281017">
        <w:trPr>
          <w:cantSplit/>
        </w:trPr>
        <w:tc>
          <w:tcPr>
            <w:tcW w:w="3116" w:type="dxa"/>
            <w:vMerge/>
            <w:tcBorders>
              <w:bottom w:val="single" w:sz="4" w:space="0" w:color="auto"/>
            </w:tcBorders>
          </w:tcPr>
          <w:p w14:paraId="5394F35B"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3103" w:type="dxa"/>
            <w:vAlign w:val="center"/>
          </w:tcPr>
          <w:p w14:paraId="1448C879"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sym w:font="Symbol" w:char="F0B3"/>
            </w:r>
            <w:r w:rsidRPr="00BC7DA3">
              <w:rPr>
                <w:bCs/>
                <w:color w:val="000000"/>
                <w:sz w:val="20"/>
                <w:lang w:val="es-ES_tradnl"/>
              </w:rPr>
              <w:t xml:space="preserve"> 40 kHz</w:t>
            </w:r>
          </w:p>
        </w:tc>
        <w:tc>
          <w:tcPr>
            <w:tcW w:w="3068" w:type="dxa"/>
            <w:vAlign w:val="center"/>
          </w:tcPr>
          <w:p w14:paraId="473F7856"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t></w:t>
            </w:r>
            <w:r w:rsidRPr="00BC7DA3">
              <w:rPr>
                <w:bCs/>
                <w:color w:val="000000"/>
                <w:sz w:val="20"/>
                <w:lang w:val="es-ES_tradnl"/>
              </w:rPr>
              <w:t xml:space="preserve"> 40 kHz</w:t>
            </w:r>
          </w:p>
        </w:tc>
      </w:tr>
      <w:tr w:rsidR="00EC4B1E" w:rsidRPr="00BC7DA3" w14:paraId="61482A3A" w14:textId="77777777" w:rsidTr="00281017">
        <w:trPr>
          <w:cantSplit/>
        </w:trPr>
        <w:tc>
          <w:tcPr>
            <w:tcW w:w="3116" w:type="dxa"/>
            <w:tcBorders>
              <w:bottom w:val="nil"/>
            </w:tcBorders>
            <w:vAlign w:val="center"/>
          </w:tcPr>
          <w:p w14:paraId="1C65DB77"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42,3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53,8 dBi</w:t>
            </w:r>
          </w:p>
        </w:tc>
        <w:tc>
          <w:tcPr>
            <w:tcW w:w="6171" w:type="dxa"/>
            <w:gridSpan w:val="2"/>
            <w:tcBorders>
              <w:bottom w:val="nil"/>
            </w:tcBorders>
            <w:vAlign w:val="center"/>
          </w:tcPr>
          <w:p w14:paraId="0AA118F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0,04324 </w:t>
            </w:r>
            <w:r w:rsidRPr="00BC7DA3">
              <w:rPr>
                <w:rFonts w:ascii="Symbol" w:hAnsi="Symbol"/>
                <w:color w:val="000000"/>
                <w:sz w:val="20"/>
                <w:lang w:val="es-ES_tradnl"/>
              </w:rPr>
              <w:t></w:t>
            </w:r>
            <w:r w:rsidRPr="00BC7DA3">
              <w:rPr>
                <w:color w:val="000000"/>
                <w:sz w:val="20"/>
                <w:lang w:val="es-ES_tradnl"/>
              </w:rPr>
              <w:t> 10</w:t>
            </w:r>
            <w:r w:rsidRPr="00BC7DA3">
              <w:rPr>
                <w:i/>
                <w:iCs/>
                <w:color w:val="000000"/>
                <w:sz w:val="20"/>
                <w:vertAlign w:val="superscript"/>
                <w:lang w:val="es-ES_tradnl"/>
              </w:rPr>
              <w:t>G</w:t>
            </w:r>
            <w:r w:rsidRPr="00BC7DA3">
              <w:rPr>
                <w:color w:val="000000"/>
                <w:sz w:val="20"/>
                <w:vertAlign w:val="superscript"/>
                <w:lang w:val="es-ES_tradnl"/>
              </w:rPr>
              <w:t>/20</w:t>
            </w:r>
            <w:r w:rsidRPr="00BC7DA3">
              <w:rPr>
                <w:color w:val="000000"/>
                <w:sz w:val="20"/>
                <w:lang w:val="es-ES_tradnl"/>
              </w:rPr>
              <w:t xml:space="preserve"> + 28   </w:t>
            </w:r>
            <w:proofErr w:type="gramStart"/>
            <w:r w:rsidRPr="00BC7DA3">
              <w:rPr>
                <w:color w:val="000000"/>
                <w:sz w:val="20"/>
                <w:lang w:val="es-ES_tradnl"/>
              </w:rPr>
              <w:t>dB(</w:t>
            </w:r>
            <w:proofErr w:type="gramEnd"/>
            <w:r w:rsidRPr="00BC7DA3">
              <w:rPr>
                <w:color w:val="000000"/>
                <w:sz w:val="20"/>
                <w:lang w:val="es-ES_tradnl"/>
              </w:rPr>
              <w:t>W/40 kHz)</w:t>
            </w:r>
          </w:p>
        </w:tc>
      </w:tr>
      <w:tr w:rsidR="00EC4B1E" w:rsidRPr="00BC7DA3" w14:paraId="5830C9BD" w14:textId="77777777" w:rsidTr="00281017">
        <w:trPr>
          <w:cantSplit/>
        </w:trPr>
        <w:tc>
          <w:tcPr>
            <w:tcW w:w="3116" w:type="dxa"/>
            <w:tcBorders>
              <w:top w:val="nil"/>
              <w:bottom w:val="single" w:sz="4" w:space="0" w:color="auto"/>
            </w:tcBorders>
            <w:vAlign w:val="center"/>
          </w:tcPr>
          <w:p w14:paraId="2888D32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(1,2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4,5 m)</w:t>
            </w:r>
          </w:p>
        </w:tc>
        <w:tc>
          <w:tcPr>
            <w:tcW w:w="6171" w:type="dxa"/>
            <w:gridSpan w:val="2"/>
            <w:tcBorders>
              <w:top w:val="nil"/>
            </w:tcBorders>
            <w:vAlign w:val="center"/>
          </w:tcPr>
          <w:p w14:paraId="24186D96"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(4,7</w:t>
            </w:r>
            <w:r w:rsidRPr="00BC7DA3">
              <w:rPr>
                <w:i/>
                <w:iCs/>
                <w:color w:val="000000"/>
                <w:sz w:val="20"/>
                <w:lang w:val="es-ES_tradnl"/>
              </w:rPr>
              <w:t>D</w:t>
            </w:r>
            <w:r w:rsidRPr="00BC7DA3">
              <w:rPr>
                <w:color w:val="000000"/>
                <w:sz w:val="20"/>
                <w:lang w:val="es-ES_tradnl"/>
              </w:rPr>
              <w:t xml:space="preserve"> </w:t>
            </w:r>
            <w:r w:rsidRPr="00BC7DA3">
              <w:rPr>
                <w:rFonts w:ascii="Symbol" w:hAnsi="Symbol"/>
                <w:color w:val="000000"/>
                <w:sz w:val="20"/>
                <w:lang w:val="es-ES_tradnl"/>
              </w:rPr>
              <w:t></w:t>
            </w:r>
            <w:r w:rsidRPr="00BC7DA3">
              <w:rPr>
                <w:color w:val="000000"/>
                <w:sz w:val="20"/>
                <w:lang w:val="es-ES_tradnl"/>
              </w:rPr>
              <w:t xml:space="preserve"> 28    </w:t>
            </w:r>
            <w:proofErr w:type="gramStart"/>
            <w:r w:rsidRPr="00BC7DA3">
              <w:rPr>
                <w:color w:val="000000"/>
                <w:sz w:val="20"/>
                <w:lang w:val="es-ES_tradnl"/>
              </w:rPr>
              <w:t>dB(</w:t>
            </w:r>
            <w:proofErr w:type="gramEnd"/>
            <w:r w:rsidRPr="00BC7DA3">
              <w:rPr>
                <w:color w:val="000000"/>
                <w:sz w:val="20"/>
                <w:lang w:val="es-ES_tradnl"/>
              </w:rPr>
              <w:t>W/40 kHz))</w:t>
            </w:r>
          </w:p>
        </w:tc>
      </w:tr>
      <w:tr w:rsidR="00EC4B1E" w:rsidRPr="00BC7DA3" w14:paraId="5073A7D2" w14:textId="77777777" w:rsidTr="00281017">
        <w:trPr>
          <w:cantSplit/>
        </w:trPr>
        <w:tc>
          <w:tcPr>
            <w:tcW w:w="3116" w:type="dxa"/>
            <w:tcBorders>
              <w:bottom w:val="nil"/>
            </w:tcBorders>
            <w:vAlign w:val="center"/>
          </w:tcPr>
          <w:p w14:paraId="62B844FB"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53,8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70,8 dBi</w:t>
            </w:r>
          </w:p>
        </w:tc>
        <w:tc>
          <w:tcPr>
            <w:tcW w:w="3103" w:type="dxa"/>
            <w:tcBorders>
              <w:bottom w:val="nil"/>
            </w:tcBorders>
            <w:vAlign w:val="center"/>
          </w:tcPr>
          <w:p w14:paraId="523B2B8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 4,6       </w:t>
            </w:r>
            <w:proofErr w:type="gramStart"/>
            <w:r w:rsidRPr="00BC7DA3">
              <w:rPr>
                <w:color w:val="000000"/>
                <w:sz w:val="20"/>
                <w:lang w:val="es-ES_tradnl"/>
              </w:rPr>
              <w:t>dB(</w:t>
            </w:r>
            <w:proofErr w:type="gramEnd"/>
            <w:r w:rsidRPr="00BC7DA3">
              <w:rPr>
                <w:color w:val="000000"/>
                <w:sz w:val="20"/>
                <w:lang w:val="es-ES_tradnl"/>
              </w:rPr>
              <w:t>W/40 kHz)</w:t>
            </w:r>
          </w:p>
        </w:tc>
        <w:tc>
          <w:tcPr>
            <w:tcW w:w="3068" w:type="dxa"/>
            <w:vMerge w:val="restart"/>
            <w:vAlign w:val="center"/>
          </w:tcPr>
          <w:p w14:paraId="430275F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56,2      </w:t>
            </w:r>
            <w:proofErr w:type="gramStart"/>
            <w:r w:rsidRPr="00BC7DA3">
              <w:rPr>
                <w:color w:val="000000"/>
                <w:sz w:val="20"/>
                <w:lang w:val="es-ES_tradnl"/>
              </w:rPr>
              <w:t>dB(</w:t>
            </w:r>
            <w:proofErr w:type="gramEnd"/>
            <w:r w:rsidRPr="00BC7DA3">
              <w:rPr>
                <w:color w:val="000000"/>
                <w:sz w:val="20"/>
                <w:lang w:val="es-ES_tradnl"/>
              </w:rPr>
              <w:t>W/4 kHz)</w:t>
            </w:r>
          </w:p>
        </w:tc>
      </w:tr>
      <w:tr w:rsidR="00EC4B1E" w:rsidRPr="00493013" w14:paraId="46441CA7" w14:textId="77777777" w:rsidTr="00281017">
        <w:trPr>
          <w:cantSplit/>
        </w:trPr>
        <w:tc>
          <w:tcPr>
            <w:tcW w:w="3116" w:type="dxa"/>
            <w:tcBorders>
              <w:top w:val="nil"/>
              <w:bottom w:val="single" w:sz="4" w:space="0" w:color="auto"/>
            </w:tcBorders>
            <w:vAlign w:val="center"/>
          </w:tcPr>
          <w:p w14:paraId="7FF9F42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(4,5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31,9 m)</w:t>
            </w:r>
          </w:p>
        </w:tc>
        <w:tc>
          <w:tcPr>
            <w:tcW w:w="3103" w:type="dxa"/>
            <w:tcBorders>
              <w:top w:val="nil"/>
            </w:tcBorders>
            <w:vAlign w:val="center"/>
          </w:tcPr>
          <w:p w14:paraId="3317BC2E" w14:textId="77777777" w:rsidR="00EC4B1E" w:rsidRPr="008123C0" w:rsidRDefault="00EC4B1E" w:rsidP="00281017">
            <w:pPr>
              <w:pStyle w:val="Tabletext0"/>
              <w:framePr w:hSpace="181" w:wrap="around" w:vAnchor="text" w:hAnchor="margin" w:xAlign="center" w:y="1"/>
              <w:jc w:val="center"/>
              <w:rPr>
                <w:color w:val="000000"/>
                <w:sz w:val="20"/>
                <w:lang w:val="de-CH"/>
              </w:rPr>
            </w:pPr>
            <w:r w:rsidRPr="008123C0">
              <w:rPr>
                <w:color w:val="000000"/>
                <w:sz w:val="20"/>
                <w:lang w:val="de-CH"/>
              </w:rPr>
              <w:t xml:space="preserve">(49,2 </w:t>
            </w:r>
            <w:r w:rsidRPr="00BC7DA3">
              <w:rPr>
                <w:rFonts w:ascii="Symbol" w:hAnsi="Symbol"/>
                <w:color w:val="000000"/>
                <w:sz w:val="20"/>
                <w:lang w:val="es-ES_tradnl"/>
              </w:rPr>
              <w:t></w:t>
            </w:r>
            <w:r w:rsidRPr="008123C0">
              <w:rPr>
                <w:color w:val="000000"/>
                <w:sz w:val="20"/>
                <w:lang w:val="de-CH"/>
              </w:rPr>
              <w:t xml:space="preserve"> 20 log(</w:t>
            </w:r>
            <w:r w:rsidRPr="008123C0">
              <w:rPr>
                <w:i/>
                <w:iCs/>
                <w:color w:val="000000"/>
                <w:sz w:val="20"/>
                <w:lang w:val="de-CH"/>
              </w:rPr>
              <w:t>D</w:t>
            </w:r>
            <w:r w:rsidRPr="008123C0">
              <w:rPr>
                <w:color w:val="000000"/>
                <w:sz w:val="20"/>
                <w:lang w:val="de-CH"/>
              </w:rPr>
              <w:t>/4,5)</w:t>
            </w:r>
            <w:r w:rsidRPr="008123C0">
              <w:rPr>
                <w:color w:val="000000"/>
                <w:sz w:val="20"/>
                <w:lang w:val="de-CH"/>
              </w:rPr>
              <w:br/>
              <w:t>dB(W/40 kHz))</w:t>
            </w:r>
          </w:p>
        </w:tc>
        <w:tc>
          <w:tcPr>
            <w:tcW w:w="3068" w:type="dxa"/>
            <w:vMerge/>
          </w:tcPr>
          <w:p w14:paraId="309B060E" w14:textId="77777777" w:rsidR="00EC4B1E" w:rsidRPr="008123C0" w:rsidRDefault="00EC4B1E" w:rsidP="00281017">
            <w:pPr>
              <w:pStyle w:val="Tabletext0"/>
              <w:framePr w:hSpace="181" w:wrap="around" w:vAnchor="text" w:hAnchor="margin" w:xAlign="center" w:y="1"/>
              <w:jc w:val="center"/>
              <w:rPr>
                <w:color w:val="000000"/>
                <w:sz w:val="20"/>
                <w:lang w:val="de-CH"/>
              </w:rPr>
            </w:pPr>
          </w:p>
        </w:tc>
      </w:tr>
      <w:tr w:rsidR="00EC4B1E" w:rsidRPr="00BC7DA3" w14:paraId="3982973B" w14:textId="77777777" w:rsidTr="00281017">
        <w:trPr>
          <w:cantSplit/>
        </w:trPr>
        <w:tc>
          <w:tcPr>
            <w:tcW w:w="3116" w:type="dxa"/>
            <w:tcBorders>
              <w:bottom w:val="nil"/>
            </w:tcBorders>
            <w:vAlign w:val="center"/>
          </w:tcPr>
          <w:p w14:paraId="3E0C1D24"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70,8 dBi</w:t>
            </w:r>
          </w:p>
        </w:tc>
        <w:tc>
          <w:tcPr>
            <w:tcW w:w="3103" w:type="dxa"/>
            <w:vMerge w:val="restart"/>
            <w:vAlign w:val="center"/>
          </w:tcPr>
          <w:p w14:paraId="71C6CC2F"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66,2       </w:t>
            </w:r>
            <w:proofErr w:type="gramStart"/>
            <w:r w:rsidRPr="00BC7DA3">
              <w:rPr>
                <w:color w:val="000000"/>
                <w:sz w:val="20"/>
                <w:lang w:val="es-ES_tradnl"/>
              </w:rPr>
              <w:t>dB(</w:t>
            </w:r>
            <w:proofErr w:type="gramEnd"/>
            <w:r w:rsidRPr="00BC7DA3">
              <w:rPr>
                <w:color w:val="000000"/>
                <w:sz w:val="20"/>
                <w:lang w:val="es-ES_tradnl"/>
              </w:rPr>
              <w:t>W/40 kHz)</w:t>
            </w:r>
          </w:p>
        </w:tc>
        <w:tc>
          <w:tcPr>
            <w:tcW w:w="3068" w:type="dxa"/>
            <w:vMerge/>
          </w:tcPr>
          <w:p w14:paraId="72942CAB"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r w:rsidR="00EC4B1E" w:rsidRPr="00BC7DA3" w14:paraId="5D4E6E92" w14:textId="77777777" w:rsidTr="00281017">
        <w:trPr>
          <w:cantSplit/>
        </w:trPr>
        <w:tc>
          <w:tcPr>
            <w:tcW w:w="3116" w:type="dxa"/>
            <w:tcBorders>
              <w:top w:val="nil"/>
            </w:tcBorders>
            <w:vAlign w:val="center"/>
          </w:tcPr>
          <w:p w14:paraId="61F076B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w:t>
            </w:r>
            <w:r w:rsidRPr="00BC7DA3">
              <w:rPr>
                <w:i/>
                <w:iCs/>
                <w:color w:val="000000"/>
                <w:sz w:val="20"/>
                <w:lang w:val="es-ES_tradnl"/>
              </w:rPr>
              <w:t>D</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31,9 m)</w:t>
            </w:r>
          </w:p>
        </w:tc>
        <w:tc>
          <w:tcPr>
            <w:tcW w:w="3103" w:type="dxa"/>
            <w:vMerge/>
            <w:vAlign w:val="center"/>
          </w:tcPr>
          <w:p w14:paraId="61065058"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c>
          <w:tcPr>
            <w:tcW w:w="3068" w:type="dxa"/>
            <w:vMerge/>
          </w:tcPr>
          <w:p w14:paraId="4A453D53"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bl>
    <w:p w14:paraId="24F4B394" w14:textId="77777777" w:rsidR="00EC4B1E" w:rsidRPr="00CC4FCD" w:rsidRDefault="00EC4B1E" w:rsidP="00EC4B1E">
      <w:pPr>
        <w:rPr>
          <w:color w:val="000000"/>
          <w:lang w:val="es-ES_tradnl"/>
        </w:rPr>
      </w:pPr>
      <w:r w:rsidRPr="00CC4FCD">
        <w:rPr>
          <w:color w:val="000000"/>
          <w:lang w:val="es-ES_tradnl"/>
        </w:rPr>
        <w:t>La conversión de los límites de la p.i.r.e. pasando de una función del diámetro de la antena a una función de la ganancia máxima de la antena se obtiene para la frecuencia 13,75 GHz, y una eficacia de antena del 57,2%.</w:t>
      </w:r>
    </w:p>
    <w:p w14:paraId="5A99F4C1" w14:textId="77777777" w:rsidR="000A21A1" w:rsidRPr="00CC4FCD" w:rsidRDefault="000A21A1" w:rsidP="00BC7DA3">
      <w:pPr>
        <w:pStyle w:val="Heading8"/>
        <w:spacing w:before="240"/>
        <w:rPr>
          <w:color w:val="000000"/>
          <w:lang w:val="es-ES_tradnl"/>
        </w:rPr>
      </w:pPr>
      <w:r w:rsidRPr="00CC4FCD">
        <w:rPr>
          <w:color w:val="000000"/>
          <w:lang w:val="es-ES_tradnl"/>
        </w:rPr>
        <w:t>5.504B</w:t>
      </w:r>
    </w:p>
    <w:p w14:paraId="5F4F6E99" w14:textId="46168201" w:rsidR="00B837FE" w:rsidRDefault="00FA6BE9" w:rsidP="00117D31">
      <w:pPr>
        <w:rPr>
          <w:color w:val="000000"/>
          <w:lang w:val="es-ES_tradnl"/>
        </w:rPr>
      </w:pPr>
      <w:r w:rsidRPr="00CC4FCD">
        <w:rPr>
          <w:color w:val="000000"/>
          <w:lang w:val="es-ES_tradnl"/>
        </w:rPr>
        <w:t>En relación con el cumplimiento de los límites obligatorios de la densidad de flujo de potencia</w:t>
      </w:r>
      <w:r w:rsidR="00BC7DA3">
        <w:rPr>
          <w:color w:val="000000"/>
          <w:lang w:val="es-ES_tradnl"/>
        </w:rPr>
        <w:t> </w:t>
      </w:r>
      <w:r w:rsidRPr="00CC4FCD">
        <w:rPr>
          <w:color w:val="000000"/>
          <w:lang w:val="es-ES_tradnl"/>
        </w:rPr>
        <w:t>y de otras condiciones de la Recomendación UIT</w:t>
      </w:r>
      <w:r w:rsidRPr="00CC4FCD">
        <w:rPr>
          <w:color w:val="000000"/>
          <w:lang w:val="es-ES_tradnl"/>
        </w:rPr>
        <w:noBreakHyphen/>
        <w:t>R M.1643</w:t>
      </w:r>
      <w:r w:rsidR="007769E4">
        <w:rPr>
          <w:color w:val="000000"/>
          <w:lang w:val="es-ES_tradnl"/>
        </w:rPr>
        <w:t>-0</w:t>
      </w:r>
      <w:r w:rsidR="005632A5">
        <w:rPr>
          <w:color w:val="000000"/>
          <w:lang w:val="es-ES_tradnl"/>
        </w:rPr>
        <w:t xml:space="preserve"> (conforme a la modificación del número </w:t>
      </w:r>
      <w:r w:rsidR="005632A5">
        <w:rPr>
          <w:b/>
          <w:bCs/>
          <w:color w:val="000000"/>
          <w:lang w:val="es-ES_tradnl"/>
        </w:rPr>
        <w:t>5.504B</w:t>
      </w:r>
      <w:r w:rsidR="00117D31">
        <w:rPr>
          <w:color w:val="000000"/>
          <w:lang w:val="es-ES_tradnl"/>
        </w:rPr>
        <w:t xml:space="preserve"> por la CMR-15)</w:t>
      </w:r>
      <w:r w:rsidRPr="00CC4FCD">
        <w:rPr>
          <w:color w:val="000000"/>
          <w:lang w:val="es-ES_tradnl"/>
        </w:rPr>
        <w:t>, aplicable según los números</w:t>
      </w:r>
      <w:r w:rsidR="00BA320D">
        <w:rPr>
          <w:color w:val="000000"/>
          <w:lang w:val="es-ES_tradnl"/>
        </w:rPr>
        <w:t xml:space="preserve"> </w:t>
      </w:r>
      <w:r w:rsidRPr="00CC4FCD">
        <w:rPr>
          <w:rStyle w:val="Artref"/>
          <w:b/>
          <w:bCs/>
          <w:color w:val="000000"/>
          <w:lang w:val="es-ES_tradnl"/>
        </w:rPr>
        <w:t>5.504B</w:t>
      </w:r>
      <w:r w:rsidRPr="00CC4FCD">
        <w:rPr>
          <w:color w:val="000000"/>
          <w:lang w:val="es-ES_tradnl"/>
        </w:rPr>
        <w:t xml:space="preserve">, </w:t>
      </w:r>
      <w:r w:rsidRPr="00CC4FCD">
        <w:rPr>
          <w:rStyle w:val="Artref"/>
          <w:b/>
          <w:bCs/>
          <w:color w:val="000000"/>
          <w:lang w:val="es-ES_tradnl"/>
        </w:rPr>
        <w:t>5.504C</w:t>
      </w:r>
      <w:r w:rsidRPr="00CC4FCD">
        <w:rPr>
          <w:color w:val="000000"/>
          <w:lang w:val="es-ES_tradnl"/>
        </w:rPr>
        <w:t xml:space="preserve">, </w:t>
      </w:r>
      <w:r w:rsidRPr="00CC4FCD">
        <w:rPr>
          <w:rStyle w:val="Artref"/>
          <w:b/>
          <w:bCs/>
          <w:color w:val="000000"/>
          <w:lang w:val="es-ES_tradnl"/>
        </w:rPr>
        <w:t>5.508A</w:t>
      </w:r>
      <w:r w:rsidRPr="00CC4FCD">
        <w:rPr>
          <w:color w:val="000000"/>
          <w:lang w:val="es-ES_tradnl"/>
        </w:rPr>
        <w:t xml:space="preserve"> y </w:t>
      </w:r>
      <w:r w:rsidRPr="00CC4FCD">
        <w:rPr>
          <w:rStyle w:val="Artref"/>
          <w:b/>
          <w:bCs/>
          <w:color w:val="000000"/>
          <w:lang w:val="es-ES_tradnl"/>
        </w:rPr>
        <w:t>5.509A</w:t>
      </w:r>
      <w:r w:rsidRPr="00CC4FCD">
        <w:rPr>
          <w:color w:val="000000"/>
          <w:lang w:val="es-ES_tradnl"/>
        </w:rPr>
        <w:t xml:space="preserve"> a las estaciones terrenas de aeronave que funcionan</w:t>
      </w:r>
      <w:r w:rsidR="00BC7DA3" w:rsidRPr="00BC7DA3">
        <w:rPr>
          <w:color w:val="000000"/>
          <w:lang w:val="es-ES_tradnl"/>
        </w:rPr>
        <w:t xml:space="preserve"> </w:t>
      </w:r>
      <w:r w:rsidR="00BC7DA3" w:rsidRPr="00CC4FCD">
        <w:rPr>
          <w:color w:val="000000"/>
          <w:lang w:val="es-ES_tradnl"/>
        </w:rPr>
        <w:t>en el servicio móvil por satélite aeronáutico secundario, la Junta opina que se trata de un tema operacional. Por tanto, corresponde a la administración notificante de la red de satélite y a las administra</w:t>
      </w:r>
      <w:r w:rsidR="00644C2E">
        <w:rPr>
          <w:color w:val="000000"/>
          <w:lang w:val="es-ES_tradnl"/>
        </w:rPr>
        <w:softHyphen/>
      </w:r>
      <w:r w:rsidR="00BC7DA3" w:rsidRPr="00CC4FCD">
        <w:rPr>
          <w:color w:val="000000"/>
          <w:lang w:val="es-ES_tradnl"/>
        </w:rPr>
        <w:t>ciones notificantes de las estaciones terrenas de aeronave garantizar el cumplimiento de dichos límites. La Oficina no realizará</w:t>
      </w:r>
      <w:r w:rsidR="00117D31">
        <w:rPr>
          <w:color w:val="000000"/>
          <w:lang w:val="es-ES_tradnl"/>
        </w:rPr>
        <w:t xml:space="preserve"> </w:t>
      </w:r>
      <w:r w:rsidR="00BC7DA3" w:rsidRPr="00CC4FCD">
        <w:rPr>
          <w:color w:val="000000"/>
          <w:lang w:val="es-ES_tradnl"/>
        </w:rPr>
        <w:t>exámenes según el número</w:t>
      </w:r>
      <w:r w:rsidR="00644C2E">
        <w:rPr>
          <w:color w:val="000000"/>
          <w:lang w:val="es-ES_tradnl"/>
        </w:rPr>
        <w:t> </w:t>
      </w:r>
      <w:r w:rsidR="00BC7DA3" w:rsidRPr="00CC4FCD">
        <w:rPr>
          <w:rStyle w:val="Artref"/>
          <w:b/>
          <w:bCs/>
          <w:color w:val="000000"/>
          <w:lang w:val="es-ES_tradnl"/>
        </w:rPr>
        <w:t>9.35/11.31</w:t>
      </w:r>
      <w:r w:rsidR="00BC7DA3" w:rsidRPr="00CC4FCD">
        <w:rPr>
          <w:color w:val="000000"/>
          <w:lang w:val="es-ES_tradnl"/>
        </w:rPr>
        <w:t xml:space="preserve"> respecto a la conformidad con esas condiciones.</w:t>
      </w:r>
    </w:p>
    <w:p w14:paraId="0552BF4C" w14:textId="77777777" w:rsidR="00EB202F" w:rsidRPr="00EB202F" w:rsidRDefault="00EB202F" w:rsidP="003F09A1">
      <w:pPr>
        <w:pStyle w:val="Heading8"/>
        <w:spacing w:before="120"/>
        <w:rPr>
          <w:color w:val="000000"/>
          <w:lang w:val="es-ES_tradnl"/>
        </w:rPr>
      </w:pPr>
      <w:r w:rsidRPr="00EB202F">
        <w:rPr>
          <w:color w:val="000000"/>
          <w:lang w:val="es-ES_tradnl"/>
        </w:rPr>
        <w:t>5.504C</w:t>
      </w:r>
    </w:p>
    <w:p w14:paraId="528186AC" w14:textId="77777777"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4E1859F0" w14:textId="77777777" w:rsidR="00B837FE" w:rsidRDefault="00B837FE" w:rsidP="00EF465E">
      <w:pPr>
        <w:rPr>
          <w:lang w:val="es-ES_tradnl"/>
        </w:rPr>
      </w:pPr>
      <w:r>
        <w:rPr>
          <w:lang w:val="es-ES_tradnl"/>
        </w:rPr>
        <w:br w:type="page"/>
      </w:r>
    </w:p>
    <w:p w14:paraId="173F23C8" w14:textId="77777777" w:rsidR="00EB202F" w:rsidRPr="00EB202F" w:rsidRDefault="00EB202F" w:rsidP="003F09A1">
      <w:pPr>
        <w:pStyle w:val="Heading8"/>
        <w:spacing w:before="120"/>
        <w:rPr>
          <w:lang w:val="es-ES_tradnl"/>
        </w:rPr>
      </w:pPr>
      <w:r w:rsidRPr="00EB202F">
        <w:rPr>
          <w:lang w:val="es-ES_tradnl"/>
        </w:rPr>
        <w:lastRenderedPageBreak/>
        <w:t>5.506A</w:t>
      </w:r>
    </w:p>
    <w:p w14:paraId="6C4C7018" w14:textId="319CF19F" w:rsidR="00EB202F" w:rsidRPr="00EB202F" w:rsidRDefault="00EB202F" w:rsidP="00EB202F">
      <w:pPr>
        <w:tabs>
          <w:tab w:val="left" w:pos="567"/>
        </w:tabs>
        <w:spacing w:line="270" w:lineRule="exact"/>
        <w:rPr>
          <w:lang w:val="es-ES_tradnl"/>
        </w:rPr>
      </w:pPr>
      <w:r w:rsidRPr="00EB202F">
        <w:rPr>
          <w:lang w:val="es-ES_tradnl"/>
        </w:rPr>
        <w:t xml:space="preserve">En virtud del número </w:t>
      </w:r>
      <w:r w:rsidRPr="00EB202F">
        <w:rPr>
          <w:rStyle w:val="Artref"/>
          <w:b/>
          <w:bCs/>
          <w:color w:val="000000"/>
          <w:lang w:val="es-ES_tradnl"/>
        </w:rPr>
        <w:t>5.506A</w:t>
      </w:r>
      <w:r w:rsidRPr="00EB202F">
        <w:rPr>
          <w:lang w:val="es-ES_tradnl"/>
        </w:rPr>
        <w:t>, las</w:t>
      </w:r>
      <w:r w:rsidRPr="00EB202F">
        <w:rPr>
          <w:b/>
          <w:lang w:val="es-ES_tradnl"/>
        </w:rPr>
        <w:t xml:space="preserve"> </w:t>
      </w:r>
      <w:r w:rsidRPr="00EB202F">
        <w:rPr>
          <w:lang w:val="es-ES_tradnl"/>
        </w:rPr>
        <w:t>estaciones terrenas de barco que emplean la banda de frecuencias 14-14,5 GHz con una p.i.r.e. mayor que 21</w:t>
      </w:r>
      <w:r w:rsidR="00644C2E">
        <w:rPr>
          <w:lang w:val="es-ES_tradnl"/>
        </w:rPr>
        <w:t> </w:t>
      </w:r>
      <w:r w:rsidRPr="00EB202F">
        <w:rPr>
          <w:lang w:val="es-ES_tradnl"/>
        </w:rPr>
        <w:t xml:space="preserve">dBW tendrán que funcionar, a partir del 5 de julio de 2003, en las mismas condiciones que las estaciones terrenas a bordo de barcos, de acuerdo con la Resolución </w:t>
      </w:r>
      <w:r w:rsidRPr="00EB202F">
        <w:rPr>
          <w:b/>
          <w:bCs/>
          <w:color w:val="000000"/>
          <w:lang w:val="es-ES_tradnl"/>
        </w:rPr>
        <w:t>902</w:t>
      </w:r>
      <w:r w:rsidRPr="00EB202F">
        <w:rPr>
          <w:b/>
          <w:lang w:val="es-ES_tradnl"/>
        </w:rPr>
        <w:t xml:space="preserve"> (CMR-03)</w:t>
      </w:r>
      <w:r w:rsidRPr="00EB202F">
        <w:rPr>
          <w:lang w:val="es-ES_tradnl"/>
        </w:rPr>
        <w:t>. Si bien el Anexo 2 de esta Resolución especifica un diámetro de antena mínimo de 1,2</w:t>
      </w:r>
      <w:r w:rsidR="00644C2E">
        <w:rPr>
          <w:lang w:val="es-ES_tradnl"/>
        </w:rPr>
        <w:t> </w:t>
      </w:r>
      <w:r w:rsidRPr="00EB202F">
        <w:rPr>
          <w:lang w:val="es-ES_tradnl"/>
        </w:rPr>
        <w:t xml:space="preserve">m, el Apéndice </w:t>
      </w:r>
      <w:r w:rsidRPr="00EB202F">
        <w:rPr>
          <w:rStyle w:val="Appref"/>
          <w:b/>
          <w:color w:val="000000"/>
          <w:lang w:val="es-ES_tradnl"/>
        </w:rPr>
        <w:t>4</w:t>
      </w:r>
      <w:r w:rsidRPr="00EB202F">
        <w:rPr>
          <w:lang w:val="es-ES_tradnl"/>
        </w:rPr>
        <w:t xml:space="preserve"> no indica que el diámetro de las antenas de estas estaciones terrenas de barco sea un dato obligatorio. Se encarga a la Oficina que utilice un valor de la ganancia de antena de 42,5 dBi para verificar la confor</w:t>
      </w:r>
      <w:r w:rsidRPr="00EB202F">
        <w:rPr>
          <w:lang w:val="es-ES_tradnl"/>
        </w:rPr>
        <w:softHyphen/>
        <w:t xml:space="preserve">midad con el requisito de diámetro mínimo de antena de la estación terrena de barco (la relación entre la ganancia y el diámetro se calcula para la menor frecuencia de la banda, es decir para </w:t>
      </w:r>
      <w:r w:rsidRPr="00EB202F">
        <w:rPr>
          <w:i/>
          <w:lang w:val="es-ES_tradnl"/>
        </w:rPr>
        <w:t>f</w:t>
      </w:r>
      <w:r w:rsidRPr="00EB202F">
        <w:rPr>
          <w:lang w:val="es-ES_tradnl"/>
        </w:rPr>
        <w:t> </w:t>
      </w:r>
      <w:r w:rsidRPr="00CC4FCD">
        <w:rPr>
          <w:rFonts w:ascii="Symbol" w:hAnsi="Symbol"/>
        </w:rPr>
        <w:t></w:t>
      </w:r>
      <w:r w:rsidRPr="00EB202F">
        <w:rPr>
          <w:lang w:val="es-ES_tradnl"/>
        </w:rPr>
        <w:t> 14 GHz, y un rendimiento de la antena del 57,2%).</w:t>
      </w:r>
    </w:p>
    <w:p w14:paraId="4B752AA6" w14:textId="77777777" w:rsidR="00EB202F" w:rsidRPr="00EB202F" w:rsidRDefault="00EB202F" w:rsidP="003F09A1">
      <w:pPr>
        <w:pStyle w:val="Heading8"/>
        <w:spacing w:before="120"/>
        <w:rPr>
          <w:color w:val="000000"/>
          <w:lang w:val="es-ES_tradnl"/>
        </w:rPr>
      </w:pPr>
      <w:r w:rsidRPr="00EB202F">
        <w:rPr>
          <w:color w:val="000000"/>
          <w:lang w:val="es-ES_tradnl"/>
        </w:rPr>
        <w:t>5.508A</w:t>
      </w:r>
    </w:p>
    <w:p w14:paraId="68F20BBA" w14:textId="77777777"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8B8CE37" w14:textId="77777777" w:rsidR="00EB202F" w:rsidRPr="00EB202F" w:rsidRDefault="00EB202F" w:rsidP="003F09A1">
      <w:pPr>
        <w:pStyle w:val="Heading8"/>
        <w:spacing w:before="120"/>
        <w:rPr>
          <w:color w:val="000000"/>
          <w:lang w:val="es-ES_tradnl"/>
        </w:rPr>
      </w:pPr>
      <w:r w:rsidRPr="00EB202F">
        <w:rPr>
          <w:color w:val="000000"/>
          <w:lang w:val="es-ES_tradnl"/>
        </w:rPr>
        <w:t>5.509A</w:t>
      </w:r>
    </w:p>
    <w:p w14:paraId="54CBE02E"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C643A80" w14:textId="1E63874C" w:rsidR="00373977" w:rsidRPr="00373977" w:rsidRDefault="00373977" w:rsidP="003C0B46">
      <w:pPr>
        <w:keepNext/>
        <w:keepLines/>
        <w:pBdr>
          <w:top w:val="double" w:sz="6" w:space="1" w:color="auto"/>
          <w:left w:val="double" w:sz="6" w:space="1" w:color="auto"/>
          <w:bottom w:val="double" w:sz="6" w:space="1" w:color="auto"/>
          <w:right w:val="double" w:sz="6" w:space="1" w:color="auto"/>
        </w:pBdr>
        <w:ind w:left="85" w:right="7938"/>
        <w:jc w:val="left"/>
        <w:outlineLvl w:val="7"/>
        <w:rPr>
          <w:b/>
          <w:szCs w:val="24"/>
          <w:lang w:val="es-ES_tradnl"/>
        </w:rPr>
      </w:pPr>
      <w:r w:rsidRPr="00373977">
        <w:rPr>
          <w:b/>
          <w:szCs w:val="24"/>
          <w:lang w:val="es-ES_tradnl"/>
        </w:rPr>
        <w:t xml:space="preserve">5.509D y </w:t>
      </w:r>
      <w:r w:rsidRPr="00373977">
        <w:rPr>
          <w:b/>
          <w:szCs w:val="24"/>
          <w:lang w:val="es-ES_tradnl"/>
        </w:rPr>
        <w:br/>
        <w:t>5.509E</w:t>
      </w:r>
    </w:p>
    <w:p w14:paraId="1C2508A9" w14:textId="663982C2" w:rsidR="00373977" w:rsidRPr="00373977" w:rsidRDefault="00373977" w:rsidP="00373977">
      <w:pPr>
        <w:rPr>
          <w:lang w:val="es-ES_tradnl"/>
        </w:rPr>
      </w:pPr>
      <w:r w:rsidRPr="00373977">
        <w:rPr>
          <w:lang w:val="es-ES_tradnl"/>
        </w:rPr>
        <w:t xml:space="preserve">Cuando una administración presenta una notificación o solicitud de coordinación para una asignación de frecuencias a una estación espacial de una red de satélites sujeta a las Resoluciones </w:t>
      </w:r>
      <w:r w:rsidRPr="00373977">
        <w:rPr>
          <w:b/>
          <w:bCs/>
          <w:lang w:val="es-ES_tradnl"/>
        </w:rPr>
        <w:t>163 (CMR-15)</w:t>
      </w:r>
      <w:r w:rsidRPr="00373977">
        <w:rPr>
          <w:lang w:val="es-ES_tradnl"/>
        </w:rPr>
        <w:t xml:space="preserve"> o </w:t>
      </w:r>
      <w:r w:rsidRPr="00373977">
        <w:rPr>
          <w:b/>
          <w:bCs/>
          <w:lang w:val="es-ES_tradnl"/>
        </w:rPr>
        <w:t>164 (CMR-15)</w:t>
      </w:r>
      <w:r w:rsidRPr="00373977">
        <w:rPr>
          <w:lang w:val="es-ES_tradnl"/>
        </w:rPr>
        <w:t xml:space="preserve">, la notificación debe incluir el compromiso de la Administración, según exige el </w:t>
      </w:r>
      <w:r w:rsidRPr="00373977">
        <w:rPr>
          <w:bCs/>
          <w:color w:val="000000"/>
          <w:lang w:val="es-ES_tradnl"/>
        </w:rPr>
        <w:t>§ </w:t>
      </w:r>
      <w:r w:rsidRPr="00373977">
        <w:rPr>
          <w:lang w:val="es-ES_tradnl"/>
        </w:rPr>
        <w:t>A.16</w:t>
      </w:r>
      <w:r w:rsidR="00796849">
        <w:rPr>
          <w:lang w:val="es-ES_tradnl"/>
        </w:rPr>
        <w:t> </w:t>
      </w:r>
      <w:r w:rsidRPr="00373977">
        <w:rPr>
          <w:i/>
          <w:iCs/>
          <w:lang w:val="es-ES_tradnl"/>
        </w:rPr>
        <w:t>c)</w:t>
      </w:r>
      <w:r w:rsidRPr="00373977">
        <w:rPr>
          <w:lang w:val="es-ES_tradnl"/>
        </w:rPr>
        <w:t xml:space="preserve"> del Anexo 2 al Apéndice </w:t>
      </w:r>
      <w:r w:rsidRPr="00373977">
        <w:rPr>
          <w:b/>
          <w:bCs/>
          <w:lang w:val="es-ES_tradnl"/>
        </w:rPr>
        <w:t>4</w:t>
      </w:r>
      <w:r w:rsidRPr="00373977">
        <w:rPr>
          <w:lang w:val="es-ES_tradnl"/>
        </w:rPr>
        <w:t xml:space="preserve">, de que todas las estaciones terrenas asociadas a la red de satélites notificada respetarán la distancia de separación especificada en el número </w:t>
      </w:r>
      <w:r w:rsidRPr="00373977">
        <w:rPr>
          <w:b/>
          <w:bCs/>
          <w:lang w:val="es-ES_tradnl"/>
        </w:rPr>
        <w:t>5.509E</w:t>
      </w:r>
      <w:r w:rsidRPr="00373977">
        <w:rPr>
          <w:lang w:val="es-ES_tradnl"/>
        </w:rPr>
        <w:t xml:space="preserve"> y los límites de densidad de flujo de potencia especificados en el número </w:t>
      </w:r>
      <w:r w:rsidRPr="00373977">
        <w:rPr>
          <w:b/>
          <w:bCs/>
          <w:lang w:val="es-ES_tradnl"/>
        </w:rPr>
        <w:t>5.509D</w:t>
      </w:r>
      <w:r w:rsidRPr="00373977">
        <w:rPr>
          <w:lang w:val="es-ES_tradnl"/>
        </w:rPr>
        <w:t>.</w:t>
      </w:r>
    </w:p>
    <w:p w14:paraId="53C9EBCC" w14:textId="77777777" w:rsidR="00373977" w:rsidRPr="00373977" w:rsidRDefault="00373977" w:rsidP="003F09A1">
      <w:pPr>
        <w:spacing w:before="40"/>
        <w:rPr>
          <w:lang w:val="es-ES_tradnl"/>
        </w:rPr>
      </w:pPr>
      <w:r w:rsidRPr="00373977">
        <w:rPr>
          <w:lang w:val="es-ES_tradnl"/>
        </w:rPr>
        <w:t xml:space="preserve">La Junta decidió encargar a la Oficina que utilice el compromiso estipulado en el </w:t>
      </w:r>
      <w:r w:rsidRPr="00373977">
        <w:rPr>
          <w:bCs/>
          <w:color w:val="000000"/>
          <w:lang w:val="es-ES_tradnl"/>
        </w:rPr>
        <w:t xml:space="preserve">§ A.16 </w:t>
      </w:r>
      <w:r w:rsidRPr="00373977">
        <w:rPr>
          <w:bCs/>
          <w:i/>
          <w:iCs/>
          <w:color w:val="000000"/>
          <w:lang w:val="es-ES_tradnl"/>
        </w:rPr>
        <w:t>c)</w:t>
      </w:r>
      <w:r w:rsidRPr="00373977">
        <w:rPr>
          <w:lang w:val="es-ES_tradnl"/>
        </w:rPr>
        <w:t xml:space="preserve"> al examinar en virtud del número </w:t>
      </w:r>
      <w:r w:rsidRPr="00373977">
        <w:rPr>
          <w:b/>
          <w:bCs/>
          <w:lang w:val="es-ES_tradnl"/>
        </w:rPr>
        <w:t xml:space="preserve">9.35/11.31 </w:t>
      </w:r>
      <w:r w:rsidRPr="00373977">
        <w:rPr>
          <w:lang w:val="es-ES_tradnl"/>
        </w:rPr>
        <w:t xml:space="preserve">la conformidad de las asignaciones de frecuencia de una red de satélites con los números </w:t>
      </w:r>
      <w:r w:rsidRPr="00373977">
        <w:rPr>
          <w:b/>
          <w:bCs/>
          <w:lang w:val="es-ES_tradnl"/>
        </w:rPr>
        <w:t>5.509D</w:t>
      </w:r>
      <w:r w:rsidRPr="00373977">
        <w:rPr>
          <w:lang w:val="es-ES_tradnl"/>
        </w:rPr>
        <w:t xml:space="preserve"> y </w:t>
      </w:r>
      <w:r w:rsidRPr="00373977">
        <w:rPr>
          <w:b/>
          <w:bCs/>
          <w:lang w:val="es-ES_tradnl"/>
        </w:rPr>
        <w:t>5.509E</w:t>
      </w:r>
      <w:r w:rsidRPr="00373977">
        <w:rPr>
          <w:lang w:val="es-ES_tradnl"/>
        </w:rPr>
        <w:t>.</w:t>
      </w:r>
    </w:p>
    <w:p w14:paraId="0467D7FD" w14:textId="77777777" w:rsidR="00373977" w:rsidRPr="00373977" w:rsidRDefault="00373977" w:rsidP="003F09A1">
      <w:pPr>
        <w:spacing w:before="40"/>
        <w:rPr>
          <w:lang w:val="es-ES_tradnl"/>
        </w:rPr>
      </w:pPr>
      <w:r w:rsidRPr="00373977">
        <w:rPr>
          <w:rFonts w:cstheme="minorHAnsi"/>
          <w:lang w:val="es-ES_tradnl"/>
        </w:rPr>
        <w:t xml:space="preserve">Ahora bien, el examen reglamentario por la Oficina, en virtud del número </w:t>
      </w:r>
      <w:r w:rsidRPr="00373977">
        <w:rPr>
          <w:rFonts w:cstheme="minorHAnsi"/>
          <w:b/>
          <w:bCs/>
          <w:lang w:val="es-ES_tradnl"/>
        </w:rPr>
        <w:t>11.31</w:t>
      </w:r>
      <w:r w:rsidRPr="00373977">
        <w:rPr>
          <w:rFonts w:cstheme="minorHAnsi"/>
          <w:lang w:val="es-ES_tradnl"/>
        </w:rPr>
        <w:t xml:space="preserve">, de una asignación de frecuencias a una estación terrena notificada con arreglo al Artículo </w:t>
      </w:r>
      <w:r w:rsidRPr="00373977">
        <w:rPr>
          <w:rFonts w:cstheme="minorHAnsi"/>
          <w:b/>
          <w:bCs/>
          <w:lang w:val="es-ES_tradnl"/>
        </w:rPr>
        <w:t>11</w:t>
      </w:r>
      <w:r w:rsidRPr="00373977">
        <w:rPr>
          <w:rFonts w:cstheme="minorHAnsi"/>
          <w:lang w:val="es-ES_tradnl"/>
        </w:rPr>
        <w:t xml:space="preserve"> comprende la verificación de la conformidad con los límites de densidad de flujo de potencia producidos por esta estación terrena y estipulados en el número </w:t>
      </w:r>
      <w:r w:rsidRPr="00373977">
        <w:rPr>
          <w:rFonts w:cstheme="minorHAnsi"/>
          <w:b/>
          <w:bCs/>
          <w:lang w:val="es-ES_tradnl"/>
        </w:rPr>
        <w:t>5.509D</w:t>
      </w:r>
      <w:r w:rsidRPr="00373977">
        <w:rPr>
          <w:rFonts w:cstheme="minorHAnsi"/>
          <w:lang w:val="es-ES_tradnl"/>
        </w:rPr>
        <w:t xml:space="preserve"> y la distancia indicada en el número </w:t>
      </w:r>
      <w:r w:rsidRPr="00373977">
        <w:rPr>
          <w:rFonts w:cstheme="minorHAnsi"/>
          <w:b/>
          <w:bCs/>
          <w:lang w:val="es-ES_tradnl"/>
        </w:rPr>
        <w:t>5.509E</w:t>
      </w:r>
      <w:r w:rsidRPr="00373977">
        <w:rPr>
          <w:rFonts w:cstheme="minorHAnsi"/>
          <w:lang w:val="es-ES_tradnl"/>
        </w:rPr>
        <w:t>.</w:t>
      </w:r>
    </w:p>
    <w:p w14:paraId="1ED5C773" w14:textId="38794965" w:rsidR="003F09A1" w:rsidRDefault="00373977" w:rsidP="00B837FE">
      <w:pPr>
        <w:spacing w:before="40"/>
        <w:rPr>
          <w:lang w:val="es-ES_tradnl"/>
        </w:rPr>
      </w:pPr>
      <w:r w:rsidRPr="00373977">
        <w:rPr>
          <w:lang w:val="es-ES_tradnl"/>
        </w:rPr>
        <w:t xml:space="preserve">Al realizar el examen con arreglo al número </w:t>
      </w:r>
      <w:r w:rsidRPr="00373977">
        <w:rPr>
          <w:b/>
          <w:bCs/>
          <w:color w:val="000000"/>
          <w:lang w:val="es-ES_tradnl"/>
        </w:rPr>
        <w:t>5.509D</w:t>
      </w:r>
      <w:r w:rsidRPr="00373977">
        <w:rPr>
          <w:color w:val="000000"/>
          <w:lang w:val="es-ES_tradnl"/>
        </w:rPr>
        <w:t xml:space="preserve">, </w:t>
      </w:r>
      <w:r w:rsidRPr="00373977">
        <w:rPr>
          <w:lang w:val="es-ES_tradnl"/>
        </w:rPr>
        <w:t>la Oficina calculará la densidad de flujo de potencia en condiciones de propagación en el espacio libre para todas las latitudes con visibilidad directa hasta 19 000 m sobre el nivel del mar en cualquier</w:t>
      </w:r>
      <w:r w:rsidRPr="00373977">
        <w:rPr>
          <w:color w:val="000000"/>
          <w:lang w:val="es-ES_tradnl"/>
        </w:rPr>
        <w:t xml:space="preserve"> trayecto marítimo desde la costa hasta una distancia de 22 km basado en el </w:t>
      </w:r>
      <w:r w:rsidRPr="00373977">
        <w:rPr>
          <w:lang w:val="es-ES_tradnl"/>
        </w:rPr>
        <w:t>IDWM (Mapa Mundial Digital de la UIT).</w:t>
      </w:r>
    </w:p>
    <w:p w14:paraId="2A9A7F06" w14:textId="77777777" w:rsidR="00796849" w:rsidRDefault="00796849" w:rsidP="000D7B2B">
      <w:pPr>
        <w:pStyle w:val="Heading8"/>
        <w:spacing w:before="240"/>
        <w:rPr>
          <w:lang w:val="es-ES_tradnl"/>
        </w:rPr>
      </w:pPr>
      <w:r>
        <w:rPr>
          <w:lang w:val="es-ES_tradnl"/>
        </w:rPr>
        <w:br w:type="page"/>
      </w:r>
    </w:p>
    <w:p w14:paraId="6503876B" w14:textId="3CF8A9E5" w:rsidR="00FA6BE9" w:rsidRPr="00EB202F" w:rsidRDefault="00FA6BE9" w:rsidP="00236EA2">
      <w:pPr>
        <w:pStyle w:val="Heading8"/>
        <w:pBdr>
          <w:top w:val="double" w:sz="4" w:space="1" w:color="auto"/>
          <w:left w:val="double" w:sz="4" w:space="4" w:color="auto"/>
          <w:bottom w:val="double" w:sz="4" w:space="1" w:color="auto"/>
          <w:right w:val="double" w:sz="4" w:space="4" w:color="auto"/>
        </w:pBdr>
        <w:spacing w:before="240"/>
        <w:rPr>
          <w:lang w:val="es-ES_tradnl"/>
        </w:rPr>
      </w:pPr>
      <w:r w:rsidRPr="00EB202F">
        <w:rPr>
          <w:lang w:val="es-ES_tradnl"/>
        </w:rPr>
        <w:lastRenderedPageBreak/>
        <w:t>5.523A</w:t>
      </w:r>
    </w:p>
    <w:p w14:paraId="536EF37B" w14:textId="77777777" w:rsidR="00FA6BE9" w:rsidRPr="00EB202F" w:rsidRDefault="00FA6BE9" w:rsidP="00FA6BE9">
      <w:pPr>
        <w:rPr>
          <w:color w:val="000000"/>
          <w:lang w:val="es-ES_tradnl"/>
        </w:rPr>
      </w:pPr>
      <w:r w:rsidRPr="00EB202F">
        <w:rPr>
          <w:color w:val="000000"/>
          <w:lang w:val="es-ES_tradnl"/>
        </w:rPr>
        <w:t xml:space="preserve">La disposición número </w:t>
      </w:r>
      <w:r w:rsidRPr="00EB202F">
        <w:rPr>
          <w:rStyle w:val="Artref"/>
          <w:b/>
          <w:bCs/>
          <w:color w:val="000000"/>
          <w:lang w:val="es-ES_tradnl"/>
        </w:rPr>
        <w:t>5.523A</w:t>
      </w:r>
      <w:r w:rsidRPr="00EB202F">
        <w:rPr>
          <w:color w:val="000000"/>
          <w:lang w:val="es-ES_tradnl"/>
        </w:rPr>
        <w:t xml:space="preserve"> obliga a las administraciones que hayan comunicado sus sistemas de satélite OSG en las bandas 18,8-19,3 GHz y 28,6-29,1 GHz a la Oficina, antes del 18 de noviembre de 1995, a </w:t>
      </w:r>
      <w:r w:rsidRPr="00FC3BC6">
        <w:rPr>
          <w:i/>
          <w:iCs/>
          <w:color w:val="000000"/>
          <w:lang w:val="es-ES_tradnl"/>
        </w:rPr>
        <w:t>«</w:t>
      </w:r>
      <w:r w:rsidRPr="00FC3BC6">
        <w:rPr>
          <w:b/>
          <w:bCs/>
          <w:i/>
          <w:iCs/>
          <w:color w:val="000000"/>
          <w:lang w:val="es-ES_tradnl"/>
        </w:rPr>
        <w:t>cooperar al máximo</w:t>
      </w:r>
      <w:r w:rsidRPr="00FC3BC6">
        <w:rPr>
          <w:i/>
          <w:iCs/>
          <w:color w:val="000000"/>
          <w:lang w:val="es-ES_tradnl"/>
        </w:rPr>
        <w:t xml:space="preserve"> para concluir satisfactoriamente la coordi</w:t>
      </w:r>
      <w:r w:rsidRPr="00FC3BC6">
        <w:rPr>
          <w:i/>
          <w:iCs/>
          <w:color w:val="000000"/>
          <w:lang w:val="es-ES_tradnl"/>
        </w:rPr>
        <w:softHyphen/>
        <w:t xml:space="preserve">nación, en cumplimiento del número </w:t>
      </w:r>
      <w:r w:rsidRPr="00FC3BC6">
        <w:rPr>
          <w:rStyle w:val="Artref"/>
          <w:b/>
          <w:bCs/>
          <w:i/>
          <w:iCs/>
          <w:color w:val="000000"/>
          <w:lang w:val="es-ES_tradnl"/>
        </w:rPr>
        <w:t>9.11A</w:t>
      </w:r>
      <w:r w:rsidRPr="00FC3BC6">
        <w:rPr>
          <w:i/>
          <w:iCs/>
          <w:color w:val="000000"/>
          <w:lang w:val="es-ES_tradnl"/>
        </w:rPr>
        <w:t>, con las redes de satélite no geoestacionarias cuya información de notificación se haya recibido en la Oficina antes de esa fecha, con el fin de llegar a resultados aceptables para todas las partes en cuestión»</w:t>
      </w:r>
      <w:r w:rsidRPr="00EB202F">
        <w:rPr>
          <w:color w:val="000000"/>
          <w:lang w:val="es-ES_tradnl"/>
        </w:rPr>
        <w:t>. Como no hay base sobre la que la Oficina pudiera formular una conclusión reglamentaria en este sentido, la Junta decidió actuar de la siguiente manera:</w:t>
      </w:r>
    </w:p>
    <w:p w14:paraId="5164685A" w14:textId="77777777" w:rsidR="00FA6BE9" w:rsidRPr="00EB202F" w:rsidRDefault="00FA6BE9" w:rsidP="00FA6BE9">
      <w:pPr>
        <w:rPr>
          <w:color w:val="000000"/>
          <w:lang w:val="es-ES_tradnl"/>
        </w:rPr>
      </w:pPr>
      <w:r w:rsidRPr="00EB202F">
        <w:rPr>
          <w:color w:val="000000"/>
          <w:lang w:val="es-ES_tradnl"/>
        </w:rPr>
        <w:t xml:space="preserve">La administración o administraciones responsables de la red de satélite OSG, al notificar a la Oficina las asignaciones, incluirán una declaración indicando que se ha cumplido la obligación de </w:t>
      </w:r>
      <w:r w:rsidRPr="00FC3BC6">
        <w:rPr>
          <w:i/>
          <w:iCs/>
          <w:color w:val="000000"/>
          <w:lang w:val="es-ES_tradnl"/>
        </w:rPr>
        <w:t>«cooperar al máximo»</w:t>
      </w:r>
      <w:r w:rsidRPr="00EB202F">
        <w:rPr>
          <w:color w:val="000000"/>
          <w:lang w:val="es-ES_tradnl"/>
        </w:rPr>
        <w:t xml:space="preserve"> indicada en esta disposición, y la Oficina publicará esta información consecuentemente en la BR IFIC.</w:t>
      </w:r>
    </w:p>
    <w:p w14:paraId="14042FC5" w14:textId="77777777" w:rsidR="000D7B2B" w:rsidRDefault="00FA6BE9" w:rsidP="000D7B2B">
      <w:pPr>
        <w:jc w:val="left"/>
        <w:rPr>
          <w:color w:val="000000"/>
          <w:lang w:val="es-ES_tradnl"/>
        </w:rPr>
      </w:pPr>
      <w:r w:rsidRPr="00EB202F">
        <w:rPr>
          <w:color w:val="000000"/>
          <w:lang w:val="es-ES_tradnl"/>
        </w:rPr>
        <w:t>La presente Regla de Procedimiento tenía que ser aplicada por las administraciones y la Oficina de Radiocomunicaciones desde el 14 de julio de 1998.</w:t>
      </w:r>
      <w:r w:rsidR="000D7B2B">
        <w:rPr>
          <w:color w:val="000000"/>
          <w:lang w:val="es-ES_tradnl"/>
        </w:rPr>
        <w:t xml:space="preserve"> </w:t>
      </w:r>
    </w:p>
    <w:p w14:paraId="7FA961B1" w14:textId="77777777" w:rsidR="00EB202F" w:rsidRPr="00EB202F" w:rsidRDefault="00EB202F" w:rsidP="00EB202F">
      <w:pPr>
        <w:pStyle w:val="Heading8"/>
        <w:spacing w:before="0"/>
        <w:ind w:right="6804"/>
        <w:jc w:val="left"/>
        <w:rPr>
          <w:color w:val="000000"/>
          <w:lang w:val="es-ES_tradnl"/>
        </w:rPr>
      </w:pPr>
      <w:r w:rsidRPr="00EB202F">
        <w:rPr>
          <w:color w:val="000000"/>
          <w:lang w:val="es-ES_tradnl"/>
        </w:rPr>
        <w:t>5.523B, 5.523C, 5.523D, 5.523E</w:t>
      </w:r>
    </w:p>
    <w:p w14:paraId="2015CE4C" w14:textId="77777777" w:rsidR="00EB202F" w:rsidRPr="00EB202F" w:rsidRDefault="00EB202F" w:rsidP="00EB202F">
      <w:pPr>
        <w:rPr>
          <w:color w:val="000000"/>
          <w:lang w:val="es-ES_tradnl"/>
        </w:rPr>
      </w:pPr>
      <w:r w:rsidRPr="00EB202F">
        <w:rPr>
          <w:color w:val="000000"/>
          <w:lang w:val="es-ES_tradnl"/>
        </w:rPr>
        <w:t xml:space="preserve">Las disposiciones de los números </w:t>
      </w:r>
      <w:r w:rsidRPr="00EB202F">
        <w:rPr>
          <w:rStyle w:val="Artref"/>
          <w:b/>
          <w:bCs/>
          <w:color w:val="000000"/>
          <w:lang w:val="es-ES_tradnl"/>
        </w:rPr>
        <w:t>5.523B</w:t>
      </w:r>
      <w:r w:rsidRPr="00EB202F">
        <w:rPr>
          <w:color w:val="000000"/>
          <w:lang w:val="es-ES_tradnl"/>
        </w:rPr>
        <w:t xml:space="preserve">, </w:t>
      </w:r>
      <w:r w:rsidRPr="00EB202F">
        <w:rPr>
          <w:rStyle w:val="Artref"/>
          <w:b/>
          <w:bCs/>
          <w:color w:val="000000"/>
          <w:lang w:val="es-ES_tradnl"/>
        </w:rPr>
        <w:t>5.523C</w:t>
      </w:r>
      <w:r w:rsidRPr="00EB202F">
        <w:rPr>
          <w:color w:val="000000"/>
          <w:lang w:val="es-ES_tradnl"/>
        </w:rPr>
        <w:t xml:space="preserve">, </w:t>
      </w:r>
      <w:r w:rsidRPr="00EB202F">
        <w:rPr>
          <w:rStyle w:val="Artref"/>
          <w:b/>
          <w:bCs/>
          <w:color w:val="000000"/>
          <w:lang w:val="es-ES_tradnl"/>
        </w:rPr>
        <w:t>5.523D</w:t>
      </w:r>
      <w:r w:rsidRPr="00EB202F">
        <w:rPr>
          <w:color w:val="000000"/>
          <w:lang w:val="es-ES_tradnl"/>
        </w:rPr>
        <w:t xml:space="preserve"> y </w:t>
      </w:r>
      <w:r w:rsidRPr="00EB202F">
        <w:rPr>
          <w:rStyle w:val="Artref"/>
          <w:b/>
          <w:bCs/>
          <w:color w:val="000000"/>
          <w:lang w:val="es-ES_tradnl"/>
        </w:rPr>
        <w:t>5.523E</w:t>
      </w:r>
      <w:r w:rsidRPr="00EB202F">
        <w:rPr>
          <w:color w:val="000000"/>
          <w:lang w:val="es-ES_tradnl"/>
        </w:rPr>
        <w:t xml:space="preserve"> proporcionan infor</w:t>
      </w:r>
      <w:r w:rsidRPr="00EB202F">
        <w:rPr>
          <w:color w:val="000000"/>
          <w:lang w:val="es-ES_tradnl"/>
        </w:rPr>
        <w:softHyphen/>
        <w:t>mación sobre las distintas restricciones y procedimientos que se aplican al SFS en la gama de frecuencias 19,3</w:t>
      </w:r>
      <w:r w:rsidRPr="00EB202F">
        <w:rPr>
          <w:color w:val="000000"/>
          <w:lang w:val="es-ES_tradnl"/>
        </w:rPr>
        <w:noBreakHyphen/>
        <w:t>19,7 GHz. La Junta ha estudiado la interrelación entre las diferentes utilizaciones del SFS y también con respecto a las estaciones terrenales. Los Cuadros relativos a las bandas 19,3</w:t>
      </w:r>
      <w:r w:rsidRPr="00EB202F">
        <w:rPr>
          <w:color w:val="000000"/>
          <w:lang w:val="es-ES_tradnl"/>
        </w:rPr>
        <w:noBreakHyphen/>
        <w:t>19,6 GHz y 19,6</w:t>
      </w:r>
      <w:r w:rsidRPr="00EB202F">
        <w:rPr>
          <w:color w:val="000000"/>
          <w:lang w:val="es-ES_tradnl"/>
        </w:rPr>
        <w:noBreakHyphen/>
        <w:t>19,7 GHz que aparecen a continuación contienen las conclusiones de la Junta sobre este asunto.</w:t>
      </w:r>
    </w:p>
    <w:p w14:paraId="7F97EAFC" w14:textId="00454B40" w:rsidR="00EB202F" w:rsidRDefault="00EB202F" w:rsidP="00EB202F">
      <w:pPr>
        <w:rPr>
          <w:lang w:val="es-ES_tradnl"/>
        </w:rPr>
      </w:pPr>
    </w:p>
    <w:p w14:paraId="7D648CCB" w14:textId="0F7F223A" w:rsidR="00AF689A" w:rsidRDefault="00AF689A" w:rsidP="00EB202F">
      <w:pPr>
        <w:rPr>
          <w:lang w:val="es-ES_tradnl"/>
        </w:rPr>
      </w:pPr>
    </w:p>
    <w:p w14:paraId="1B50B63B" w14:textId="0107128C" w:rsidR="00AF689A" w:rsidRDefault="00AF689A" w:rsidP="00EB202F">
      <w:pPr>
        <w:rPr>
          <w:lang w:val="es-ES_tradnl"/>
        </w:rPr>
      </w:pPr>
    </w:p>
    <w:p w14:paraId="075F2E00" w14:textId="0940A214" w:rsidR="00236EA2" w:rsidRDefault="00236EA2" w:rsidP="00EB202F">
      <w:pPr>
        <w:rPr>
          <w:lang w:val="es-ES"/>
        </w:rPr>
      </w:pPr>
      <w:r>
        <w:rPr>
          <w:lang w:val="es-ES"/>
        </w:rPr>
        <w:br w:type="page"/>
      </w:r>
    </w:p>
    <w:p w14:paraId="021EBA4A" w14:textId="77777777" w:rsidR="00EB202F" w:rsidRPr="00CC4FCD" w:rsidRDefault="00EB202F" w:rsidP="00EB202F">
      <w:pPr>
        <w:pStyle w:val="Tabletitle0"/>
        <w:rPr>
          <w:color w:val="000000"/>
        </w:rPr>
      </w:pPr>
      <w:r w:rsidRPr="00CC4FCD">
        <w:rPr>
          <w:color w:val="000000"/>
        </w:rPr>
        <w:lastRenderedPageBreak/>
        <w:t>Cuadro 19,3-19,6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1455"/>
        <w:gridCol w:w="1496"/>
        <w:gridCol w:w="947"/>
        <w:gridCol w:w="1264"/>
        <w:gridCol w:w="1338"/>
        <w:gridCol w:w="1036"/>
      </w:tblGrid>
      <w:tr w:rsidR="00EB202F" w:rsidRPr="007C0FE2" w14:paraId="5BA1A423" w14:textId="77777777" w:rsidTr="006D4F52">
        <w:trPr>
          <w:jc w:val="center"/>
        </w:trPr>
        <w:tc>
          <w:tcPr>
            <w:tcW w:w="1536" w:type="dxa"/>
            <w:tcBorders>
              <w:bottom w:val="single" w:sz="4" w:space="0" w:color="auto"/>
            </w:tcBorders>
            <w:vAlign w:val="center"/>
          </w:tcPr>
          <w:p w14:paraId="6FDD5C5B"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Petición de coordinación (PC): Columna con respecto a fila (</w:t>
            </w:r>
            <w:r w:rsidRPr="00CC4FCD">
              <w:rPr>
                <w:b w:val="0"/>
                <w:bCs/>
                <w:color w:val="000000"/>
                <w:sz w:val="16"/>
              </w:rPr>
              <w:sym w:font="Wingdings" w:char="F0E4"/>
            </w:r>
            <w:r w:rsidRPr="00EB202F">
              <w:rPr>
                <w:b w:val="0"/>
                <w:bCs/>
                <w:color w:val="000000"/>
                <w:sz w:val="16"/>
                <w:lang w:val="es-ES_tradnl"/>
              </w:rPr>
              <w:t>)</w:t>
            </w:r>
          </w:p>
        </w:tc>
        <w:tc>
          <w:tcPr>
            <w:tcW w:w="1455" w:type="dxa"/>
            <w:tcBorders>
              <w:bottom w:val="single" w:sz="4" w:space="0" w:color="auto"/>
            </w:tcBorders>
            <w:vAlign w:val="center"/>
          </w:tcPr>
          <w:p w14:paraId="1A2D0719"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D"/>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1496" w:type="dxa"/>
            <w:tcBorders>
              <w:bottom w:val="single" w:sz="4" w:space="0" w:color="auto"/>
            </w:tcBorders>
            <w:vAlign w:val="center"/>
          </w:tcPr>
          <w:p w14:paraId="4C761430"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947" w:type="dxa"/>
            <w:tcBorders>
              <w:bottom w:val="single" w:sz="4" w:space="0" w:color="auto"/>
            </w:tcBorders>
            <w:vAlign w:val="center"/>
          </w:tcPr>
          <w:p w14:paraId="68F14190"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t xml:space="preserve"> (otros)</w:t>
            </w:r>
            <w:r w:rsidRPr="00EB202F">
              <w:rPr>
                <w:b w:val="0"/>
                <w:bCs/>
                <w:color w:val="000000"/>
                <w:sz w:val="16"/>
                <w:lang w:val="es-ES_tradnl"/>
              </w:rPr>
              <w:br/>
              <w:t>(número del RR)</w:t>
            </w:r>
          </w:p>
        </w:tc>
        <w:tc>
          <w:tcPr>
            <w:tcW w:w="1264" w:type="dxa"/>
            <w:tcBorders>
              <w:bottom w:val="single" w:sz="4" w:space="0" w:color="auto"/>
            </w:tcBorders>
            <w:vAlign w:val="center"/>
          </w:tcPr>
          <w:p w14:paraId="0A6D2023"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(PC </w:t>
            </w:r>
            <w:r w:rsidRPr="00CC4FCD">
              <w:rPr>
                <w:b w:val="0"/>
                <w:bCs/>
                <w:color w:val="000000"/>
                <w:sz w:val="16"/>
              </w:rPr>
              <w:sym w:font="Symbol" w:char="F03C"/>
            </w:r>
            <w:r w:rsidRPr="00EB202F">
              <w:rPr>
                <w:b w:val="0"/>
                <w:bCs/>
                <w:color w:val="000000"/>
                <w:sz w:val="16"/>
                <w:lang w:val="es-ES_tradnl"/>
              </w:rPr>
              <w:t xml:space="preserve"> 18.11.95)</w:t>
            </w:r>
            <w:r w:rsidRPr="00EB202F">
              <w:rPr>
                <w:b w:val="0"/>
                <w:bCs/>
                <w:color w:val="000000"/>
                <w:sz w:val="16"/>
                <w:lang w:val="es-ES_tradnl"/>
              </w:rPr>
              <w:br/>
              <w:t>(número del RR)</w:t>
            </w:r>
          </w:p>
        </w:tc>
        <w:tc>
          <w:tcPr>
            <w:tcW w:w="1338" w:type="dxa"/>
            <w:tcBorders>
              <w:bottom w:val="single" w:sz="4" w:space="0" w:color="auto"/>
            </w:tcBorders>
            <w:vAlign w:val="center"/>
          </w:tcPr>
          <w:p w14:paraId="177684A2" w14:textId="77777777" w:rsidR="00EB202F" w:rsidRPr="00EB202F" w:rsidRDefault="00EB202F" w:rsidP="006D4F52">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(18.11.95 </w:t>
            </w:r>
            <w:r w:rsidRPr="00CC4FCD">
              <w:rPr>
                <w:b w:val="0"/>
                <w:bCs/>
                <w:color w:val="000000"/>
                <w:sz w:val="16"/>
              </w:rPr>
              <w:sym w:font="Symbol" w:char="F0A3"/>
            </w:r>
            <w:r w:rsidRPr="00EB202F">
              <w:rPr>
                <w:b w:val="0"/>
                <w:bCs/>
                <w:color w:val="000000"/>
                <w:sz w:val="16"/>
                <w:lang w:val="es-ES_tradnl"/>
              </w:rPr>
              <w:t xml:space="preserve"> PC)</w:t>
            </w:r>
            <w:r w:rsidRPr="00EB202F">
              <w:rPr>
                <w:b w:val="0"/>
                <w:bCs/>
                <w:color w:val="000000"/>
                <w:sz w:val="16"/>
                <w:lang w:val="es-ES_tradnl"/>
              </w:rPr>
              <w:br/>
              <w:t>(número del RR)</w:t>
            </w:r>
          </w:p>
        </w:tc>
        <w:tc>
          <w:tcPr>
            <w:tcW w:w="1036" w:type="dxa"/>
            <w:tcBorders>
              <w:bottom w:val="single" w:sz="4" w:space="0" w:color="auto"/>
            </w:tcBorders>
            <w:vAlign w:val="center"/>
          </w:tcPr>
          <w:p w14:paraId="38CAEAE2" w14:textId="77777777" w:rsidR="00EB202F" w:rsidRPr="007C0FE2" w:rsidRDefault="00EB202F" w:rsidP="006D4F52">
            <w:pPr>
              <w:pStyle w:val="Tablehead0"/>
              <w:framePr w:hSpace="181" w:wrap="notBeside" w:vAnchor="text" w:hAnchor="text" w:xAlign="center" w:y="1"/>
              <w:spacing w:before="60" w:after="60"/>
              <w:rPr>
                <w:b w:val="0"/>
                <w:bCs/>
                <w:color w:val="000000"/>
                <w:sz w:val="16"/>
                <w:lang w:val="es-ES_tradnl"/>
              </w:rPr>
            </w:pPr>
            <w:r w:rsidRPr="007C0FE2">
              <w:rPr>
                <w:b w:val="0"/>
                <w:bCs/>
                <w:color w:val="000000"/>
                <w:sz w:val="16"/>
                <w:lang w:val="es-ES_tradnl"/>
              </w:rPr>
              <w:t>Terrenal</w:t>
            </w:r>
            <w:r w:rsidRPr="007C0FE2">
              <w:rPr>
                <w:b w:val="0"/>
                <w:bCs/>
                <w:color w:val="000000"/>
                <w:sz w:val="16"/>
                <w:lang w:val="es-ES_tradnl"/>
              </w:rPr>
              <w:br/>
              <w:t xml:space="preserve">(número </w:t>
            </w:r>
            <w:r w:rsidR="007C0FE2" w:rsidRPr="007C0FE2">
              <w:rPr>
                <w:b w:val="0"/>
                <w:bCs/>
                <w:color w:val="000000"/>
                <w:sz w:val="16"/>
                <w:lang w:val="es-ES_tradnl"/>
              </w:rPr>
              <w:br/>
            </w:r>
            <w:r w:rsidRPr="007C0FE2">
              <w:rPr>
                <w:b w:val="0"/>
                <w:bCs/>
                <w:color w:val="000000"/>
                <w:sz w:val="16"/>
                <w:lang w:val="es-ES_tradnl"/>
              </w:rPr>
              <w:t>del RR)</w:t>
            </w:r>
          </w:p>
        </w:tc>
      </w:tr>
      <w:tr w:rsidR="00EB202F" w:rsidRPr="00CC4FCD" w14:paraId="25D3D5D3" w14:textId="77777777" w:rsidTr="006D4F52">
        <w:trPr>
          <w:jc w:val="center"/>
        </w:trPr>
        <w:tc>
          <w:tcPr>
            <w:tcW w:w="1536" w:type="dxa"/>
            <w:tcBorders>
              <w:bottom w:val="dotted" w:sz="4" w:space="0" w:color="auto"/>
            </w:tcBorders>
          </w:tcPr>
          <w:p w14:paraId="6322A9DB" w14:textId="77777777" w:rsidR="00EB202F" w:rsidRPr="00EB202F" w:rsidRDefault="00EB202F" w:rsidP="006D4F52">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D"/>
            </w:r>
            <w:r w:rsidRPr="00EB202F">
              <w:rPr>
                <w:color w:val="000000"/>
                <w:sz w:val="16"/>
                <w:lang w:val="es-ES_tradnl"/>
              </w:rPr>
              <w:br/>
              <w:t>(enlace de conexión del SMS)</w:t>
            </w:r>
          </w:p>
        </w:tc>
        <w:tc>
          <w:tcPr>
            <w:tcW w:w="1455" w:type="dxa"/>
            <w:tcBorders>
              <w:bottom w:val="dotted" w:sz="4" w:space="0" w:color="auto"/>
            </w:tcBorders>
          </w:tcPr>
          <w:p w14:paraId="43DB19EA"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496" w:type="dxa"/>
            <w:tcBorders>
              <w:bottom w:val="dotted" w:sz="4" w:space="0" w:color="auto"/>
            </w:tcBorders>
          </w:tcPr>
          <w:p w14:paraId="477DFA4D"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b/>
                <w:bCs/>
                <w:color w:val="000000"/>
                <w:sz w:val="16"/>
                <w:lang w:val="es-ES_tradnl"/>
              </w:rPr>
              <w:t>/</w:t>
            </w:r>
            <w:r w:rsidRPr="007C0FE2">
              <w:rPr>
                <w:rStyle w:val="Artref"/>
                <w:b/>
                <w:bCs/>
                <w:color w:val="000000"/>
                <w:sz w:val="16"/>
                <w:lang w:val="es-ES_tradnl"/>
              </w:rPr>
              <w:t>5.523D</w:t>
            </w:r>
            <w:r w:rsidRPr="007C0FE2">
              <w:rPr>
                <w:color w:val="000000"/>
                <w:sz w:val="16"/>
                <w:lang w:val="es-ES_tradnl"/>
              </w:rPr>
              <w:t>)</w:t>
            </w:r>
          </w:p>
        </w:tc>
        <w:tc>
          <w:tcPr>
            <w:tcW w:w="947" w:type="dxa"/>
            <w:tcBorders>
              <w:bottom w:val="dotted" w:sz="4" w:space="0" w:color="auto"/>
            </w:tcBorders>
          </w:tcPr>
          <w:p w14:paraId="46F84313"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color w:val="000000"/>
                <w:sz w:val="16"/>
                <w:lang w:val="es-ES_tradnl"/>
              </w:rPr>
              <w:t>Sin PC</w:t>
            </w:r>
            <w:r w:rsidRPr="007C0FE2">
              <w:rPr>
                <w:color w:val="000000"/>
                <w:sz w:val="16"/>
                <w:lang w:val="es-ES_tradnl"/>
              </w:rPr>
              <w:br/>
              <w:t>(</w:t>
            </w:r>
            <w:r w:rsidRPr="007C0FE2">
              <w:rPr>
                <w:rStyle w:val="Artref"/>
                <w:b/>
                <w:bCs/>
                <w:color w:val="000000"/>
                <w:sz w:val="16"/>
                <w:lang w:val="es-ES_tradnl"/>
              </w:rPr>
              <w:t>5.523D</w:t>
            </w:r>
            <w:r w:rsidRPr="007C0FE2">
              <w:rPr>
                <w:color w:val="000000"/>
                <w:sz w:val="16"/>
                <w:lang w:val="es-ES_tradnl"/>
              </w:rPr>
              <w:t>)</w:t>
            </w:r>
          </w:p>
        </w:tc>
        <w:tc>
          <w:tcPr>
            <w:tcW w:w="1264" w:type="dxa"/>
            <w:tcBorders>
              <w:bottom w:val="dotted" w:sz="4" w:space="0" w:color="auto"/>
            </w:tcBorders>
          </w:tcPr>
          <w:p w14:paraId="3D320758"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22.2</w:t>
            </w:r>
            <w:r w:rsidRPr="007C0FE2">
              <w:rPr>
                <w:color w:val="000000"/>
                <w:sz w:val="16"/>
                <w:lang w:val="es-ES_tradnl"/>
              </w:rPr>
              <w:br/>
              <w:t>(</w:t>
            </w:r>
            <w:r w:rsidRPr="007C0FE2">
              <w:rPr>
                <w:rStyle w:val="Artref"/>
                <w:b/>
                <w:bCs/>
                <w:color w:val="000000"/>
                <w:sz w:val="16"/>
                <w:lang w:val="es-ES_tradnl"/>
              </w:rPr>
              <w:t>5.523C</w:t>
            </w:r>
            <w:r w:rsidRPr="007C0FE2">
              <w:rPr>
                <w:color w:val="000000"/>
                <w:sz w:val="16"/>
                <w:lang w:val="es-ES_tradnl"/>
              </w:rPr>
              <w:t>)</w:t>
            </w:r>
          </w:p>
        </w:tc>
        <w:tc>
          <w:tcPr>
            <w:tcW w:w="1338" w:type="dxa"/>
            <w:tcBorders>
              <w:bottom w:val="dotted" w:sz="4" w:space="0" w:color="auto"/>
            </w:tcBorders>
          </w:tcPr>
          <w:p w14:paraId="435093D5" w14:textId="77777777" w:rsidR="00EB202F" w:rsidRPr="007C0FE2" w:rsidRDefault="00EB202F" w:rsidP="006D4F52">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9.12A</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036" w:type="dxa"/>
            <w:tcBorders>
              <w:bottom w:val="dotted" w:sz="4" w:space="0" w:color="auto"/>
            </w:tcBorders>
          </w:tcPr>
          <w:p w14:paraId="05443C8E" w14:textId="77777777" w:rsidR="00EB202F" w:rsidRPr="00CC4FCD" w:rsidRDefault="00EB202F" w:rsidP="006D4F52">
            <w:pPr>
              <w:framePr w:hSpace="181" w:wrap="notBeside" w:vAnchor="text" w:hAnchor="text" w:xAlign="center" w:y="1"/>
              <w:spacing w:before="68" w:after="68"/>
              <w:jc w:val="center"/>
              <w:rPr>
                <w:color w:val="000000"/>
                <w:sz w:val="16"/>
              </w:rPr>
            </w:pPr>
            <w:r w:rsidRPr="007C0FE2">
              <w:rPr>
                <w:color w:val="000000"/>
                <w:sz w:val="16"/>
                <w:lang w:val="es-ES_tradnl"/>
              </w:rPr>
              <w:t>---</w:t>
            </w:r>
            <w:r w:rsidRPr="007C0FE2">
              <w:rPr>
                <w:color w:val="000000"/>
                <w:sz w:val="16"/>
                <w:lang w:val="es-ES_tradnl"/>
              </w:rPr>
              <w:br/>
            </w:r>
            <w:r w:rsidRPr="00CC4FCD">
              <w:rPr>
                <w:color w:val="000000"/>
                <w:sz w:val="16"/>
              </w:rPr>
              <w:t>(</w:t>
            </w:r>
            <w:r w:rsidRPr="00CC4FCD">
              <w:rPr>
                <w:rStyle w:val="Artref"/>
                <w:b/>
                <w:bCs/>
                <w:color w:val="000000"/>
                <w:sz w:val="16"/>
              </w:rPr>
              <w:t>5.523B</w:t>
            </w:r>
            <w:r w:rsidRPr="00CC4FCD">
              <w:rPr>
                <w:color w:val="000000"/>
                <w:sz w:val="16"/>
              </w:rPr>
              <w:t>)</w:t>
            </w:r>
          </w:p>
        </w:tc>
      </w:tr>
      <w:tr w:rsidR="00EB202F" w:rsidRPr="00CC4FCD" w14:paraId="4C430B66" w14:textId="77777777" w:rsidTr="006D4F52">
        <w:trPr>
          <w:jc w:val="center"/>
        </w:trPr>
        <w:tc>
          <w:tcPr>
            <w:tcW w:w="1536" w:type="dxa"/>
            <w:tcBorders>
              <w:top w:val="dotted" w:sz="4" w:space="0" w:color="auto"/>
            </w:tcBorders>
          </w:tcPr>
          <w:p w14:paraId="4ABEC902"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14:paraId="143224E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Borders>
              <w:top w:val="dotted" w:sz="4" w:space="0" w:color="auto"/>
            </w:tcBorders>
          </w:tcPr>
          <w:p w14:paraId="62BE56DB"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947" w:type="dxa"/>
            <w:tcBorders>
              <w:top w:val="dotted" w:sz="4" w:space="0" w:color="auto"/>
            </w:tcBorders>
          </w:tcPr>
          <w:p w14:paraId="3B16FE74"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264" w:type="dxa"/>
            <w:tcBorders>
              <w:top w:val="dotted" w:sz="4" w:space="0" w:color="auto"/>
            </w:tcBorders>
          </w:tcPr>
          <w:p w14:paraId="7C2C7B62"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338" w:type="dxa"/>
            <w:tcBorders>
              <w:top w:val="dotted" w:sz="4" w:space="0" w:color="auto"/>
            </w:tcBorders>
          </w:tcPr>
          <w:p w14:paraId="5186573C"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036" w:type="dxa"/>
            <w:tcBorders>
              <w:top w:val="dotted" w:sz="4" w:space="0" w:color="auto"/>
            </w:tcBorders>
          </w:tcPr>
          <w:p w14:paraId="29CD83B9"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EB202F" w:rsidRPr="00CC4FCD" w14:paraId="358332BC" w14:textId="77777777" w:rsidTr="006D4F52">
        <w:trPr>
          <w:jc w:val="center"/>
        </w:trPr>
        <w:tc>
          <w:tcPr>
            <w:tcW w:w="1536" w:type="dxa"/>
            <w:tcBorders>
              <w:bottom w:val="single" w:sz="4" w:space="0" w:color="auto"/>
            </w:tcBorders>
          </w:tcPr>
          <w:p w14:paraId="431934ED" w14:textId="77777777" w:rsidR="00EB202F" w:rsidRPr="00EB202F" w:rsidRDefault="00EB202F" w:rsidP="006D4F52">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F"/>
            </w:r>
            <w:r w:rsidRPr="00EB202F">
              <w:rPr>
                <w:color w:val="000000"/>
                <w:sz w:val="16"/>
                <w:lang w:val="es-ES_tradnl"/>
              </w:rPr>
              <w:br/>
              <w:t>(enlace de conexión del SMS)</w:t>
            </w:r>
          </w:p>
        </w:tc>
        <w:tc>
          <w:tcPr>
            <w:tcW w:w="1455" w:type="dxa"/>
            <w:tcBorders>
              <w:bottom w:val="single" w:sz="4" w:space="0" w:color="auto"/>
            </w:tcBorders>
          </w:tcPr>
          <w:p w14:paraId="39103F0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b/>
                <w:bCs/>
                <w:color w:val="000000"/>
                <w:sz w:val="16"/>
              </w:rPr>
              <w:t>/</w:t>
            </w:r>
            <w:r w:rsidRPr="00CC4FCD">
              <w:rPr>
                <w:rStyle w:val="Artref"/>
                <w:b/>
                <w:bCs/>
                <w:color w:val="000000"/>
                <w:sz w:val="16"/>
              </w:rPr>
              <w:t>5.523D</w:t>
            </w:r>
            <w:r w:rsidRPr="00CC4FCD">
              <w:rPr>
                <w:color w:val="000000"/>
                <w:sz w:val="16"/>
              </w:rPr>
              <w:t>)</w:t>
            </w:r>
          </w:p>
        </w:tc>
        <w:tc>
          <w:tcPr>
            <w:tcW w:w="1496" w:type="dxa"/>
            <w:tcBorders>
              <w:bottom w:val="single" w:sz="4" w:space="0" w:color="auto"/>
            </w:tcBorders>
          </w:tcPr>
          <w:p w14:paraId="3F4E4AE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single" w:sz="4" w:space="0" w:color="auto"/>
            </w:tcBorders>
          </w:tcPr>
          <w:p w14:paraId="399C609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single" w:sz="4" w:space="0" w:color="auto"/>
            </w:tcBorders>
          </w:tcPr>
          <w:p w14:paraId="3F31CD6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single" w:sz="4" w:space="0" w:color="auto"/>
            </w:tcBorders>
          </w:tcPr>
          <w:p w14:paraId="74A0E43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9.12A</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single" w:sz="4" w:space="0" w:color="auto"/>
            </w:tcBorders>
          </w:tcPr>
          <w:p w14:paraId="5B610ED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r w:rsidRPr="00CC4FCD">
              <w:rPr>
                <w:color w:val="000000"/>
                <w:sz w:val="16"/>
              </w:rPr>
              <w:br/>
              <w:t>(</w:t>
            </w:r>
            <w:r w:rsidRPr="00CC4FCD">
              <w:rPr>
                <w:rStyle w:val="Artref"/>
                <w:b/>
                <w:bCs/>
                <w:color w:val="000000"/>
                <w:sz w:val="16"/>
              </w:rPr>
              <w:t>5.523D</w:t>
            </w:r>
            <w:r w:rsidRPr="00CC4FCD">
              <w:rPr>
                <w:color w:val="000000"/>
                <w:sz w:val="16"/>
              </w:rPr>
              <w:t>)</w:t>
            </w:r>
          </w:p>
        </w:tc>
      </w:tr>
      <w:tr w:rsidR="00EB202F" w:rsidRPr="00CC4FCD" w14:paraId="1631109A" w14:textId="77777777" w:rsidTr="006D4F52">
        <w:trPr>
          <w:jc w:val="center"/>
        </w:trPr>
        <w:tc>
          <w:tcPr>
            <w:tcW w:w="1536" w:type="dxa"/>
            <w:tcBorders>
              <w:top w:val="single" w:sz="4" w:space="0" w:color="auto"/>
              <w:bottom w:val="single" w:sz="4" w:space="0" w:color="auto"/>
            </w:tcBorders>
          </w:tcPr>
          <w:p w14:paraId="053E2DF8"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single" w:sz="4" w:space="0" w:color="auto"/>
              <w:bottom w:val="single" w:sz="4" w:space="0" w:color="auto"/>
            </w:tcBorders>
          </w:tcPr>
          <w:p w14:paraId="3D762423"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single" w:sz="4" w:space="0" w:color="auto"/>
              <w:bottom w:val="single" w:sz="4" w:space="0" w:color="auto"/>
            </w:tcBorders>
          </w:tcPr>
          <w:p w14:paraId="7855308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single" w:sz="4" w:space="0" w:color="auto"/>
              <w:bottom w:val="single" w:sz="4" w:space="0" w:color="auto"/>
            </w:tcBorders>
          </w:tcPr>
          <w:p w14:paraId="77336E6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single" w:sz="4" w:space="0" w:color="auto"/>
              <w:bottom w:val="single" w:sz="4" w:space="0" w:color="auto"/>
            </w:tcBorders>
          </w:tcPr>
          <w:p w14:paraId="0B1F4AA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single" w:sz="4" w:space="0" w:color="auto"/>
              <w:bottom w:val="single" w:sz="4" w:space="0" w:color="auto"/>
            </w:tcBorders>
          </w:tcPr>
          <w:p w14:paraId="4A7F851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single" w:sz="4" w:space="0" w:color="auto"/>
              <w:bottom w:val="single" w:sz="4" w:space="0" w:color="auto"/>
            </w:tcBorders>
          </w:tcPr>
          <w:p w14:paraId="1920B0F3"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EB202F" w:rsidRPr="00CC4FCD" w14:paraId="5A67023F" w14:textId="77777777" w:rsidTr="006D4F52">
        <w:trPr>
          <w:jc w:val="center"/>
        </w:trPr>
        <w:tc>
          <w:tcPr>
            <w:tcW w:w="1536" w:type="dxa"/>
            <w:tcBorders>
              <w:bottom w:val="dotted" w:sz="4" w:space="0" w:color="auto"/>
            </w:tcBorders>
          </w:tcPr>
          <w:p w14:paraId="7356B1D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F"/>
            </w:r>
            <w:r w:rsidRPr="00CC4FCD">
              <w:rPr>
                <w:color w:val="000000"/>
                <w:sz w:val="16"/>
              </w:rPr>
              <w:t xml:space="preserve"> (otros)</w:t>
            </w:r>
          </w:p>
        </w:tc>
        <w:tc>
          <w:tcPr>
            <w:tcW w:w="1455" w:type="dxa"/>
            <w:tcBorders>
              <w:bottom w:val="dotted" w:sz="4" w:space="0" w:color="auto"/>
            </w:tcBorders>
          </w:tcPr>
          <w:p w14:paraId="5FF28E4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496" w:type="dxa"/>
            <w:tcBorders>
              <w:bottom w:val="dotted" w:sz="4" w:space="0" w:color="auto"/>
            </w:tcBorders>
          </w:tcPr>
          <w:p w14:paraId="7748302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276C0829"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7681C52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dotted" w:sz="4" w:space="0" w:color="auto"/>
            </w:tcBorders>
          </w:tcPr>
          <w:p w14:paraId="6B75C5E8"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dotted" w:sz="4" w:space="0" w:color="auto"/>
            </w:tcBorders>
          </w:tcPr>
          <w:p w14:paraId="2036339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r w:rsidRPr="00CC4FCD">
              <w:rPr>
                <w:color w:val="000000"/>
                <w:sz w:val="16"/>
              </w:rPr>
              <w:br/>
              <w:t>(</w:t>
            </w:r>
            <w:r w:rsidRPr="00CC4FCD">
              <w:rPr>
                <w:rStyle w:val="Artref"/>
                <w:b/>
                <w:bCs/>
                <w:color w:val="000000"/>
                <w:sz w:val="16"/>
              </w:rPr>
              <w:t>5.523D</w:t>
            </w:r>
            <w:r w:rsidRPr="00CC4FCD">
              <w:rPr>
                <w:color w:val="000000"/>
                <w:sz w:val="16"/>
              </w:rPr>
              <w:t>)</w:t>
            </w:r>
          </w:p>
        </w:tc>
      </w:tr>
      <w:tr w:rsidR="00EB202F" w:rsidRPr="00CC4FCD" w14:paraId="59039122" w14:textId="77777777" w:rsidTr="006D4F52">
        <w:trPr>
          <w:jc w:val="center"/>
        </w:trPr>
        <w:tc>
          <w:tcPr>
            <w:tcW w:w="1536" w:type="dxa"/>
            <w:tcBorders>
              <w:top w:val="dotted" w:sz="4" w:space="0" w:color="auto"/>
              <w:bottom w:val="single" w:sz="4" w:space="0" w:color="auto"/>
            </w:tcBorders>
          </w:tcPr>
          <w:p w14:paraId="3CCE208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14:paraId="4AC29543"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25E50A5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5ECADE75"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27C51E73"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502DE37D"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0B7D17B7"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14:paraId="36F6C792" w14:textId="77777777" w:rsidTr="006D4F52">
        <w:trPr>
          <w:jc w:val="center"/>
        </w:trPr>
        <w:tc>
          <w:tcPr>
            <w:tcW w:w="1536" w:type="dxa"/>
            <w:tcBorders>
              <w:bottom w:val="dotted" w:sz="4" w:space="0" w:color="auto"/>
            </w:tcBorders>
          </w:tcPr>
          <w:p w14:paraId="78E3B46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(PC </w:t>
            </w:r>
            <w:r w:rsidRPr="00CC4FCD">
              <w:rPr>
                <w:color w:val="000000"/>
                <w:sz w:val="16"/>
              </w:rPr>
              <w:sym w:font="Symbol" w:char="F03C"/>
            </w:r>
            <w:r w:rsidRPr="00CC4FCD">
              <w:rPr>
                <w:color w:val="000000"/>
                <w:sz w:val="16"/>
              </w:rPr>
              <w:t xml:space="preserve"> 18.11.95)</w:t>
            </w:r>
          </w:p>
        </w:tc>
        <w:tc>
          <w:tcPr>
            <w:tcW w:w="1455" w:type="dxa"/>
            <w:tcBorders>
              <w:bottom w:val="dotted" w:sz="4" w:space="0" w:color="auto"/>
            </w:tcBorders>
          </w:tcPr>
          <w:p w14:paraId="528C67DF"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5.523C</w:t>
            </w:r>
            <w:r w:rsidRPr="00CC4FCD">
              <w:rPr>
                <w:color w:val="000000"/>
                <w:sz w:val="16"/>
              </w:rPr>
              <w:t>)</w:t>
            </w:r>
          </w:p>
        </w:tc>
        <w:tc>
          <w:tcPr>
            <w:tcW w:w="1496" w:type="dxa"/>
            <w:tcBorders>
              <w:bottom w:val="dotted" w:sz="4" w:space="0" w:color="auto"/>
            </w:tcBorders>
          </w:tcPr>
          <w:p w14:paraId="6F79C67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2DC028D0"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3FEA7C05"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338" w:type="dxa"/>
            <w:tcBorders>
              <w:bottom w:val="dotted" w:sz="4" w:space="0" w:color="auto"/>
            </w:tcBorders>
          </w:tcPr>
          <w:p w14:paraId="21A49818"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bottom w:val="dotted" w:sz="4" w:space="0" w:color="auto"/>
            </w:tcBorders>
          </w:tcPr>
          <w:p w14:paraId="426BA71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p>
        </w:tc>
      </w:tr>
      <w:tr w:rsidR="00EB202F" w:rsidRPr="00CC4FCD" w14:paraId="38C8EE34" w14:textId="77777777" w:rsidTr="006D4F52">
        <w:trPr>
          <w:jc w:val="center"/>
        </w:trPr>
        <w:tc>
          <w:tcPr>
            <w:tcW w:w="1536" w:type="dxa"/>
            <w:tcBorders>
              <w:top w:val="dotted" w:sz="4" w:space="0" w:color="auto"/>
              <w:bottom w:val="single" w:sz="4" w:space="0" w:color="auto"/>
            </w:tcBorders>
          </w:tcPr>
          <w:p w14:paraId="3453032F"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bottom w:val="single" w:sz="4" w:space="0" w:color="auto"/>
            </w:tcBorders>
          </w:tcPr>
          <w:p w14:paraId="6FADDF10"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7C536377"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261BD9C6"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157E390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265F8370"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39421FC0"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14:paraId="6BEABF13" w14:textId="77777777" w:rsidTr="006D4F52">
        <w:trPr>
          <w:jc w:val="center"/>
        </w:trPr>
        <w:tc>
          <w:tcPr>
            <w:tcW w:w="1536" w:type="dxa"/>
            <w:tcBorders>
              <w:bottom w:val="dotted" w:sz="4" w:space="0" w:color="auto"/>
            </w:tcBorders>
          </w:tcPr>
          <w:p w14:paraId="0F67187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(18.11.95 </w:t>
            </w:r>
            <w:r w:rsidRPr="00CC4FCD">
              <w:rPr>
                <w:color w:val="000000"/>
                <w:sz w:val="16"/>
              </w:rPr>
              <w:sym w:font="Symbol" w:char="F0A3"/>
            </w:r>
            <w:r w:rsidRPr="00CC4FCD">
              <w:rPr>
                <w:color w:val="000000"/>
                <w:sz w:val="16"/>
              </w:rPr>
              <w:t xml:space="preserve"> PC)</w:t>
            </w:r>
          </w:p>
        </w:tc>
        <w:tc>
          <w:tcPr>
            <w:tcW w:w="1455" w:type="dxa"/>
            <w:tcBorders>
              <w:bottom w:val="dotted" w:sz="4" w:space="0" w:color="auto"/>
            </w:tcBorders>
          </w:tcPr>
          <w:p w14:paraId="01230D7D"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5.523B</w:t>
            </w:r>
            <w:r w:rsidRPr="00CC4FCD">
              <w:rPr>
                <w:color w:val="000000"/>
                <w:sz w:val="16"/>
              </w:rPr>
              <w:t>)</w:t>
            </w:r>
          </w:p>
        </w:tc>
        <w:tc>
          <w:tcPr>
            <w:tcW w:w="1496" w:type="dxa"/>
            <w:tcBorders>
              <w:bottom w:val="dotted" w:sz="4" w:space="0" w:color="auto"/>
            </w:tcBorders>
          </w:tcPr>
          <w:p w14:paraId="38C92FFB"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1942732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25492CC3"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9.7</w:t>
            </w:r>
          </w:p>
        </w:tc>
        <w:tc>
          <w:tcPr>
            <w:tcW w:w="1338" w:type="dxa"/>
            <w:tcBorders>
              <w:bottom w:val="dotted" w:sz="4" w:space="0" w:color="auto"/>
            </w:tcBorders>
          </w:tcPr>
          <w:p w14:paraId="0346FD26"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036" w:type="dxa"/>
            <w:tcBorders>
              <w:bottom w:val="dotted" w:sz="4" w:space="0" w:color="auto"/>
            </w:tcBorders>
          </w:tcPr>
          <w:p w14:paraId="556A5925" w14:textId="77777777" w:rsidR="00EB202F" w:rsidRPr="00CC4FCD" w:rsidRDefault="00EB202F" w:rsidP="006D4F52">
            <w:pPr>
              <w:framePr w:hSpace="181" w:wrap="notBeside" w:vAnchor="text" w:hAnchor="text" w:xAlign="center" w:y="1"/>
              <w:spacing w:before="68" w:after="68"/>
              <w:jc w:val="center"/>
              <w:rPr>
                <w:i/>
                <w:iCs/>
                <w:color w:val="000000"/>
                <w:sz w:val="16"/>
              </w:rPr>
            </w:pPr>
            <w:r w:rsidRPr="00CC4FCD">
              <w:rPr>
                <w:color w:val="000000"/>
                <w:sz w:val="16"/>
              </w:rPr>
              <w:t>---</w:t>
            </w:r>
            <w:r w:rsidRPr="00CC4FCD">
              <w:rPr>
                <w:color w:val="000000"/>
                <w:sz w:val="16"/>
              </w:rPr>
              <w:br/>
              <w:t xml:space="preserve">Límites de </w:t>
            </w:r>
            <w:r w:rsidR="007C0FE2" w:rsidRPr="00CC4FCD">
              <w:rPr>
                <w:color w:val="000000"/>
                <w:sz w:val="16"/>
              </w:rPr>
              <w:t>dfp</w:t>
            </w:r>
          </w:p>
        </w:tc>
      </w:tr>
      <w:tr w:rsidR="00EB202F" w:rsidRPr="00CC4FCD" w14:paraId="6AF93E50" w14:textId="77777777" w:rsidTr="006D4F52">
        <w:trPr>
          <w:jc w:val="center"/>
        </w:trPr>
        <w:tc>
          <w:tcPr>
            <w:tcW w:w="1536" w:type="dxa"/>
            <w:tcBorders>
              <w:top w:val="dotted" w:sz="4" w:space="0" w:color="auto"/>
            </w:tcBorders>
          </w:tcPr>
          <w:p w14:paraId="27B13C8E"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Estación terrena</w:t>
            </w:r>
          </w:p>
        </w:tc>
        <w:tc>
          <w:tcPr>
            <w:tcW w:w="1455" w:type="dxa"/>
            <w:tcBorders>
              <w:top w:val="dotted" w:sz="4" w:space="0" w:color="auto"/>
            </w:tcBorders>
          </w:tcPr>
          <w:p w14:paraId="556CE8C7"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tcBorders>
          </w:tcPr>
          <w:p w14:paraId="4E2B084A"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tcBorders>
          </w:tcPr>
          <w:p w14:paraId="63E9CB3C"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tcBorders>
          </w:tcPr>
          <w:p w14:paraId="1B269A29"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tcBorders>
          </w:tcPr>
          <w:p w14:paraId="32F4D6CF"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tcBorders>
          </w:tcPr>
          <w:p w14:paraId="75E19AB6"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EB202F" w:rsidRPr="00CC4FCD" w14:paraId="2A60DFE2" w14:textId="77777777" w:rsidTr="006D4F52">
        <w:trPr>
          <w:jc w:val="center"/>
        </w:trPr>
        <w:tc>
          <w:tcPr>
            <w:tcW w:w="1536" w:type="dxa"/>
          </w:tcPr>
          <w:p w14:paraId="76D86930"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Terrenal</w:t>
            </w:r>
          </w:p>
        </w:tc>
        <w:tc>
          <w:tcPr>
            <w:tcW w:w="1455" w:type="dxa"/>
          </w:tcPr>
          <w:p w14:paraId="67484674"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Pr>
          <w:p w14:paraId="5AC3BF42"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9.16</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Pr>
          <w:p w14:paraId="228D2F21" w14:textId="77777777" w:rsidR="00EB202F" w:rsidRPr="00CC4FCD" w:rsidRDefault="00EB202F" w:rsidP="006D4F52">
            <w:pPr>
              <w:framePr w:hSpace="181" w:wrap="notBeside" w:vAnchor="text" w:hAnchor="text" w:xAlign="center" w:y="1"/>
              <w:spacing w:before="68" w:after="68"/>
              <w:jc w:val="center"/>
              <w:rPr>
                <w:color w:val="000000"/>
                <w:sz w:val="16"/>
              </w:rPr>
            </w:pPr>
            <w:r w:rsidRPr="00CC4FCD">
              <w:rPr>
                <w:rStyle w:val="Artref"/>
                <w:b/>
                <w:bCs/>
                <w:color w:val="000000"/>
                <w:sz w:val="16"/>
              </w:rPr>
              <w:t>9.18</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Pr>
          <w:p w14:paraId="1D55CAE6" w14:textId="77777777" w:rsidR="00EB202F" w:rsidRPr="00CC4FCD" w:rsidRDefault="00EB202F" w:rsidP="006D4F52">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9.18</w:t>
            </w:r>
          </w:p>
        </w:tc>
        <w:tc>
          <w:tcPr>
            <w:tcW w:w="1338" w:type="dxa"/>
          </w:tcPr>
          <w:p w14:paraId="7F559F16" w14:textId="77777777" w:rsidR="00EB202F" w:rsidRPr="00CC4FCD" w:rsidRDefault="00EB202F" w:rsidP="006D4F52">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9.18</w:t>
            </w:r>
          </w:p>
        </w:tc>
        <w:tc>
          <w:tcPr>
            <w:tcW w:w="1036" w:type="dxa"/>
          </w:tcPr>
          <w:p w14:paraId="12C4FE6A" w14:textId="77777777" w:rsidR="00EB202F" w:rsidRPr="00CC4FCD" w:rsidRDefault="00EB202F" w:rsidP="006D4F52">
            <w:pPr>
              <w:framePr w:hSpace="181" w:wrap="notBeside" w:vAnchor="text" w:hAnchor="text" w:xAlign="center" w:y="1"/>
              <w:spacing w:before="68" w:after="68"/>
              <w:jc w:val="center"/>
              <w:rPr>
                <w:i/>
                <w:iCs/>
                <w:color w:val="000000"/>
                <w:sz w:val="16"/>
              </w:rPr>
            </w:pPr>
            <w:r w:rsidRPr="00CC4FCD">
              <w:rPr>
                <w:i/>
                <w:iCs/>
                <w:color w:val="000000"/>
                <w:sz w:val="16"/>
              </w:rPr>
              <w:t>---</w:t>
            </w:r>
          </w:p>
        </w:tc>
      </w:tr>
    </w:tbl>
    <w:p w14:paraId="61799D7E" w14:textId="77777777" w:rsidR="00EB202F" w:rsidRDefault="00EB202F" w:rsidP="00EB202F">
      <w:pPr>
        <w:pStyle w:val="TableFin"/>
        <w:rPr>
          <w:color w:val="000000"/>
          <w:lang w:val="es-ES_tradnl"/>
        </w:rPr>
      </w:pPr>
    </w:p>
    <w:p w14:paraId="119BD40D" w14:textId="77777777" w:rsidR="00EB202F" w:rsidRDefault="00EB202F" w:rsidP="00EB202F"/>
    <w:p w14:paraId="2222B211" w14:textId="4B0BD60D" w:rsidR="00EB202F" w:rsidRDefault="00EB202F" w:rsidP="00EB202F"/>
    <w:p w14:paraId="201F926E" w14:textId="6A0855DA" w:rsidR="00CD1F53" w:rsidRDefault="00CD1F53" w:rsidP="00EB202F"/>
    <w:p w14:paraId="5CD273BF" w14:textId="66F896E1" w:rsidR="00CD1F53" w:rsidRDefault="00CD1F53" w:rsidP="00EB202F"/>
    <w:p w14:paraId="69C12F92" w14:textId="0263F013" w:rsidR="00CD1F53" w:rsidRDefault="00CD1F53" w:rsidP="00EB202F"/>
    <w:p w14:paraId="4EFDCD16" w14:textId="4F2D0715" w:rsidR="00CD1F53" w:rsidRDefault="00CD1F53" w:rsidP="00EB202F"/>
    <w:p w14:paraId="0D75987C" w14:textId="77777777" w:rsidR="00CD1F53" w:rsidRPr="00FF37B7" w:rsidRDefault="00CD1F53" w:rsidP="00EB202F"/>
    <w:p w14:paraId="28160A9F" w14:textId="77777777" w:rsidR="00FA6BE9" w:rsidRPr="00EB202F" w:rsidRDefault="00FA6BE9" w:rsidP="00FA6BE9">
      <w:pPr>
        <w:rPr>
          <w:lang w:val="es-ES_tradnl"/>
        </w:rPr>
      </w:pPr>
    </w:p>
    <w:p w14:paraId="70A2446F" w14:textId="77777777" w:rsidR="00FA6BE9" w:rsidRPr="00FF37B7" w:rsidRDefault="00FA6BE9" w:rsidP="00FA6BE9">
      <w:pPr>
        <w:rPr>
          <w:color w:val="000000"/>
        </w:rPr>
        <w:sectPr w:rsidR="00FA6BE9" w:rsidRPr="00FF37B7" w:rsidSect="005D4085">
          <w:headerReference w:type="even" r:id="rId15"/>
          <w:headerReference w:type="default" r:id="rId16"/>
          <w:footerReference w:type="default" r:id="rId17"/>
          <w:footnotePr>
            <w:pos w:val="beneathText"/>
            <w:numFmt w:val="chicago"/>
          </w:footnotePr>
          <w:pgSz w:w="11907" w:h="16840" w:code="9"/>
          <w:pgMar w:top="1701" w:right="851" w:bottom="907" w:left="1985" w:header="720" w:footer="482" w:gutter="0"/>
          <w:cols w:space="720"/>
          <w:vAlign w:val="both"/>
        </w:sectPr>
      </w:pPr>
    </w:p>
    <w:p w14:paraId="1C284BE4" w14:textId="77777777" w:rsidR="000A21A1" w:rsidRPr="00CC4FCD" w:rsidRDefault="00FA6BE9" w:rsidP="00FA6BE9">
      <w:pPr>
        <w:tabs>
          <w:tab w:val="left" w:pos="1080"/>
        </w:tabs>
        <w:spacing w:before="0" w:after="100"/>
        <w:jc w:val="center"/>
        <w:rPr>
          <w:b/>
          <w:bCs/>
          <w:color w:val="000000"/>
          <w:lang w:val="es-ES_tradnl"/>
        </w:rPr>
      </w:pPr>
      <w:r w:rsidRPr="00CC4FCD">
        <w:rPr>
          <w:rFonts w:cs="Arial"/>
          <w:b/>
          <w:bCs/>
          <w:color w:val="000000"/>
          <w:lang w:val="es-ES_tradnl"/>
        </w:rPr>
        <w:lastRenderedPageBreak/>
        <w:t xml:space="preserve">Cuadro 19,6-19,7 </w:t>
      </w:r>
      <w:r w:rsidRPr="00CC4FCD">
        <w:rPr>
          <w:b/>
          <w:bCs/>
          <w:color w:val="000000"/>
          <w:lang w:val="es-ES_tradnl"/>
        </w:rPr>
        <w:t>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1431"/>
        <w:gridCol w:w="1371"/>
        <w:gridCol w:w="1432"/>
        <w:gridCol w:w="1372"/>
        <w:gridCol w:w="1372"/>
        <w:gridCol w:w="1370"/>
        <w:gridCol w:w="1372"/>
        <w:gridCol w:w="1354"/>
        <w:gridCol w:w="1551"/>
      </w:tblGrid>
      <w:tr w:rsidR="000A21A1" w:rsidRPr="00CC4FCD" w14:paraId="1701D612" w14:textId="77777777">
        <w:trPr>
          <w:jc w:val="center"/>
        </w:trPr>
        <w:tc>
          <w:tcPr>
            <w:tcW w:w="1550" w:type="dxa"/>
            <w:tcBorders>
              <w:bottom w:val="single" w:sz="4" w:space="0" w:color="auto"/>
            </w:tcBorders>
          </w:tcPr>
          <w:p w14:paraId="50F41D27" w14:textId="77777777" w:rsidR="000A21A1" w:rsidRPr="00CC4FCD" w:rsidRDefault="000A21A1">
            <w:pPr>
              <w:spacing w:before="50" w:after="50"/>
              <w:jc w:val="center"/>
              <w:rPr>
                <w:color w:val="000000"/>
                <w:sz w:val="16"/>
                <w:lang w:val="es-ES_tradnl"/>
              </w:rPr>
            </w:pPr>
            <w:r w:rsidRPr="00CC4FCD">
              <w:rPr>
                <w:color w:val="000000"/>
                <w:sz w:val="16"/>
                <w:lang w:val="es-ES_tradnl"/>
              </w:rPr>
              <w:t>PC: Columna con respecto a fila (</w:t>
            </w:r>
            <w:r w:rsidRPr="00CC4FCD">
              <w:rPr>
                <w:color w:val="000000"/>
                <w:sz w:val="14"/>
                <w:lang w:val="es-ES_tradnl"/>
              </w:rPr>
              <w:sym w:font="Wingdings" w:char="F0E4"/>
            </w:r>
            <w:r w:rsidRPr="00CC4FCD">
              <w:rPr>
                <w:color w:val="000000"/>
                <w:sz w:val="16"/>
                <w:lang w:val="es-ES_tradnl"/>
              </w:rPr>
              <w:t>)</w:t>
            </w:r>
          </w:p>
        </w:tc>
        <w:tc>
          <w:tcPr>
            <w:tcW w:w="1431" w:type="dxa"/>
            <w:tcBorders>
              <w:bottom w:val="single" w:sz="4" w:space="0" w:color="auto"/>
            </w:tcBorders>
          </w:tcPr>
          <w:p w14:paraId="400F4B44" w14:textId="77777777" w:rsidR="000A21A1" w:rsidRPr="00CC4FCD" w:rsidRDefault="000A21A1">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1" w:type="dxa"/>
            <w:tcBorders>
              <w:bottom w:val="single" w:sz="4" w:space="0" w:color="auto"/>
            </w:tcBorders>
          </w:tcPr>
          <w:p w14:paraId="25C75156"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(otros)</w:t>
            </w:r>
            <w:r w:rsidRPr="00CC4FCD">
              <w:rPr>
                <w:color w:val="000000"/>
                <w:sz w:val="16"/>
                <w:lang w:val="es-ES_tradnl"/>
              </w:rPr>
              <w:br/>
              <w:t>(número del RR)</w:t>
            </w:r>
          </w:p>
        </w:tc>
        <w:tc>
          <w:tcPr>
            <w:tcW w:w="1432" w:type="dxa"/>
            <w:tcBorders>
              <w:bottom w:val="single" w:sz="4" w:space="0" w:color="auto"/>
            </w:tcBorders>
          </w:tcPr>
          <w:p w14:paraId="6A881DB7" w14:textId="77777777" w:rsidR="000A21A1" w:rsidRPr="00CC4FCD" w:rsidRDefault="000A21A1">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2" w:type="dxa"/>
            <w:tcBorders>
              <w:bottom w:val="single" w:sz="4" w:space="0" w:color="auto"/>
            </w:tcBorders>
          </w:tcPr>
          <w:p w14:paraId="02E8EEA5"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(otros)</w:t>
            </w:r>
            <w:r w:rsidRPr="00CC4FCD">
              <w:rPr>
                <w:color w:val="000000"/>
                <w:sz w:val="16"/>
                <w:lang w:val="es-ES_tradnl"/>
              </w:rPr>
              <w:br/>
              <w:t>(número del RR)</w:t>
            </w:r>
          </w:p>
        </w:tc>
        <w:tc>
          <w:tcPr>
            <w:tcW w:w="1372" w:type="dxa"/>
            <w:tcBorders>
              <w:bottom w:val="single" w:sz="4" w:space="0" w:color="auto"/>
            </w:tcBorders>
          </w:tcPr>
          <w:p w14:paraId="3D17D867"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0" w:type="dxa"/>
            <w:tcBorders>
              <w:bottom w:val="single" w:sz="4" w:space="0" w:color="auto"/>
            </w:tcBorders>
          </w:tcPr>
          <w:p w14:paraId="56D5C48E"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2" w:type="dxa"/>
            <w:tcBorders>
              <w:bottom w:val="single" w:sz="4" w:space="0" w:color="auto"/>
            </w:tcBorders>
          </w:tcPr>
          <w:p w14:paraId="61E263F6"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354" w:type="dxa"/>
            <w:tcBorders>
              <w:bottom w:val="single" w:sz="4" w:space="0" w:color="auto"/>
            </w:tcBorders>
          </w:tcPr>
          <w:p w14:paraId="4521AF2E"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551" w:type="dxa"/>
            <w:tcBorders>
              <w:bottom w:val="single" w:sz="4" w:space="0" w:color="auto"/>
            </w:tcBorders>
          </w:tcPr>
          <w:p w14:paraId="384A573F" w14:textId="77777777" w:rsidR="000A21A1" w:rsidRPr="00CC4FCD" w:rsidRDefault="000A21A1">
            <w:pPr>
              <w:spacing w:before="50" w:after="50"/>
              <w:jc w:val="center"/>
              <w:rPr>
                <w:color w:val="000000"/>
                <w:sz w:val="16"/>
                <w:lang w:val="es-ES_tradnl"/>
              </w:rPr>
            </w:pPr>
            <w:r w:rsidRPr="00CC4FCD">
              <w:rPr>
                <w:color w:val="000000"/>
                <w:sz w:val="16"/>
                <w:lang w:val="es-ES_tradnl"/>
              </w:rPr>
              <w:t>Terrenal</w:t>
            </w:r>
            <w:r w:rsidRPr="00CC4FCD">
              <w:rPr>
                <w:color w:val="000000"/>
                <w:sz w:val="16"/>
                <w:lang w:val="es-ES_tradnl"/>
              </w:rPr>
              <w:br/>
              <w:t>(número del RR)</w:t>
            </w:r>
          </w:p>
        </w:tc>
      </w:tr>
      <w:tr w:rsidR="000A21A1" w:rsidRPr="00CC4FCD" w14:paraId="5EE571CB" w14:textId="77777777">
        <w:trPr>
          <w:jc w:val="center"/>
        </w:trPr>
        <w:tc>
          <w:tcPr>
            <w:tcW w:w="1550" w:type="dxa"/>
            <w:tcBorders>
              <w:bottom w:val="dotted" w:sz="4" w:space="0" w:color="auto"/>
            </w:tcBorders>
          </w:tcPr>
          <w:p w14:paraId="3C7E1D46"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(enlace de conexión del SMS)</w:t>
            </w:r>
          </w:p>
        </w:tc>
        <w:tc>
          <w:tcPr>
            <w:tcW w:w="1431" w:type="dxa"/>
            <w:tcBorders>
              <w:bottom w:val="dotted" w:sz="4" w:space="0" w:color="auto"/>
            </w:tcBorders>
          </w:tcPr>
          <w:p w14:paraId="4D35CAC4"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23B08DDB"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473EDD6E"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51C19AC1" w14:textId="77777777" w:rsidR="000A21A1" w:rsidRPr="00CC4FCD" w:rsidRDefault="000A21A1">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0B5AB722"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32303EBC"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7FE392A7"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587E0122"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74FE67EA" w14:textId="77777777" w:rsidR="000A21A1" w:rsidRPr="00CC4FCD" w:rsidRDefault="000A21A1">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5C58820E" w14:textId="77777777">
        <w:trPr>
          <w:jc w:val="center"/>
        </w:trPr>
        <w:tc>
          <w:tcPr>
            <w:tcW w:w="1550" w:type="dxa"/>
            <w:tcBorders>
              <w:top w:val="dotted" w:sz="4" w:space="0" w:color="auto"/>
              <w:bottom w:val="single" w:sz="4" w:space="0" w:color="auto"/>
            </w:tcBorders>
          </w:tcPr>
          <w:p w14:paraId="234B6744"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EC5727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17C54C7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0713807F"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235470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0F1B40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73952385"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3B80AC7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526604F6"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2ED92B22"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CC4FCD" w14:paraId="19A15BF4" w14:textId="77777777">
        <w:trPr>
          <w:jc w:val="center"/>
        </w:trPr>
        <w:tc>
          <w:tcPr>
            <w:tcW w:w="1550" w:type="dxa"/>
            <w:tcBorders>
              <w:bottom w:val="dotted" w:sz="4" w:space="0" w:color="auto"/>
            </w:tcBorders>
          </w:tcPr>
          <w:p w14:paraId="4A823099"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(otros)</w:t>
            </w:r>
          </w:p>
        </w:tc>
        <w:tc>
          <w:tcPr>
            <w:tcW w:w="1431" w:type="dxa"/>
            <w:tcBorders>
              <w:bottom w:val="dotted" w:sz="4" w:space="0" w:color="auto"/>
            </w:tcBorders>
          </w:tcPr>
          <w:p w14:paraId="7F8F2B6E"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32821099" w14:textId="77777777" w:rsidR="000A21A1" w:rsidRPr="00CC4FCD" w:rsidRDefault="000A21A1">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42C39E5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659D5002" w14:textId="77777777" w:rsidR="000A21A1" w:rsidRPr="00CC4FCD" w:rsidRDefault="000A21A1">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5F133A9C" w14:textId="77777777" w:rsidR="000A21A1" w:rsidRPr="00CC4FCD" w:rsidRDefault="000A21A1">
            <w:pPr>
              <w:spacing w:before="50" w:after="50"/>
              <w:jc w:val="center"/>
              <w:rPr>
                <w:b/>
                <w:bCs/>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b/>
                <w:bCs/>
                <w:color w:val="000000"/>
                <w:sz w:val="16"/>
                <w:lang w:val="es-ES_tradnl"/>
              </w:rPr>
              <w:t>)</w:t>
            </w:r>
          </w:p>
        </w:tc>
        <w:tc>
          <w:tcPr>
            <w:tcW w:w="1370" w:type="dxa"/>
            <w:tcBorders>
              <w:bottom w:val="dotted" w:sz="4" w:space="0" w:color="auto"/>
            </w:tcBorders>
          </w:tcPr>
          <w:p w14:paraId="7FBC635C"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793CC7D0"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2BCA7F75"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12887FF4" w14:textId="77777777" w:rsidR="000A21A1" w:rsidRPr="00CC4FCD" w:rsidRDefault="000A21A1">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6B40973A" w14:textId="77777777">
        <w:trPr>
          <w:jc w:val="center"/>
        </w:trPr>
        <w:tc>
          <w:tcPr>
            <w:tcW w:w="1550" w:type="dxa"/>
            <w:tcBorders>
              <w:top w:val="dotted" w:sz="4" w:space="0" w:color="auto"/>
              <w:bottom w:val="single" w:sz="4" w:space="0" w:color="auto"/>
            </w:tcBorders>
          </w:tcPr>
          <w:p w14:paraId="5E516ED7"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751607B7"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693300F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64B93648"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30646297"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6270D0E"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732C8F86"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F8B05CA"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6369BE78"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6ABCE240"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1B3E77" w14:paraId="65A42825" w14:textId="77777777">
        <w:trPr>
          <w:jc w:val="center"/>
        </w:trPr>
        <w:tc>
          <w:tcPr>
            <w:tcW w:w="1550" w:type="dxa"/>
            <w:tcBorders>
              <w:bottom w:val="dotted" w:sz="4" w:space="0" w:color="auto"/>
            </w:tcBorders>
          </w:tcPr>
          <w:p w14:paraId="27F66E14"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br/>
              <w:t>(enlace de conexión del SMS)</w:t>
            </w:r>
          </w:p>
        </w:tc>
        <w:tc>
          <w:tcPr>
            <w:tcW w:w="1431" w:type="dxa"/>
            <w:tcBorders>
              <w:bottom w:val="dotted" w:sz="4" w:space="0" w:color="auto"/>
            </w:tcBorders>
          </w:tcPr>
          <w:p w14:paraId="33E9BF39" w14:textId="77777777" w:rsidR="000A21A1" w:rsidRPr="00CC4FCD" w:rsidRDefault="000A21A1">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371" w:type="dxa"/>
            <w:tcBorders>
              <w:bottom w:val="dotted" w:sz="4" w:space="0" w:color="auto"/>
            </w:tcBorders>
          </w:tcPr>
          <w:p w14:paraId="2959ABE6" w14:textId="77777777" w:rsidR="000A21A1" w:rsidRPr="00CC4FCD" w:rsidRDefault="000A21A1">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432" w:type="dxa"/>
            <w:tcBorders>
              <w:bottom w:val="dotted" w:sz="4" w:space="0" w:color="auto"/>
            </w:tcBorders>
          </w:tcPr>
          <w:p w14:paraId="70246740"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3F99F424" w14:textId="77777777"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1037E684"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4B931CD6"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65C61123"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7A8C4BEB"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73497F43"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3F8B1236" w14:textId="77777777">
        <w:trPr>
          <w:jc w:val="center"/>
        </w:trPr>
        <w:tc>
          <w:tcPr>
            <w:tcW w:w="1550" w:type="dxa"/>
            <w:tcBorders>
              <w:top w:val="dotted" w:sz="4" w:space="0" w:color="auto"/>
              <w:bottom w:val="single" w:sz="4" w:space="0" w:color="auto"/>
            </w:tcBorders>
          </w:tcPr>
          <w:p w14:paraId="65A5088D"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074605C2"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2457929C"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4EA027D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12438CA"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5A3A29C"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41A1ECA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C007C0F"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39A450E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6FC04E5C"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A21A1" w:rsidRPr="001B3E77" w14:paraId="1E48A9D6" w14:textId="77777777">
        <w:trPr>
          <w:jc w:val="center"/>
        </w:trPr>
        <w:tc>
          <w:tcPr>
            <w:tcW w:w="1550" w:type="dxa"/>
            <w:tcBorders>
              <w:bottom w:val="dotted" w:sz="4" w:space="0" w:color="auto"/>
            </w:tcBorders>
          </w:tcPr>
          <w:p w14:paraId="554685F2"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(otros)</w:t>
            </w:r>
          </w:p>
        </w:tc>
        <w:tc>
          <w:tcPr>
            <w:tcW w:w="1431" w:type="dxa"/>
            <w:tcBorders>
              <w:bottom w:val="dotted" w:sz="4" w:space="0" w:color="auto"/>
            </w:tcBorders>
          </w:tcPr>
          <w:p w14:paraId="0D8D7713" w14:textId="77777777" w:rsidR="000A21A1" w:rsidRPr="00CC4FCD" w:rsidRDefault="000A21A1">
            <w:pPr>
              <w:spacing w:before="50" w:after="50"/>
              <w:jc w:val="center"/>
              <w:rPr>
                <w:rStyle w:val="Artref"/>
                <w:bCs/>
                <w:color w:val="000000"/>
                <w:sz w:val="16"/>
                <w:lang w:val="es-ES_tradnl"/>
              </w:rPr>
            </w:pPr>
            <w:r w:rsidRPr="00CC4FCD">
              <w:rPr>
                <w:bCs/>
                <w:color w:val="000000"/>
                <w:sz w:val="16"/>
                <w:lang w:val="es-ES_tradnl"/>
              </w:rPr>
              <w:br/>
            </w:r>
            <w:r w:rsidRPr="00CC4FCD">
              <w:rPr>
                <w:rStyle w:val="Artref"/>
                <w:bCs/>
                <w:color w:val="000000"/>
                <w:sz w:val="16"/>
                <w:lang w:val="es-ES_tradnl"/>
              </w:rPr>
              <w:t>Sin PC</w:t>
            </w:r>
          </w:p>
        </w:tc>
        <w:tc>
          <w:tcPr>
            <w:tcW w:w="1371" w:type="dxa"/>
            <w:tcBorders>
              <w:bottom w:val="dotted" w:sz="4" w:space="0" w:color="auto"/>
            </w:tcBorders>
          </w:tcPr>
          <w:p w14:paraId="071DC56F" w14:textId="77777777" w:rsidR="000A21A1" w:rsidRPr="00CC4FCD" w:rsidRDefault="000A21A1">
            <w:pPr>
              <w:spacing w:before="50" w:after="50"/>
              <w:jc w:val="center"/>
              <w:rPr>
                <w:b/>
                <w:bCs/>
                <w:color w:val="000000"/>
                <w:sz w:val="16"/>
                <w:lang w:val="es-ES_tradnl"/>
              </w:rPr>
            </w:pPr>
            <w:r w:rsidRPr="00CC4FCD">
              <w:rPr>
                <w:b/>
                <w:bCs/>
                <w:color w:val="000000"/>
                <w:sz w:val="16"/>
                <w:lang w:val="es-ES_tradnl"/>
              </w:rPr>
              <w:br/>
            </w:r>
            <w:r w:rsidRPr="00CC4FCD">
              <w:rPr>
                <w:color w:val="000000"/>
                <w:sz w:val="16"/>
                <w:lang w:val="es-ES_tradnl"/>
              </w:rPr>
              <w:t>Sin PC</w:t>
            </w:r>
          </w:p>
        </w:tc>
        <w:tc>
          <w:tcPr>
            <w:tcW w:w="1432" w:type="dxa"/>
            <w:tcBorders>
              <w:bottom w:val="dotted" w:sz="4" w:space="0" w:color="auto"/>
            </w:tcBorders>
          </w:tcPr>
          <w:p w14:paraId="1C2BE946" w14:textId="77777777"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5BA0F3E0" w14:textId="77777777" w:rsidR="000A21A1" w:rsidRPr="00CC4FCD" w:rsidRDefault="000A21A1">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8B8C339"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0" w:type="dxa"/>
            <w:tcBorders>
              <w:bottom w:val="dotted" w:sz="4" w:space="0" w:color="auto"/>
            </w:tcBorders>
          </w:tcPr>
          <w:p w14:paraId="73263C4B"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1CE3FA3E"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7103CCB3" w14:textId="77777777" w:rsidR="000A21A1" w:rsidRPr="00CC4FCD" w:rsidRDefault="000A21A1">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39D0E75D"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A21A1" w:rsidRPr="00CC4FCD" w14:paraId="5B59E828" w14:textId="77777777">
        <w:trPr>
          <w:jc w:val="center"/>
        </w:trPr>
        <w:tc>
          <w:tcPr>
            <w:tcW w:w="1550" w:type="dxa"/>
            <w:tcBorders>
              <w:top w:val="dotted" w:sz="4" w:space="0" w:color="auto"/>
              <w:bottom w:val="single" w:sz="4" w:space="0" w:color="auto"/>
            </w:tcBorders>
          </w:tcPr>
          <w:p w14:paraId="64A8426B"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2608EE3F"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3FA8A587"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43E3003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68B0A99"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4F2295A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7CD319A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498CFA08"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4060EC3C"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61537FC7"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14:paraId="11BA1B15" w14:textId="77777777">
        <w:trPr>
          <w:jc w:val="center"/>
        </w:trPr>
        <w:tc>
          <w:tcPr>
            <w:tcW w:w="1550" w:type="dxa"/>
            <w:tcBorders>
              <w:bottom w:val="dotted" w:sz="4" w:space="0" w:color="auto"/>
            </w:tcBorders>
          </w:tcPr>
          <w:p w14:paraId="232C31D5"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7180700C"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67577AFC" w14:textId="77777777"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221614DA"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442AB9F9"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362D69F0"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0745E5EC"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1F92380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477BF4E1"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796E2624"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r>
      <w:tr w:rsidR="000A21A1" w:rsidRPr="00CC4FCD" w14:paraId="32E5FE30" w14:textId="77777777">
        <w:trPr>
          <w:jc w:val="center"/>
        </w:trPr>
        <w:tc>
          <w:tcPr>
            <w:tcW w:w="1550" w:type="dxa"/>
            <w:tcBorders>
              <w:top w:val="dotted" w:sz="4" w:space="0" w:color="auto"/>
              <w:bottom w:val="single" w:sz="4" w:space="0" w:color="auto"/>
            </w:tcBorders>
          </w:tcPr>
          <w:p w14:paraId="2BADAC9A"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40C35DB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21EF4A84"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740A684A"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4E4FE3E1"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9E6187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3B454C05"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C823DE5"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5B8D717A"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5C4735C0"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1B3E77" w14:paraId="6A35786C" w14:textId="77777777">
        <w:trPr>
          <w:jc w:val="center"/>
        </w:trPr>
        <w:tc>
          <w:tcPr>
            <w:tcW w:w="1550" w:type="dxa"/>
            <w:tcBorders>
              <w:bottom w:val="dotted" w:sz="4" w:space="0" w:color="auto"/>
            </w:tcBorders>
          </w:tcPr>
          <w:p w14:paraId="3C553F72"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2D6FC13F"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335556A5" w14:textId="77777777"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6BE9B9BA"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5.523E</w:t>
            </w:r>
            <w:r w:rsidRPr="00CC4FCD">
              <w:rPr>
                <w:rStyle w:val="Artref"/>
                <w:b/>
                <w:color w:val="000000"/>
                <w:sz w:val="16"/>
                <w:lang w:val="es-ES_tradnl"/>
              </w:rPr>
              <w:t>)</w:t>
            </w:r>
          </w:p>
        </w:tc>
        <w:tc>
          <w:tcPr>
            <w:tcW w:w="1372" w:type="dxa"/>
            <w:tcBorders>
              <w:bottom w:val="dotted" w:sz="4" w:space="0" w:color="auto"/>
            </w:tcBorders>
          </w:tcPr>
          <w:p w14:paraId="008700D9"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5.523D</w:t>
            </w:r>
            <w:r w:rsidRPr="00CC4FCD">
              <w:rPr>
                <w:rStyle w:val="Artref"/>
                <w:b/>
                <w:color w:val="000000"/>
                <w:sz w:val="16"/>
                <w:lang w:val="es-ES_tradnl"/>
              </w:rPr>
              <w:t>)</w:t>
            </w:r>
          </w:p>
        </w:tc>
        <w:tc>
          <w:tcPr>
            <w:tcW w:w="1372" w:type="dxa"/>
            <w:tcBorders>
              <w:bottom w:val="dotted" w:sz="4" w:space="0" w:color="auto"/>
            </w:tcBorders>
          </w:tcPr>
          <w:p w14:paraId="5638241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42CCE34A"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493872E3"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159C429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26B433D7"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p>
        </w:tc>
      </w:tr>
      <w:tr w:rsidR="000A21A1" w:rsidRPr="00CC4FCD" w14:paraId="4EA868A2" w14:textId="77777777">
        <w:trPr>
          <w:jc w:val="center"/>
        </w:trPr>
        <w:tc>
          <w:tcPr>
            <w:tcW w:w="1550" w:type="dxa"/>
            <w:tcBorders>
              <w:top w:val="dotted" w:sz="4" w:space="0" w:color="auto"/>
              <w:bottom w:val="single" w:sz="4" w:space="0" w:color="auto"/>
            </w:tcBorders>
          </w:tcPr>
          <w:p w14:paraId="2059C5B7"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2F02C856"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18CC5054"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71326C1F"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366AD7A6"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3BDFD4D8"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14F53EA2"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F70905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3C5F0C83"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256FD76E"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14:paraId="5C3AEEAD" w14:textId="77777777">
        <w:trPr>
          <w:jc w:val="center"/>
        </w:trPr>
        <w:tc>
          <w:tcPr>
            <w:tcW w:w="1550" w:type="dxa"/>
            <w:tcBorders>
              <w:bottom w:val="dotted" w:sz="4" w:space="0" w:color="auto"/>
            </w:tcBorders>
          </w:tcPr>
          <w:p w14:paraId="2DC2E83E"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295460C0"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25107181" w14:textId="77777777" w:rsidR="000A21A1" w:rsidRPr="00CC4FCD" w:rsidRDefault="000A21A1">
            <w:pPr>
              <w:spacing w:before="50" w:after="50"/>
              <w:jc w:val="center"/>
              <w:rPr>
                <w:color w:val="000000"/>
                <w:sz w:val="16"/>
                <w:highlight w:val="yellow"/>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02DF2DD8"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6EE71FD"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497CB6F"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0E64279C"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33504DAF"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2AC10D64"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4B2B6E8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r>
      <w:tr w:rsidR="000A21A1" w:rsidRPr="00CC4FCD" w14:paraId="1323CB66" w14:textId="77777777">
        <w:trPr>
          <w:jc w:val="center"/>
        </w:trPr>
        <w:tc>
          <w:tcPr>
            <w:tcW w:w="1550" w:type="dxa"/>
            <w:tcBorders>
              <w:top w:val="dotted" w:sz="4" w:space="0" w:color="auto"/>
              <w:bottom w:val="single" w:sz="4" w:space="0" w:color="auto"/>
            </w:tcBorders>
          </w:tcPr>
          <w:p w14:paraId="5BE35C4E"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3C590709"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E6FB0EC" w14:textId="77777777" w:rsidR="000A21A1" w:rsidRPr="00CC4FCD" w:rsidRDefault="000A21A1">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5DE3209B"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D66B019"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77EAE77"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71F7B69C"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47258565"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057B3DF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640446FA"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1B3E77" w14:paraId="4185DCB6" w14:textId="77777777">
        <w:trPr>
          <w:jc w:val="center"/>
        </w:trPr>
        <w:tc>
          <w:tcPr>
            <w:tcW w:w="1550" w:type="dxa"/>
            <w:tcBorders>
              <w:bottom w:val="dotted" w:sz="4" w:space="0" w:color="auto"/>
            </w:tcBorders>
          </w:tcPr>
          <w:p w14:paraId="5F3ED514"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088155FB"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1" w:type="dxa"/>
            <w:tcBorders>
              <w:bottom w:val="dotted" w:sz="4" w:space="0" w:color="auto"/>
            </w:tcBorders>
          </w:tcPr>
          <w:p w14:paraId="64CC3F5F"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0AA7FA67"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93E018E"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ACE910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319DCD33"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0DD5DE58" w14:textId="77777777" w:rsidR="000A21A1" w:rsidRPr="00CC4FCD" w:rsidRDefault="000A21A1">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60BF8E03"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2FB80433" w14:textId="77777777" w:rsidR="000A21A1" w:rsidRPr="00CC4FCD" w:rsidRDefault="000A21A1">
            <w:pPr>
              <w:spacing w:before="50" w:after="50"/>
              <w:jc w:val="center"/>
              <w:rPr>
                <w:color w:val="000000"/>
                <w:sz w:val="16"/>
                <w:lang w:val="es-ES_tradnl"/>
              </w:rPr>
            </w:pPr>
            <w:r w:rsidRPr="00CC4FCD">
              <w:rPr>
                <w:color w:val="000000"/>
                <w:sz w:val="16"/>
                <w:lang w:val="es-ES_tradnl"/>
              </w:rPr>
              <w:t xml:space="preserve">Límites de </w:t>
            </w:r>
            <w:r w:rsidR="00A80C59" w:rsidRPr="00CC4FCD">
              <w:rPr>
                <w:color w:val="000000"/>
                <w:sz w:val="16"/>
                <w:lang w:val="es-ES_tradnl"/>
              </w:rPr>
              <w:t>dfp</w:t>
            </w:r>
            <w:r w:rsidRPr="00CC4FCD">
              <w:rPr>
                <w:color w:val="000000"/>
                <w:sz w:val="16"/>
                <w:lang w:val="es-ES_tradnl"/>
              </w:rPr>
              <w:t xml:space="preserve"> (21/Sección V)</w:t>
            </w:r>
          </w:p>
        </w:tc>
      </w:tr>
      <w:tr w:rsidR="000A21A1" w:rsidRPr="00CC4FCD" w14:paraId="2CE8E83F" w14:textId="77777777">
        <w:trPr>
          <w:jc w:val="center"/>
        </w:trPr>
        <w:tc>
          <w:tcPr>
            <w:tcW w:w="1550" w:type="dxa"/>
            <w:tcBorders>
              <w:top w:val="dotted" w:sz="4" w:space="0" w:color="auto"/>
            </w:tcBorders>
          </w:tcPr>
          <w:p w14:paraId="47711732" w14:textId="77777777" w:rsidR="000A21A1" w:rsidRPr="00CC4FCD" w:rsidRDefault="000A21A1">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tcBorders>
          </w:tcPr>
          <w:p w14:paraId="5893B447"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tcBorders>
          </w:tcPr>
          <w:p w14:paraId="3577DCD6" w14:textId="77777777" w:rsidR="000A21A1" w:rsidRPr="00CC4FCD" w:rsidRDefault="000A21A1">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tcBorders>
          </w:tcPr>
          <w:p w14:paraId="525FDDCD"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42CCD611"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473D26C9" w14:textId="77777777" w:rsidR="000A21A1" w:rsidRPr="00CC4FCD" w:rsidRDefault="000A21A1">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tcBorders>
          </w:tcPr>
          <w:p w14:paraId="1005DA58"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4B9615F8"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tcBorders>
          </w:tcPr>
          <w:p w14:paraId="57D5A72E"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tcBorders>
          </w:tcPr>
          <w:p w14:paraId="3A7B729E"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A21A1" w:rsidRPr="00CC4FCD" w14:paraId="6025DEA1" w14:textId="77777777">
        <w:trPr>
          <w:jc w:val="center"/>
        </w:trPr>
        <w:tc>
          <w:tcPr>
            <w:tcW w:w="1550" w:type="dxa"/>
          </w:tcPr>
          <w:p w14:paraId="7E229259" w14:textId="77777777" w:rsidR="000A21A1" w:rsidRPr="00CC4FCD" w:rsidRDefault="000A21A1">
            <w:pPr>
              <w:spacing w:before="50" w:after="50"/>
              <w:jc w:val="center"/>
              <w:rPr>
                <w:color w:val="000000"/>
                <w:sz w:val="16"/>
                <w:lang w:val="es-ES_tradnl"/>
              </w:rPr>
            </w:pPr>
            <w:r w:rsidRPr="00CC4FCD">
              <w:rPr>
                <w:color w:val="000000"/>
                <w:sz w:val="16"/>
                <w:lang w:val="es-ES_tradnl"/>
              </w:rPr>
              <w:t>Terrenal</w:t>
            </w:r>
          </w:p>
        </w:tc>
        <w:tc>
          <w:tcPr>
            <w:tcW w:w="1431" w:type="dxa"/>
          </w:tcPr>
          <w:p w14:paraId="0F555BE4"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1" w:type="dxa"/>
          </w:tcPr>
          <w:p w14:paraId="58B30189"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432" w:type="dxa"/>
          </w:tcPr>
          <w:p w14:paraId="664EB816"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9.16</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74F92398" w14:textId="77777777" w:rsidR="000A21A1" w:rsidRPr="00CC4FCD" w:rsidRDefault="000A21A1">
            <w:pPr>
              <w:spacing w:before="50" w:after="50"/>
              <w:jc w:val="center"/>
              <w:rPr>
                <w:color w:val="000000"/>
                <w:sz w:val="16"/>
                <w:lang w:val="es-ES_tradnl"/>
              </w:rPr>
            </w:pPr>
            <w:r w:rsidRPr="00CC4FCD">
              <w:rPr>
                <w:rStyle w:val="Artref"/>
                <w:b/>
                <w:bCs/>
                <w:color w:val="000000"/>
                <w:sz w:val="16"/>
                <w:lang w:val="es-ES_tradnl"/>
              </w:rPr>
              <w:t>9.18</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14D764E0"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70" w:type="dxa"/>
          </w:tcPr>
          <w:p w14:paraId="26459328"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372" w:type="dxa"/>
          </w:tcPr>
          <w:p w14:paraId="562B3EB2"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c>
          <w:tcPr>
            <w:tcW w:w="1354" w:type="dxa"/>
          </w:tcPr>
          <w:p w14:paraId="54111259" w14:textId="77777777" w:rsidR="000A21A1" w:rsidRPr="00CC4FCD" w:rsidRDefault="000A21A1">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551" w:type="dxa"/>
          </w:tcPr>
          <w:p w14:paraId="2DF9B873" w14:textId="77777777" w:rsidR="000A21A1" w:rsidRPr="00CC4FCD" w:rsidRDefault="000A21A1">
            <w:pPr>
              <w:spacing w:before="50" w:after="50"/>
              <w:jc w:val="center"/>
              <w:rPr>
                <w:color w:val="000000"/>
                <w:sz w:val="16"/>
                <w:lang w:val="es-ES_tradnl"/>
              </w:rPr>
            </w:pPr>
            <w:r w:rsidRPr="00CC4FCD">
              <w:rPr>
                <w:color w:val="000000"/>
                <w:sz w:val="16"/>
                <w:lang w:val="es-ES_tradnl"/>
              </w:rPr>
              <w:t>---</w:t>
            </w:r>
          </w:p>
        </w:tc>
      </w:tr>
    </w:tbl>
    <w:p w14:paraId="27DAB1F0" w14:textId="77777777" w:rsidR="000A21A1" w:rsidRPr="00CC4FCD" w:rsidRDefault="000A21A1">
      <w:pPr>
        <w:pStyle w:val="TableFin"/>
        <w:rPr>
          <w:lang w:val="es-ES_tradnl"/>
        </w:rPr>
      </w:pPr>
    </w:p>
    <w:p w14:paraId="0BE909CD" w14:textId="77777777" w:rsidR="000A21A1" w:rsidRPr="00CC4FCD" w:rsidRDefault="000A21A1">
      <w:pPr>
        <w:rPr>
          <w:color w:val="000000"/>
          <w:lang w:val="es-ES_tradnl"/>
        </w:rPr>
        <w:sectPr w:rsidR="000A21A1" w:rsidRPr="00CC4FCD" w:rsidSect="00644980">
          <w:headerReference w:type="even" r:id="rId18"/>
          <w:headerReference w:type="default" r:id="rId19"/>
          <w:footnotePr>
            <w:pos w:val="beneathText"/>
          </w:footnotePr>
          <w:pgSz w:w="16840" w:h="11907" w:orient="landscape" w:code="9"/>
          <w:pgMar w:top="1985" w:right="1701" w:bottom="851" w:left="1134" w:header="720" w:footer="482" w:gutter="0"/>
          <w:cols w:space="720"/>
        </w:sectPr>
      </w:pPr>
    </w:p>
    <w:p w14:paraId="0629A723" w14:textId="77777777" w:rsidR="000A21A1" w:rsidRPr="00CC4FCD" w:rsidRDefault="000A21A1">
      <w:pPr>
        <w:pStyle w:val="Heading8"/>
        <w:spacing w:before="0"/>
        <w:rPr>
          <w:color w:val="000000"/>
          <w:lang w:val="es-ES_tradnl"/>
        </w:rPr>
      </w:pPr>
      <w:r w:rsidRPr="00CC4FCD">
        <w:rPr>
          <w:color w:val="000000"/>
          <w:lang w:val="es-ES_tradnl"/>
        </w:rPr>
        <w:lastRenderedPageBreak/>
        <w:t>5.538</w:t>
      </w:r>
    </w:p>
    <w:p w14:paraId="06FD9CE5" w14:textId="77777777" w:rsidR="000A21A1" w:rsidRPr="00CC4FCD" w:rsidRDefault="000A21A1">
      <w:pPr>
        <w:rPr>
          <w:color w:val="000000"/>
          <w:lang w:val="es-ES_tradnl"/>
        </w:rPr>
      </w:pPr>
      <w:r w:rsidRPr="00CC4FCD">
        <w:rPr>
          <w:color w:val="000000"/>
          <w:lang w:val="es-ES_tradnl"/>
        </w:rPr>
        <w:t xml:space="preserve">En lo tocante a las balizas de control de la potencia del enlace ascendente, esta disposición fija un límite de p.i.r.e. </w:t>
      </w:r>
      <w:r w:rsidRPr="00FC3BC6">
        <w:rPr>
          <w:i/>
          <w:iCs/>
          <w:color w:val="000000"/>
          <w:lang w:val="es-ES_tradnl"/>
        </w:rPr>
        <w:t>«en la dirección de los satélites adyacentes en la órbita de los satélites geoestacionarios»</w:t>
      </w:r>
      <w:r w:rsidRPr="00CC4FCD">
        <w:rPr>
          <w:color w:val="000000"/>
          <w:lang w:val="es-ES_tradnl"/>
        </w:rPr>
        <w:t>.</w:t>
      </w:r>
    </w:p>
    <w:p w14:paraId="4A78B2FD" w14:textId="77777777" w:rsidR="000A21A1" w:rsidRPr="00CC4FCD" w:rsidRDefault="000A21A1">
      <w:pPr>
        <w:rPr>
          <w:color w:val="000000"/>
          <w:lang w:val="es-ES_tradnl"/>
        </w:rPr>
      </w:pPr>
      <w:r w:rsidRPr="00CC4FCD">
        <w:rPr>
          <w:color w:val="000000"/>
          <w:lang w:val="es-ES_tradnl"/>
        </w:rPr>
        <w:t>La Junta opina que la finalidad de esta disposición es proteger las partes del arco OSG adyacentes al satélite que se examina en la dirección «lateralmente tangencial a la OSG en la posición de la red que examina».</w:t>
      </w:r>
    </w:p>
    <w:p w14:paraId="13777DC9" w14:textId="77777777" w:rsidR="000A21A1" w:rsidRPr="00CC4FCD" w:rsidRDefault="000A21A1">
      <w:pPr>
        <w:pStyle w:val="Heading8"/>
        <w:rPr>
          <w:color w:val="000000"/>
          <w:lang w:val="es-ES_tradnl"/>
        </w:rPr>
      </w:pPr>
      <w:r w:rsidRPr="00CC4FCD">
        <w:rPr>
          <w:color w:val="000000"/>
          <w:lang w:val="es-ES_tradnl"/>
        </w:rPr>
        <w:t>5.543</w:t>
      </w:r>
    </w:p>
    <w:p w14:paraId="6A2154BE" w14:textId="77777777" w:rsidR="000A21A1" w:rsidRPr="00CC4FCD" w:rsidRDefault="000A21A1">
      <w:pPr>
        <w:rPr>
          <w:color w:val="000000"/>
          <w:lang w:val="es-ES_tradnl"/>
        </w:rPr>
      </w:pPr>
      <w:r w:rsidRPr="00CC4FCD">
        <w:rPr>
          <w:color w:val="000000"/>
          <w:lang w:val="es-ES_tradnl"/>
        </w:rPr>
        <w:t xml:space="preserve">La Junta estima que esta disposición es como una atribución adicional al servicio de exploración de la Tierra por satélite para enlaces entre satélites. La utilización de las palabras </w:t>
      </w:r>
      <w:r w:rsidRPr="00FC3BC6">
        <w:rPr>
          <w:i/>
          <w:iCs/>
          <w:color w:val="000000"/>
          <w:lang w:val="es-ES_tradnl"/>
        </w:rPr>
        <w:t>«con fines de telemedida, seguimiento y telemando»</w:t>
      </w:r>
      <w:r w:rsidRPr="00CC4FCD">
        <w:rPr>
          <w:color w:val="000000"/>
          <w:lang w:val="es-ES_tradnl"/>
        </w:rPr>
        <w:t xml:space="preserve"> conducen a la Junta a interpretar que la utilización está limitada a las operaciones espaciales.</w:t>
      </w:r>
    </w:p>
    <w:p w14:paraId="1BBCFD3A" w14:textId="77777777" w:rsidR="000A21A1" w:rsidRPr="00CC4FCD" w:rsidRDefault="000A21A1">
      <w:pPr>
        <w:pStyle w:val="Heading8"/>
        <w:rPr>
          <w:color w:val="000000"/>
          <w:lang w:val="es-ES_tradnl"/>
        </w:rPr>
      </w:pPr>
      <w:r w:rsidRPr="00CC4FCD">
        <w:rPr>
          <w:color w:val="000000"/>
          <w:lang w:val="es-ES_tradnl"/>
        </w:rPr>
        <w:t>5.554</w:t>
      </w:r>
    </w:p>
    <w:p w14:paraId="3C4B6BBE" w14:textId="5C5CC349" w:rsidR="000A21A1" w:rsidRPr="00CC4FCD" w:rsidRDefault="000A21A1" w:rsidP="00E237E2">
      <w:pPr>
        <w:rPr>
          <w:color w:val="000000"/>
          <w:lang w:val="es-ES_tradnl"/>
        </w:rPr>
      </w:pPr>
      <w:r w:rsidRPr="00CC4FCD">
        <w:rPr>
          <w:color w:val="000000"/>
          <w:lang w:val="es-ES_tradnl"/>
        </w:rPr>
        <w:t>Esta disposición no proporciona una atribución adicional al SFS en las bandas de frecuencias allí especificadas. Autoriza enlaces entre estaciones terrestres situadas en puntos fijos especi</w:t>
      </w:r>
      <w:r w:rsidR="00EA1686" w:rsidRPr="00CC4FCD">
        <w:rPr>
          <w:color w:val="000000"/>
          <w:lang w:val="es-ES_tradnl"/>
        </w:rPr>
        <w:softHyphen/>
      </w:r>
      <w:r w:rsidRPr="00CC4FCD">
        <w:rPr>
          <w:color w:val="000000"/>
          <w:lang w:val="es-ES_tradnl"/>
        </w:rPr>
        <w:t xml:space="preserve">ficados pertenecientes al SMS o al servicio de radionavegación por satélite. Estación terrestre en el contexto de estos dos últimos servicios significa estación terrena terrestre que, de conformidad con su definición, es una estación terrena de enlace de conexión. Por lo tanto, una estación espacial o una estación terrena del SFS (clase de estación EC o TC) no está autorizada a funcionar en las bandas de frecuencias enumeradas en el número </w:t>
      </w:r>
      <w:r w:rsidRPr="00CC4FCD">
        <w:rPr>
          <w:rStyle w:val="Artref"/>
          <w:b/>
          <w:bCs/>
          <w:color w:val="000000"/>
          <w:lang w:val="es-ES_tradnl"/>
        </w:rPr>
        <w:t>5.554</w:t>
      </w:r>
      <w:r w:rsidRPr="00CC4FCD">
        <w:rPr>
          <w:color w:val="000000"/>
          <w:lang w:val="es-ES_tradnl"/>
        </w:rPr>
        <w:t xml:space="preserve"> (salvo en la banda 123-130</w:t>
      </w:r>
      <w:r w:rsidR="00E626DD">
        <w:rPr>
          <w:color w:val="000000"/>
          <w:lang w:val="es-ES_tradnl"/>
        </w:rPr>
        <w:t> </w:t>
      </w:r>
      <w:r w:rsidRPr="00CC4FCD">
        <w:rPr>
          <w:color w:val="000000"/>
          <w:lang w:val="es-ES_tradnl"/>
        </w:rPr>
        <w:t>GHz donde existe una atribución al SFS) y los enlaces entre estaciones terrenas desde enlaces de conexión específicas (a diferencia de las estaciones terrenas típicas) (por ejemplo, clase de estación VA o TI o similar) están autorizados en el SMS o el servicio de radionavegación por satélite.</w:t>
      </w:r>
    </w:p>
    <w:p w14:paraId="3471316A" w14:textId="77777777" w:rsidR="000A21A1" w:rsidRPr="00CC4FCD" w:rsidRDefault="000A21A1">
      <w:pPr>
        <w:pStyle w:val="Heading8"/>
        <w:rPr>
          <w:color w:val="000000"/>
          <w:lang w:val="es-ES_tradnl"/>
        </w:rPr>
      </w:pPr>
      <w:r w:rsidRPr="00CC4FCD">
        <w:rPr>
          <w:color w:val="000000"/>
          <w:lang w:val="es-ES_tradnl"/>
        </w:rPr>
        <w:t>5.556</w:t>
      </w:r>
    </w:p>
    <w:p w14:paraId="75817DBB" w14:textId="77777777" w:rsidR="000A21A1" w:rsidRPr="00CC4FCD" w:rsidRDefault="000A21A1">
      <w:pPr>
        <w:rPr>
          <w:color w:val="000000"/>
          <w:lang w:val="es-ES_tradnl"/>
        </w:rPr>
      </w:pPr>
      <w:r w:rsidRPr="00CC4FCD">
        <w:rPr>
          <w:color w:val="000000"/>
          <w:lang w:val="es-ES_tradnl"/>
        </w:rPr>
        <w:t xml:space="preserve">No hay ninguna atribución para radioastronomía en las bandas enumeradas en esta disposición. La Junta estima que las palabras </w:t>
      </w:r>
      <w:r w:rsidRPr="00FC3BC6">
        <w:rPr>
          <w:i/>
          <w:iCs/>
          <w:color w:val="000000"/>
          <w:lang w:val="es-ES_tradnl"/>
        </w:rPr>
        <w:t>«disposiciones nacionales»</w:t>
      </w:r>
      <w:r w:rsidRPr="00CC4FCD">
        <w:rPr>
          <w:color w:val="000000"/>
          <w:lang w:val="es-ES_tradnl"/>
        </w:rPr>
        <w:t xml:space="preserve"> significan los acuerdos que se pueden concertar dentro de cada país. No es necesario comunicar a la Oficina esos acuerdos. Las notificaciones de asignación de frecuencia para las estaciones de radio</w:t>
      </w:r>
      <w:r w:rsidRPr="00CC4FCD">
        <w:rPr>
          <w:color w:val="000000"/>
          <w:lang w:val="es-ES_tradnl"/>
        </w:rPr>
        <w:softHyphen/>
        <w:t>astronomía en esas bandas no serán consideradas por la Oficina conformes con el Cuadro de atribución de bandas de frecuencias.</w:t>
      </w:r>
    </w:p>
    <w:p w14:paraId="03C1610E" w14:textId="77777777" w:rsidR="000A21A1" w:rsidRPr="00CC4FCD" w:rsidRDefault="000A21A1" w:rsidP="00EA1686">
      <w:pPr>
        <w:rPr>
          <w:lang w:val="es-ES_tradnl"/>
        </w:rPr>
      </w:pPr>
    </w:p>
    <w:p w14:paraId="2CB4FBC7" w14:textId="77777777" w:rsidR="000A21A1" w:rsidRDefault="000A21A1">
      <w:pPr>
        <w:jc w:val="center"/>
        <w:rPr>
          <w:color w:val="000000"/>
          <w:lang w:val="es-ES_tradnl"/>
        </w:rPr>
      </w:pPr>
      <w:r w:rsidRPr="00CC4FCD">
        <w:rPr>
          <w:color w:val="000000"/>
          <w:lang w:val="es-ES_tradnl"/>
        </w:rPr>
        <w:t>____________________</w:t>
      </w:r>
    </w:p>
    <w:p w14:paraId="362BC2C8" w14:textId="77777777" w:rsidR="00E352E2" w:rsidRDefault="00E352E2" w:rsidP="0083017E">
      <w:pPr>
        <w:rPr>
          <w:lang w:val="es-ES_tradnl"/>
        </w:rPr>
      </w:pPr>
    </w:p>
    <w:p w14:paraId="47DC430E" w14:textId="77777777" w:rsidR="00E352E2" w:rsidRPr="00CC4FCD" w:rsidRDefault="00E352E2" w:rsidP="0083017E">
      <w:pPr>
        <w:rPr>
          <w:lang w:val="es-ES_tradnl"/>
        </w:rPr>
      </w:pPr>
    </w:p>
    <w:p w14:paraId="6805461A" w14:textId="77777777" w:rsidR="000A21A1" w:rsidRPr="00CC4FCD" w:rsidRDefault="000A21A1" w:rsidP="00EA1686">
      <w:pPr>
        <w:rPr>
          <w:lang w:val="es-ES_tradnl"/>
        </w:rPr>
      </w:pPr>
    </w:p>
    <w:p w14:paraId="2D5F415E" w14:textId="77777777" w:rsidR="000A21A1" w:rsidRPr="00CC4FCD" w:rsidRDefault="000A21A1" w:rsidP="00EA1686">
      <w:pPr>
        <w:rPr>
          <w:lang w:val="es-ES_tradnl"/>
        </w:rPr>
        <w:sectPr w:rsidR="000A21A1" w:rsidRPr="00CC4FCD">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3A5B7888" w14:textId="77777777" w:rsidR="000A21A1" w:rsidRPr="00CC4FCD" w:rsidRDefault="000A21A1" w:rsidP="00EA1686">
      <w:pPr>
        <w:rPr>
          <w:lang w:val="es-ES_tradnl"/>
        </w:rPr>
      </w:pPr>
    </w:p>
    <w:sectPr w:rsidR="000A21A1" w:rsidRPr="00CC4FCD" w:rsidSect="00EA1686">
      <w:headerReference w:type="first" r:id="rId2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FEDC4" w14:textId="77777777" w:rsidR="00A14EF9" w:rsidRDefault="00A14EF9">
      <w:r>
        <w:separator/>
      </w:r>
    </w:p>
  </w:endnote>
  <w:endnote w:type="continuationSeparator" w:id="0">
    <w:p w14:paraId="5BBD6927" w14:textId="77777777" w:rsidR="00A14EF9" w:rsidRDefault="00A1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9CC3A" w14:textId="77777777" w:rsidR="001B3E77" w:rsidRDefault="001B3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170E3" w14:textId="77777777" w:rsidR="00BA5AA9" w:rsidRDefault="00BA5A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20132" w14:textId="77777777" w:rsidR="00BA5AA9" w:rsidRDefault="00BA5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BDAE3" w14:textId="77777777" w:rsidR="00A14EF9" w:rsidRDefault="00A14EF9">
      <w:r>
        <w:rPr>
          <w:b/>
        </w:rPr>
        <w:t>_______________</w:t>
      </w:r>
    </w:p>
  </w:footnote>
  <w:footnote w:type="continuationSeparator" w:id="0">
    <w:p w14:paraId="0C421D31" w14:textId="77777777" w:rsidR="00A14EF9" w:rsidRDefault="00A14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0E581F5E"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0916C82" w14:textId="77777777" w:rsidR="00A14EF9" w:rsidRDefault="00A14EF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5FC81B4" w14:textId="382EA1A9" w:rsidR="00A14EF9" w:rsidRDefault="00471ECF" w:rsidP="00B837FE">
          <w:pPr>
            <w:pStyle w:val="HeaderRegProc"/>
          </w:pPr>
          <w:r>
            <w:fldChar w:fldCharType="begin"/>
          </w:r>
          <w:r>
            <w:instrText xml:space="preserve"> DOCPROPERTY "Header" \* MERGEFORMAT </w:instrText>
          </w:r>
          <w:r>
            <w:fldChar w:fldCharType="separate"/>
          </w:r>
          <w:r w:rsidR="00240B2D">
            <w:t>AR</w:t>
          </w:r>
          <w:r>
            <w:fldChar w:fldCharType="end"/>
          </w:r>
          <w:r w:rsidR="00A14EF9">
            <w:fldChar w:fldCharType="begin"/>
          </w:r>
          <w:r w:rsidR="00A14EF9">
            <w:instrText>styleref href2</w:instrText>
          </w:r>
          <w:r w:rsidR="00A14EF9">
            <w:fldChar w:fldCharType="separate"/>
          </w:r>
          <w:r>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08C55C" w14:textId="77777777" w:rsidR="00A14EF9" w:rsidRDefault="00A14EF9" w:rsidP="00B837F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28834A3" w14:textId="418A8C9F" w:rsidR="00A14EF9" w:rsidRPr="007D31B2" w:rsidRDefault="00A14EF9" w:rsidP="00B837FE">
          <w:pPr>
            <w:pStyle w:val="HeaderRegProc"/>
            <w:rPr>
              <w:lang w:val="es-ES_tradnl"/>
            </w:rPr>
          </w:pPr>
          <w:r w:rsidRPr="00B02CE6">
            <w:rPr>
              <w:lang w:val="es-ES_tradnl"/>
            </w:rPr>
            <w:t>rev.</w:t>
          </w:r>
          <w:r>
            <w:rPr>
              <w:lang w:val="es-ES_tradnl"/>
            </w:rPr>
            <w:t xml:space="preserve"> </w:t>
          </w:r>
          <w:r w:rsidR="00644C2E">
            <w:rPr>
              <w:lang w:val="es-ES_tradnl"/>
            </w:rPr>
            <w:t>-</w:t>
          </w:r>
        </w:p>
      </w:tc>
    </w:tr>
  </w:tbl>
  <w:p w14:paraId="65B81DEE" w14:textId="77777777" w:rsidR="00A14EF9" w:rsidRDefault="00A14EF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4EF9" w14:paraId="75888FF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3B86816" w14:textId="77777777" w:rsidR="00A14EF9" w:rsidRDefault="00A14EF9" w:rsidP="000A21A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7DD8DA" w14:textId="385DCE51" w:rsidR="00A14EF9" w:rsidRDefault="00471ECF" w:rsidP="000A21A1">
          <w:pPr>
            <w:pStyle w:val="HeaderRegProc"/>
            <w:rPr>
              <w:lang w:val="es-ES_tradnl"/>
            </w:rPr>
          </w:pPr>
          <w:r>
            <w:fldChar w:fldCharType="begin"/>
          </w:r>
          <w:r>
            <w:instrText xml:space="preserve"> DOCPROPERTY "Header" \* MERGEFORMAT </w:instrText>
          </w:r>
          <w:r>
            <w:fldChar w:fldCharType="separate"/>
          </w:r>
          <w:r w:rsidR="00240B2D">
            <w:t>AR</w:t>
          </w:r>
          <w:r>
            <w:fldChar w:fldCharType="end"/>
          </w:r>
          <w:r w:rsidR="00A14EF9">
            <w:fldChar w:fldCharType="begin"/>
          </w:r>
          <w:r w:rsidR="00A14EF9">
            <w:instrText>styleref href2</w:instrText>
          </w:r>
          <w:r w:rsidR="00A14EF9">
            <w:fldChar w:fldCharType="separate"/>
          </w:r>
          <w:r w:rsidR="001B3E77">
            <w:rPr>
              <w:noProof/>
            </w:rPr>
            <w:t>5</w:t>
          </w:r>
          <w:r w:rsidR="00A14EF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F4FA43" w14:textId="77777777" w:rsidR="00A14EF9" w:rsidRDefault="00A14EF9" w:rsidP="000A21A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1B8BB" w14:textId="2E030DCC" w:rsidR="00A14EF9" w:rsidRDefault="00A14EF9" w:rsidP="000A21A1">
          <w:pPr>
            <w:pStyle w:val="HeaderRegProc"/>
            <w:rPr>
              <w:lang w:val="fr-CH"/>
            </w:rPr>
          </w:pPr>
          <w:proofErr w:type="gramStart"/>
          <w:r>
            <w:rPr>
              <w:lang w:val="fr-CH"/>
            </w:rPr>
            <w:t>rev</w:t>
          </w:r>
          <w:proofErr w:type="gramEnd"/>
          <w:r>
            <w:rPr>
              <w:lang w:val="fr-CH"/>
            </w:rPr>
            <w:t>.</w:t>
          </w:r>
          <w:r w:rsidR="00471ECF">
            <w:fldChar w:fldCharType="begin"/>
          </w:r>
          <w:r w:rsidR="00471ECF">
            <w:instrText xml:space="preserve"> DOCPROPERTY "Header10" \* MERGEFORMAT </w:instrText>
          </w:r>
          <w:r w:rsidR="00471ECF">
            <w:fldChar w:fldCharType="separate"/>
          </w:r>
          <w:r w:rsidR="00240B2D" w:rsidRPr="00240B2D">
            <w:rPr>
              <w:lang w:val="fr-CH"/>
            </w:rPr>
            <w:t>-</w:t>
          </w:r>
          <w:r w:rsidR="00471ECF">
            <w:rPr>
              <w:lang w:val="fr-CH"/>
            </w:rPr>
            <w:fldChar w:fldCharType="end"/>
          </w:r>
        </w:p>
      </w:tc>
    </w:tr>
  </w:tbl>
  <w:p w14:paraId="13089D47" w14:textId="77777777" w:rsidR="00A14EF9" w:rsidRPr="00EE09F0" w:rsidRDefault="00A14EF9" w:rsidP="00EE09F0">
    <w:pPr>
      <w:pStyle w:val="Header"/>
    </w:pPr>
    <w:r>
      <w:rPr>
        <w:noProof/>
        <w:lang w:eastAsia="en-GB"/>
      </w:rPr>
      <mc:AlternateContent>
        <mc:Choice Requires="wps">
          <w:drawing>
            <wp:anchor distT="0" distB="0" distL="114300" distR="114300" simplePos="0" relativeHeight="251659264" behindDoc="0" locked="0" layoutInCell="1" allowOverlap="1" wp14:anchorId="0B95E2DD" wp14:editId="3BCD8068">
              <wp:simplePos x="0" y="0"/>
              <wp:positionH relativeFrom="column">
                <wp:posOffset>9069070</wp:posOffset>
              </wp:positionH>
              <wp:positionV relativeFrom="paragraph">
                <wp:posOffset>233680</wp:posOffset>
              </wp:positionV>
              <wp:extent cx="457200" cy="572389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5B5661D1" w:rsidR="00A14EF9" w:rsidRDefault="00471ECF">
                                <w:pPr>
                                  <w:pStyle w:val="HeaderRegProc"/>
                                  <w:spacing w:before="0"/>
                                  <w:ind w:left="0"/>
                                  <w:rPr>
                                    <w:lang w:val="es-ES_tradnl"/>
                                  </w:rPr>
                                </w:pPr>
                                <w:r>
                                  <w:fldChar w:fldCharType="begin"/>
                                </w:r>
                                <w:r>
                                  <w:instrText xml:space="preserve"> DOCPROPERTY "Header" \* MERGEFORMAT </w:instrText>
                                </w:r>
                                <w:r>
                                  <w:fldChar w:fldCharType="separate"/>
                                </w:r>
                                <w:r w:rsidR="00240B2D" w:rsidRPr="00240B2D">
                                  <w:rPr>
                                    <w:lang w:val="es-ES_tradnl"/>
                                  </w:rPr>
                                  <w:t>AR</w:t>
                                </w:r>
                                <w:r>
                                  <w:rPr>
                                    <w:lang w:val="es-ES_tradnl"/>
                                  </w:rPr>
                                  <w:fldChar w:fldCharType="end"/>
                                </w:r>
                                <w:r w:rsidR="00A14EF9">
                                  <w:fldChar w:fldCharType="begin"/>
                                </w:r>
                                <w:r w:rsidR="00A14EF9">
                                  <w:rPr>
                                    <w:lang w:val="es-ES_tradnl"/>
                                  </w:rPr>
                                  <w:instrText>styleref href2</w:instrText>
                                </w:r>
                                <w:r w:rsidR="00A14EF9">
                                  <w:fldChar w:fldCharType="separate"/>
                                </w:r>
                                <w:r w:rsidR="001B3E77">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5E2DD" id="_x0000_t202" coordsize="21600,21600" o:spt="202" path="m,l,21600r21600,l21600,xe">
              <v:stroke joinstyle="miter"/>
              <v:path gradientshapeok="t" o:connecttype="rect"/>
            </v:shapetype>
            <v:shape id="Text Box 5" o:spid="_x0000_s1028" type="#_x0000_t202" style="position:absolute;left:0;text-align:left;margin-left:714.1pt;margin-top:18.4pt;width:36pt;height:45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5B5661D1" w:rsidR="00A14EF9" w:rsidRDefault="00471ECF">
                          <w:pPr>
                            <w:pStyle w:val="HeaderRegProc"/>
                            <w:spacing w:before="0"/>
                            <w:ind w:left="0"/>
                            <w:rPr>
                              <w:lang w:val="es-ES_tradnl"/>
                            </w:rPr>
                          </w:pPr>
                          <w:r>
                            <w:fldChar w:fldCharType="begin"/>
                          </w:r>
                          <w:r>
                            <w:instrText xml:space="preserve"> DOCPROPERTY "Header" \* MERGEFORMAT </w:instrText>
                          </w:r>
                          <w:r>
                            <w:fldChar w:fldCharType="separate"/>
                          </w:r>
                          <w:r w:rsidR="00240B2D" w:rsidRPr="00240B2D">
                            <w:rPr>
                              <w:lang w:val="es-ES_tradnl"/>
                            </w:rPr>
                            <w:t>AR</w:t>
                          </w:r>
                          <w:r>
                            <w:rPr>
                              <w:lang w:val="es-ES_tradnl"/>
                            </w:rPr>
                            <w:fldChar w:fldCharType="end"/>
                          </w:r>
                          <w:r w:rsidR="00A14EF9">
                            <w:fldChar w:fldCharType="begin"/>
                          </w:r>
                          <w:r w:rsidR="00A14EF9">
                            <w:rPr>
                              <w:lang w:val="es-ES_tradnl"/>
                            </w:rPr>
                            <w:instrText>styleref href2</w:instrText>
                          </w:r>
                          <w:r w:rsidR="00A14EF9">
                            <w:fldChar w:fldCharType="separate"/>
                          </w:r>
                          <w:r w:rsidR="001B3E77">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4EF9" w14:paraId="5EBFEF6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A5606AB" w14:textId="77777777" w:rsidR="00A14EF9" w:rsidRPr="00EB202F" w:rsidRDefault="00A14EF9">
          <w:pPr>
            <w:pStyle w:val="HeaderRegProc"/>
            <w:rPr>
              <w:lang w:val="en-US"/>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314AB24D" w14:textId="22629E59" w:rsidR="00A14EF9" w:rsidRDefault="00471ECF">
          <w:pPr>
            <w:pStyle w:val="HeaderRegProc"/>
            <w:rPr>
              <w:lang w:val="fr-FR"/>
            </w:rPr>
          </w:pPr>
          <w:r>
            <w:fldChar w:fldCharType="begin"/>
          </w:r>
          <w:r>
            <w:instrText xml:space="preserve"> DOCPROPERTY "Header" \* MERGEFORMAT </w:instrText>
          </w:r>
          <w:r>
            <w:fldChar w:fldCharType="separate"/>
          </w:r>
          <w:r w:rsidR="00240B2D">
            <w:t>AR</w:t>
          </w:r>
          <w:r>
            <w:fldChar w:fldCharType="end"/>
          </w:r>
          <w:r w:rsidR="00A14EF9">
            <w:fldChar w:fldCharType="begin"/>
          </w:r>
          <w:r w:rsidR="00A14EF9">
            <w:instrText>styleref href2</w:instrText>
          </w:r>
          <w:r w:rsidR="00A14EF9">
            <w:fldChar w:fldCharType="separate"/>
          </w:r>
          <w:r>
            <w:rPr>
              <w:noProof/>
            </w:rPr>
            <w:t>5</w:t>
          </w:r>
          <w:r w:rsidR="00A14EF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A70832" w14:textId="77777777" w:rsidR="00A14EF9" w:rsidRDefault="00A14EF9">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21FEF" w14:textId="13D07998" w:rsidR="00A14EF9" w:rsidRDefault="00A14EF9" w:rsidP="007D31B2">
          <w:pPr>
            <w:pStyle w:val="HeaderRegProc"/>
            <w:rPr>
              <w:lang w:val="fr-CH"/>
            </w:rPr>
          </w:pPr>
          <w:proofErr w:type="gramStart"/>
          <w:r>
            <w:rPr>
              <w:lang w:val="fr-CH"/>
            </w:rPr>
            <w:t>rev</w:t>
          </w:r>
          <w:proofErr w:type="gramEnd"/>
          <w:r>
            <w:rPr>
              <w:lang w:val="fr-CH"/>
            </w:rPr>
            <w:t>.</w:t>
          </w:r>
          <w:r w:rsidR="000E134C">
            <w:rPr>
              <w:lang w:val="fr-CH"/>
            </w:rPr>
            <w:t xml:space="preserve"> </w:t>
          </w:r>
          <w:r>
            <w:rPr>
              <w:lang w:val="fr-CH"/>
            </w:rPr>
            <w:t xml:space="preserve">- </w:t>
          </w:r>
        </w:p>
      </w:tc>
    </w:tr>
  </w:tbl>
  <w:p w14:paraId="044F8176" w14:textId="77777777" w:rsidR="00A14EF9" w:rsidRDefault="00A14EF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2E495" w14:textId="77777777" w:rsidR="00A14EF9" w:rsidRDefault="00A14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6DEE4FC8"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0398253" w14:textId="77777777" w:rsidR="00A14EF9" w:rsidRDefault="00A14EF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94989FC" w14:textId="33BF84E8" w:rsidR="00A14EF9" w:rsidRDefault="00471ECF">
          <w:pPr>
            <w:pStyle w:val="HeaderRegProc"/>
          </w:pPr>
          <w:r>
            <w:fldChar w:fldCharType="begin"/>
          </w:r>
          <w:r>
            <w:instrText xml:space="preserve"> DOCPROPERTY "Header" \* MERGEFORMAT </w:instrText>
          </w:r>
          <w:r>
            <w:fldChar w:fldCharType="separate"/>
          </w:r>
          <w:r w:rsidR="00240B2D">
            <w:t>AR</w:t>
          </w:r>
          <w:r>
            <w:fldChar w:fldCharType="end"/>
          </w:r>
          <w:r w:rsidR="00A14EF9">
            <w:fldChar w:fldCharType="begin"/>
          </w:r>
          <w:r w:rsidR="00A14EF9">
            <w:instrText>styleref href2</w:instrText>
          </w:r>
          <w:r w:rsidR="00A14EF9">
            <w:fldChar w:fldCharType="separate"/>
          </w:r>
          <w:r>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53F6E9A" w14:textId="77777777" w:rsidR="00A14EF9" w:rsidRDefault="00A14EF9" w:rsidP="0042568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D82CC8F" w14:textId="08AEB9EF" w:rsidR="00A14EF9" w:rsidRPr="007D31B2" w:rsidRDefault="00A14EF9" w:rsidP="000C6E71">
          <w:pPr>
            <w:pStyle w:val="HeaderRegProc"/>
            <w:rPr>
              <w:lang w:val="es-ES_tradnl"/>
            </w:rPr>
          </w:pPr>
          <w:r w:rsidRPr="00B02CE6">
            <w:rPr>
              <w:lang w:val="es-ES_tradnl"/>
            </w:rPr>
            <w:t>rev.</w:t>
          </w:r>
          <w:r>
            <w:rPr>
              <w:lang w:val="es-ES_tradnl"/>
            </w:rPr>
            <w:t xml:space="preserve"> </w:t>
          </w:r>
          <w:r w:rsidR="00796849">
            <w:rPr>
              <w:lang w:val="es-ES_tradnl"/>
            </w:rPr>
            <w:t>-</w:t>
          </w:r>
        </w:p>
      </w:tc>
    </w:tr>
  </w:tbl>
  <w:p w14:paraId="6A779095" w14:textId="77777777" w:rsidR="00A14EF9" w:rsidRPr="00B02CE6" w:rsidRDefault="00A14EF9" w:rsidP="00EB202F">
    <w:pPr>
      <w:pStyle w:val="Header"/>
      <w:rPr>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1B3E77" w:rsidRPr="00DD5878" w14:paraId="622073E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3DE6CAE" w14:textId="77777777" w:rsidR="001B3E77" w:rsidRDefault="001B3E7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6FC3258" w14:textId="317AC482" w:rsidR="001B3E77" w:rsidRDefault="001B3E77">
          <w:pPr>
            <w:pStyle w:val="HeaderRegProc"/>
          </w:pPr>
          <w:fldSimple w:instr=" DOCPROPERTY &quot;Header&quot; \* MERGEFORMAT ">
            <w:r>
              <w:t>AR</w:t>
            </w:r>
          </w:fldSimple>
          <w:r>
            <w:fldChar w:fldCharType="begin"/>
          </w:r>
          <w:r>
            <w:instrText>styleref href2</w:instrText>
          </w:r>
          <w:r>
            <w:fldChar w:fldCharType="separate"/>
          </w:r>
          <w:r w:rsidR="00471EC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4241970" w14:textId="77777777" w:rsidR="001B3E77" w:rsidRDefault="001B3E77" w:rsidP="0042568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7F08B64" w14:textId="2A5080E5" w:rsidR="001B3E77" w:rsidRPr="007D31B2" w:rsidRDefault="001B3E77" w:rsidP="000C6E71">
          <w:pPr>
            <w:pStyle w:val="HeaderRegProc"/>
            <w:rPr>
              <w:lang w:val="es-ES_tradnl"/>
            </w:rPr>
          </w:pPr>
          <w:r w:rsidRPr="00B02CE6">
            <w:rPr>
              <w:lang w:val="es-ES_tradnl"/>
            </w:rPr>
            <w:t>rev.</w:t>
          </w:r>
          <w:r>
            <w:rPr>
              <w:lang w:val="es-ES_tradnl"/>
            </w:rPr>
            <w:t xml:space="preserve"> 1</w:t>
          </w:r>
        </w:p>
      </w:tc>
    </w:tr>
  </w:tbl>
  <w:p w14:paraId="120AAF59" w14:textId="77777777" w:rsidR="001B3E77" w:rsidRPr="00B02CE6" w:rsidRDefault="001B3E77" w:rsidP="00EB202F">
    <w:pPr>
      <w:pStyle w:val="Header"/>
      <w:rPr>
        <w:lang w:val="es-ES_tradn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00E24B06"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99822DF" w14:textId="77777777" w:rsidR="00BA5AA9" w:rsidRDefault="00BA5A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C7E7D49" w14:textId="4A553A64" w:rsidR="00BA5AA9" w:rsidRDefault="00BA5AA9">
          <w:pPr>
            <w:pStyle w:val="HeaderRegProc"/>
          </w:pPr>
          <w:fldSimple w:instr=" DOCPROPERTY &quot;Header&quot; \* MERGEFORMAT ">
            <w:r>
              <w:t>AR</w:t>
            </w:r>
          </w:fldSimple>
          <w:r>
            <w:fldChar w:fldCharType="begin"/>
          </w:r>
          <w:r>
            <w:instrText>styleref href2</w:instrText>
          </w:r>
          <w:r>
            <w:fldChar w:fldCharType="separate"/>
          </w:r>
          <w:r w:rsidR="00471EC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991CCF" w14:textId="77777777" w:rsidR="00BA5AA9" w:rsidRDefault="00BA5AA9" w:rsidP="0042568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F2E906" w14:textId="4DDD8BA0" w:rsidR="00BA5AA9" w:rsidRPr="007D31B2" w:rsidRDefault="00BA5AA9" w:rsidP="000C6E71">
          <w:pPr>
            <w:pStyle w:val="HeaderRegProc"/>
            <w:rPr>
              <w:lang w:val="es-ES_tradnl"/>
            </w:rPr>
          </w:pPr>
          <w:r w:rsidRPr="00B02CE6">
            <w:rPr>
              <w:lang w:val="es-ES_tradnl"/>
            </w:rPr>
            <w:t>rev.</w:t>
          </w:r>
          <w:r>
            <w:rPr>
              <w:lang w:val="es-ES_tradnl"/>
            </w:rPr>
            <w:t xml:space="preserve"> -</w:t>
          </w:r>
        </w:p>
      </w:tc>
    </w:tr>
  </w:tbl>
  <w:p w14:paraId="0464CF5E" w14:textId="77777777" w:rsidR="00BA5AA9" w:rsidRPr="00B02CE6" w:rsidRDefault="00BA5AA9" w:rsidP="00EB202F">
    <w:pPr>
      <w:pStyle w:val="Header"/>
      <w:rPr>
        <w:lang w:val="es-ES_tradn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607C78A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26478DC" w14:textId="77777777" w:rsidR="00BA5AA9" w:rsidRDefault="00BA5A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37D4DBE" w14:textId="622AF506" w:rsidR="00BA5AA9" w:rsidRDefault="00BA5AA9" w:rsidP="00B837FE">
          <w:pPr>
            <w:pStyle w:val="HeaderRegProc"/>
          </w:pPr>
          <w:fldSimple w:instr=" DOCPROPERTY &quot;Header&quot; \* MERGEFORMAT ">
            <w:r>
              <w:t>AR</w:t>
            </w:r>
          </w:fldSimple>
          <w:r>
            <w:fldChar w:fldCharType="begin"/>
          </w:r>
          <w:r>
            <w:instrText>styleref href2</w:instrText>
          </w:r>
          <w:r>
            <w:fldChar w:fldCharType="separate"/>
          </w:r>
          <w:r w:rsidR="00471EC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91C1FE0" w14:textId="77777777" w:rsidR="00BA5AA9" w:rsidRDefault="00BA5AA9" w:rsidP="00B837F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6FFDADF" w14:textId="4B29FA95" w:rsidR="00BA5AA9" w:rsidRPr="007D31B2" w:rsidRDefault="00BA5AA9" w:rsidP="00B837FE">
          <w:pPr>
            <w:pStyle w:val="HeaderRegProc"/>
            <w:rPr>
              <w:lang w:val="es-ES_tradnl"/>
            </w:rPr>
          </w:pPr>
          <w:r w:rsidRPr="00B02CE6">
            <w:rPr>
              <w:lang w:val="es-ES_tradnl"/>
            </w:rPr>
            <w:t>rev.</w:t>
          </w:r>
          <w:r>
            <w:rPr>
              <w:lang w:val="es-ES_tradnl"/>
            </w:rPr>
            <w:t xml:space="preserve"> 1</w:t>
          </w:r>
        </w:p>
      </w:tc>
    </w:tr>
  </w:tbl>
  <w:p w14:paraId="222D57C4" w14:textId="77777777" w:rsidR="00BA5AA9" w:rsidRDefault="00BA5AA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5C4B53A0"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531C2101" w14:textId="77777777" w:rsidR="00BA5AA9" w:rsidRDefault="00BA5A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92B1134" w14:textId="6CA78960" w:rsidR="00BA5AA9" w:rsidRDefault="00BA5AA9" w:rsidP="00B837FE">
          <w:pPr>
            <w:pStyle w:val="HeaderRegProc"/>
          </w:pPr>
          <w:fldSimple w:instr=" DOCPROPERTY &quot;Header&quot; \* MERGEFORMAT ">
            <w:r>
              <w:t>AR</w:t>
            </w:r>
          </w:fldSimple>
          <w:r>
            <w:fldChar w:fldCharType="begin"/>
          </w:r>
          <w:r>
            <w:instrText>styleref href2</w:instrText>
          </w:r>
          <w:r>
            <w:fldChar w:fldCharType="separate"/>
          </w:r>
          <w:r w:rsidR="00471EC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4400309" w14:textId="77777777" w:rsidR="00BA5AA9" w:rsidRDefault="00BA5AA9" w:rsidP="00B837FE">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6C12F96" w14:textId="77777777" w:rsidR="00BA5AA9" w:rsidRPr="007D31B2" w:rsidRDefault="00BA5AA9" w:rsidP="00B837FE">
          <w:pPr>
            <w:pStyle w:val="HeaderRegProc"/>
            <w:rPr>
              <w:lang w:val="es-ES_tradnl"/>
            </w:rPr>
          </w:pPr>
          <w:r w:rsidRPr="00B02CE6">
            <w:rPr>
              <w:lang w:val="es-ES_tradnl"/>
            </w:rPr>
            <w:t>rev.</w:t>
          </w:r>
          <w:r>
            <w:rPr>
              <w:lang w:val="es-ES_tradnl"/>
            </w:rPr>
            <w:t xml:space="preserve"> -</w:t>
          </w:r>
        </w:p>
      </w:tc>
    </w:tr>
  </w:tbl>
  <w:p w14:paraId="50D3FB90" w14:textId="77777777" w:rsidR="00BA5AA9" w:rsidRDefault="00BA5AA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119452F7"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B9A5155" w14:textId="77777777" w:rsidR="00BA5AA9" w:rsidRDefault="00BA5A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A2F311F" w14:textId="3BBD7514" w:rsidR="00BA5AA9" w:rsidRDefault="00BA5AA9">
          <w:pPr>
            <w:pStyle w:val="HeaderRegProc"/>
          </w:pPr>
          <w:fldSimple w:instr=" DOCPROPERTY &quot;Header&quot; \* MERGEFORMAT ">
            <w:r>
              <w:t>AR</w:t>
            </w:r>
          </w:fldSimple>
          <w:r>
            <w:fldChar w:fldCharType="begin"/>
          </w:r>
          <w:r>
            <w:instrText>styleref href2</w:instrText>
          </w:r>
          <w:r>
            <w:fldChar w:fldCharType="separate"/>
          </w:r>
          <w:r w:rsidR="00471ECF">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F7C6D38" w14:textId="77777777" w:rsidR="00BA5AA9" w:rsidRDefault="00BA5AA9" w:rsidP="0042568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76D9F4" w14:textId="77777777" w:rsidR="00BA5AA9" w:rsidRPr="007D31B2" w:rsidRDefault="00BA5AA9" w:rsidP="000C6E71">
          <w:pPr>
            <w:pStyle w:val="HeaderRegProc"/>
            <w:rPr>
              <w:lang w:val="es-ES_tradnl"/>
            </w:rPr>
          </w:pPr>
          <w:r w:rsidRPr="00B02CE6">
            <w:rPr>
              <w:lang w:val="es-ES_tradnl"/>
            </w:rPr>
            <w:t>rev.</w:t>
          </w:r>
          <w:r>
            <w:rPr>
              <w:lang w:val="es-ES_tradnl"/>
            </w:rPr>
            <w:t xml:space="preserve"> -</w:t>
          </w:r>
        </w:p>
      </w:tc>
    </w:tr>
  </w:tbl>
  <w:p w14:paraId="023F81BC" w14:textId="77777777" w:rsidR="00BA5AA9" w:rsidRPr="00B02CE6" w:rsidRDefault="00BA5AA9" w:rsidP="00EB202F">
    <w:pPr>
      <w:pStyle w:val="Header"/>
      <w:rPr>
        <w:lang w:val="es-ES_tradnl"/>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A1162" w14:textId="77777777" w:rsidR="00A14EF9" w:rsidRPr="00EE09F0" w:rsidRDefault="00A14EF9" w:rsidP="00EE09F0">
    <w:pPr>
      <w:pStyle w:val="Header"/>
    </w:pPr>
    <w:r>
      <w:rPr>
        <w:noProof/>
        <w:lang w:eastAsia="en-GB"/>
      </w:rPr>
      <mc:AlternateContent>
        <mc:Choice Requires="wps">
          <w:drawing>
            <wp:anchor distT="0" distB="0" distL="114300" distR="114300" simplePos="0" relativeHeight="251657728" behindDoc="0" locked="0" layoutInCell="1" allowOverlap="1" wp14:anchorId="4C210B4A" wp14:editId="72898C06">
              <wp:simplePos x="0" y="0"/>
              <wp:positionH relativeFrom="column">
                <wp:posOffset>8965553</wp:posOffset>
              </wp:positionH>
              <wp:positionV relativeFrom="paragraph">
                <wp:posOffset>796290</wp:posOffset>
              </wp:positionV>
              <wp:extent cx="457200" cy="572389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189D253A" w14:textId="77777777">
                            <w:trPr>
                              <w:cantSplit/>
                              <w:trHeight w:hRule="exact" w:val="1605"/>
                              <w:jc w:val="right"/>
                            </w:trPr>
                            <w:tc>
                              <w:tcPr>
                                <w:tcW w:w="255" w:type="dxa"/>
                                <w:textDirection w:val="tbRl"/>
                              </w:tcPr>
                              <w:p w14:paraId="3D9BAF34" w14:textId="59FBBCEC" w:rsidR="00A14EF9" w:rsidRDefault="00A14EF9">
                                <w:pPr>
                                  <w:pStyle w:val="HeaderRegProc"/>
                                  <w:spacing w:before="0"/>
                                  <w:ind w:left="0"/>
                                  <w:rPr>
                                    <w:lang w:val="es-ES_tradnl"/>
                                  </w:rPr>
                                </w:pPr>
                                <w:r>
                                  <w:rPr>
                                    <w:lang w:val="es-ES_tradnl"/>
                                  </w:rPr>
                                  <w:t>Parte A1</w:t>
                                </w:r>
                              </w:p>
                            </w:tc>
                          </w:tr>
                          <w:tr w:rsidR="00A14EF9" w14:paraId="10FF32B5" w14:textId="77777777">
                            <w:trPr>
                              <w:cantSplit/>
                              <w:trHeight w:hRule="exact" w:val="1605"/>
                              <w:jc w:val="right"/>
                            </w:trPr>
                            <w:tc>
                              <w:tcPr>
                                <w:tcW w:w="255" w:type="dxa"/>
                                <w:textDirection w:val="tbRl"/>
                              </w:tcPr>
                              <w:p w14:paraId="5FA9D28C" w14:textId="3BB3984D" w:rsidR="00A14EF9" w:rsidRDefault="00A650EA">
                                <w:pPr>
                                  <w:pStyle w:val="HeaderRegProc"/>
                                  <w:spacing w:before="0"/>
                                  <w:ind w:left="0"/>
                                  <w:rPr>
                                    <w:lang w:val="es-ES_tradnl"/>
                                  </w:rPr>
                                </w:pPr>
                                <w:r w:rsidRPr="00A650EA">
                                  <w:rPr>
                                    <w:lang w:val="en-GB"/>
                                  </w:rPr>
                                  <w:fldChar w:fldCharType="begin"/>
                                </w:r>
                                <w:r w:rsidRPr="00A650EA">
                                  <w:rPr>
                                    <w:lang w:val="en-GB"/>
                                  </w:rPr>
                                  <w:instrText xml:space="preserve"> DOCPROPERTY "Header" \* MERGEFORMAT </w:instrText>
                                </w:r>
                                <w:r w:rsidRPr="00A650EA">
                                  <w:rPr>
                                    <w:lang w:val="en-GB"/>
                                  </w:rPr>
                                  <w:fldChar w:fldCharType="separate"/>
                                </w:r>
                                <w:r w:rsidR="00240B2D">
                                  <w:rPr>
                                    <w:lang w:val="en-GB"/>
                                  </w:rPr>
                                  <w:t>AR</w:t>
                                </w:r>
                                <w:r w:rsidRPr="00A650EA">
                                  <w:rPr>
                                    <w:lang w:val="es-ES_tradnl"/>
                                  </w:rPr>
                                  <w:fldChar w:fldCharType="end"/>
                                </w:r>
                                <w:r w:rsidRPr="00A650EA">
                                  <w:rPr>
                                    <w:lang w:val="en-GB"/>
                                  </w:rPr>
                                  <w:fldChar w:fldCharType="begin"/>
                                </w:r>
                                <w:r w:rsidRPr="00A650EA">
                                  <w:rPr>
                                    <w:lang w:val="en-GB"/>
                                  </w:rPr>
                                  <w:instrText>styleref href2</w:instrText>
                                </w:r>
                                <w:r w:rsidRPr="00A650EA">
                                  <w:rPr>
                                    <w:lang w:val="en-GB"/>
                                  </w:rPr>
                                  <w:fldChar w:fldCharType="separate"/>
                                </w:r>
                                <w:r w:rsidR="00471ECF">
                                  <w:rPr>
                                    <w:noProof/>
                                    <w:lang w:val="en-GB"/>
                                  </w:rPr>
                                  <w:t>5</w:t>
                                </w:r>
                                <w:r w:rsidRPr="00A650EA">
                                  <w:rPr>
                                    <w:lang w:val="es-ES_tradnl"/>
                                  </w:rPr>
                                  <w:fldChar w:fldCharType="end"/>
                                </w:r>
                              </w:p>
                            </w:tc>
                          </w:tr>
                          <w:tr w:rsidR="00A14EF9" w14:paraId="71CB3F39" w14:textId="77777777">
                            <w:trPr>
                              <w:cantSplit/>
                              <w:trHeight w:hRule="exact" w:val="1605"/>
                              <w:jc w:val="right"/>
                            </w:trPr>
                            <w:tc>
                              <w:tcPr>
                                <w:tcW w:w="255" w:type="dxa"/>
                                <w:textDirection w:val="tbRl"/>
                              </w:tcPr>
                              <w:p w14:paraId="2949082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0797036F" w14:textId="77777777">
                            <w:trPr>
                              <w:cantSplit/>
                              <w:trHeight w:hRule="exact" w:val="1605"/>
                              <w:jc w:val="right"/>
                            </w:trPr>
                            <w:tc>
                              <w:tcPr>
                                <w:tcW w:w="255" w:type="dxa"/>
                                <w:textDirection w:val="tbRl"/>
                              </w:tcPr>
                              <w:p w14:paraId="1D45533D" w14:textId="7351B405" w:rsidR="00A14EF9" w:rsidRDefault="00A14EF9" w:rsidP="006F2012">
                                <w:pPr>
                                  <w:pStyle w:val="HeaderRegProc"/>
                                  <w:spacing w:before="0"/>
                                  <w:ind w:left="0"/>
                                  <w:rPr>
                                    <w:lang w:val="es-ES_tradnl"/>
                                  </w:rPr>
                                </w:pPr>
                                <w:r>
                                  <w:rPr>
                                    <w:lang w:val="es-ES_tradnl"/>
                                  </w:rPr>
                                  <w:t>re</w:t>
                                </w:r>
                                <w:r w:rsidR="000E134C">
                                  <w:rPr>
                                    <w:lang w:val="es-ES_tradnl"/>
                                  </w:rPr>
                                  <w:t xml:space="preserve">v. </w:t>
                                </w:r>
                                <w:r>
                                  <w:rPr>
                                    <w:lang w:val="es-ES_tradnl"/>
                                  </w:rPr>
                                  <w:t>-</w:t>
                                </w:r>
                              </w:p>
                            </w:tc>
                          </w:tr>
                        </w:tbl>
                        <w:p w14:paraId="476B7C9C" w14:textId="77777777" w:rsidR="00A14EF9" w:rsidRDefault="00A14EF9"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210B4A" id="_x0000_t202" coordsize="21600,21600" o:spt="202" path="m,l,21600r21600,l21600,xe">
              <v:stroke joinstyle="miter"/>
              <v:path gradientshapeok="t" o:connecttype="rect"/>
            </v:shapetype>
            <v:shape id="Text Box 4" o:spid="_x0000_s1026" type="#_x0000_t202" style="position:absolute;left:0;text-align:left;margin-left:705.95pt;margin-top:62.7pt;width:36pt;height:45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189D253A" w14:textId="77777777">
                      <w:trPr>
                        <w:cantSplit/>
                        <w:trHeight w:hRule="exact" w:val="1605"/>
                        <w:jc w:val="right"/>
                      </w:trPr>
                      <w:tc>
                        <w:tcPr>
                          <w:tcW w:w="255" w:type="dxa"/>
                          <w:textDirection w:val="tbRl"/>
                        </w:tcPr>
                        <w:p w14:paraId="3D9BAF34" w14:textId="59FBBCEC" w:rsidR="00A14EF9" w:rsidRDefault="00A14EF9">
                          <w:pPr>
                            <w:pStyle w:val="HeaderRegProc"/>
                            <w:spacing w:before="0"/>
                            <w:ind w:left="0"/>
                            <w:rPr>
                              <w:lang w:val="es-ES_tradnl"/>
                            </w:rPr>
                          </w:pPr>
                          <w:r>
                            <w:rPr>
                              <w:lang w:val="es-ES_tradnl"/>
                            </w:rPr>
                            <w:t>Parte A1</w:t>
                          </w:r>
                        </w:p>
                      </w:tc>
                    </w:tr>
                    <w:tr w:rsidR="00A14EF9" w14:paraId="10FF32B5" w14:textId="77777777">
                      <w:trPr>
                        <w:cantSplit/>
                        <w:trHeight w:hRule="exact" w:val="1605"/>
                        <w:jc w:val="right"/>
                      </w:trPr>
                      <w:tc>
                        <w:tcPr>
                          <w:tcW w:w="255" w:type="dxa"/>
                          <w:textDirection w:val="tbRl"/>
                        </w:tcPr>
                        <w:p w14:paraId="5FA9D28C" w14:textId="3BB3984D" w:rsidR="00A14EF9" w:rsidRDefault="00A650EA">
                          <w:pPr>
                            <w:pStyle w:val="HeaderRegProc"/>
                            <w:spacing w:before="0"/>
                            <w:ind w:left="0"/>
                            <w:rPr>
                              <w:lang w:val="es-ES_tradnl"/>
                            </w:rPr>
                          </w:pPr>
                          <w:r w:rsidRPr="00A650EA">
                            <w:rPr>
                              <w:lang w:val="en-GB"/>
                            </w:rPr>
                            <w:fldChar w:fldCharType="begin"/>
                          </w:r>
                          <w:r w:rsidRPr="00A650EA">
                            <w:rPr>
                              <w:lang w:val="en-GB"/>
                            </w:rPr>
                            <w:instrText xml:space="preserve"> DOCPROPERTY "Header" \* MERGEFORMAT </w:instrText>
                          </w:r>
                          <w:r w:rsidRPr="00A650EA">
                            <w:rPr>
                              <w:lang w:val="en-GB"/>
                            </w:rPr>
                            <w:fldChar w:fldCharType="separate"/>
                          </w:r>
                          <w:r w:rsidR="00240B2D">
                            <w:rPr>
                              <w:lang w:val="en-GB"/>
                            </w:rPr>
                            <w:t>AR</w:t>
                          </w:r>
                          <w:r w:rsidRPr="00A650EA">
                            <w:rPr>
                              <w:lang w:val="es-ES_tradnl"/>
                            </w:rPr>
                            <w:fldChar w:fldCharType="end"/>
                          </w:r>
                          <w:r w:rsidRPr="00A650EA">
                            <w:rPr>
                              <w:lang w:val="en-GB"/>
                            </w:rPr>
                            <w:fldChar w:fldCharType="begin"/>
                          </w:r>
                          <w:r w:rsidRPr="00A650EA">
                            <w:rPr>
                              <w:lang w:val="en-GB"/>
                            </w:rPr>
                            <w:instrText>styleref href2</w:instrText>
                          </w:r>
                          <w:r w:rsidRPr="00A650EA">
                            <w:rPr>
                              <w:lang w:val="en-GB"/>
                            </w:rPr>
                            <w:fldChar w:fldCharType="separate"/>
                          </w:r>
                          <w:r w:rsidR="00471ECF">
                            <w:rPr>
                              <w:noProof/>
                              <w:lang w:val="en-GB"/>
                            </w:rPr>
                            <w:t>5</w:t>
                          </w:r>
                          <w:r w:rsidRPr="00A650EA">
                            <w:rPr>
                              <w:lang w:val="es-ES_tradnl"/>
                            </w:rPr>
                            <w:fldChar w:fldCharType="end"/>
                          </w:r>
                        </w:p>
                      </w:tc>
                    </w:tr>
                    <w:tr w:rsidR="00A14EF9" w14:paraId="71CB3F39" w14:textId="77777777">
                      <w:trPr>
                        <w:cantSplit/>
                        <w:trHeight w:hRule="exact" w:val="1605"/>
                        <w:jc w:val="right"/>
                      </w:trPr>
                      <w:tc>
                        <w:tcPr>
                          <w:tcW w:w="255" w:type="dxa"/>
                          <w:textDirection w:val="tbRl"/>
                        </w:tcPr>
                        <w:p w14:paraId="2949082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0797036F" w14:textId="77777777">
                      <w:trPr>
                        <w:cantSplit/>
                        <w:trHeight w:hRule="exact" w:val="1605"/>
                        <w:jc w:val="right"/>
                      </w:trPr>
                      <w:tc>
                        <w:tcPr>
                          <w:tcW w:w="255" w:type="dxa"/>
                          <w:textDirection w:val="tbRl"/>
                        </w:tcPr>
                        <w:p w14:paraId="1D45533D" w14:textId="7351B405" w:rsidR="00A14EF9" w:rsidRDefault="00A14EF9" w:rsidP="006F2012">
                          <w:pPr>
                            <w:pStyle w:val="HeaderRegProc"/>
                            <w:spacing w:before="0"/>
                            <w:ind w:left="0"/>
                            <w:rPr>
                              <w:lang w:val="es-ES_tradnl"/>
                            </w:rPr>
                          </w:pPr>
                          <w:r>
                            <w:rPr>
                              <w:lang w:val="es-ES_tradnl"/>
                            </w:rPr>
                            <w:t>re</w:t>
                          </w:r>
                          <w:r w:rsidR="000E134C">
                            <w:rPr>
                              <w:lang w:val="es-ES_tradnl"/>
                            </w:rPr>
                            <w:t xml:space="preserve">v. </w:t>
                          </w:r>
                          <w:r>
                            <w:rPr>
                              <w:lang w:val="es-ES_tradnl"/>
                            </w:rPr>
                            <w:t>-</w:t>
                          </w:r>
                        </w:p>
                      </w:tc>
                    </w:tr>
                  </w:tbl>
                  <w:p w14:paraId="476B7C9C" w14:textId="77777777" w:rsidR="00A14EF9" w:rsidRDefault="00A14EF9" w:rsidP="00EE09F0">
                    <w:pPr>
                      <w:rPr>
                        <w:lang w:val="es-ES_tradnl"/>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851CA" w14:textId="77777777" w:rsidR="00A14EF9" w:rsidRDefault="00A14EF9">
    <w:pPr>
      <w:pStyle w:val="Header"/>
    </w:pPr>
    <w:r>
      <w:rPr>
        <w:noProof/>
        <w:sz w:val="20"/>
        <w:lang w:eastAsia="en-GB"/>
      </w:rPr>
      <mc:AlternateContent>
        <mc:Choice Requires="wps">
          <w:drawing>
            <wp:anchor distT="0" distB="0" distL="114300" distR="114300" simplePos="0" relativeHeight="251656704" behindDoc="0" locked="0" layoutInCell="1" allowOverlap="1" wp14:anchorId="625A290E" wp14:editId="1E24E18C">
              <wp:simplePos x="0" y="0"/>
              <wp:positionH relativeFrom="column">
                <wp:posOffset>8977503</wp:posOffset>
              </wp:positionH>
              <wp:positionV relativeFrom="paragraph">
                <wp:posOffset>-84100</wp:posOffset>
              </wp:positionV>
              <wp:extent cx="457200" cy="58864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A7C99C3" w14:textId="77777777" w:rsidR="00A14EF9" w:rsidRDefault="00A14EF9">
                          <w:pPr>
                            <w:pStyle w:val="listitem"/>
                            <w:keepLines w:val="0"/>
                            <w:rPr>
                              <w:sz w:val="16"/>
                            </w:rPr>
                          </w:pPr>
                        </w:p>
                        <w:p w14:paraId="0E0D2C44" w14:textId="77777777" w:rsidR="00A14EF9" w:rsidRDefault="00A14EF9">
                          <w:pPr>
                            <w:pStyle w:val="listitem"/>
                            <w:keepLines w:val="0"/>
                            <w:spacing w:before="190"/>
                            <w:rPr>
                              <w:sz w:val="16"/>
                            </w:rPr>
                          </w:pPr>
                        </w:p>
                        <w:p w14:paraId="2A67E221" w14:textId="3385BF30" w:rsidR="00A14EF9" w:rsidRDefault="00A14EF9">
                          <w:pPr>
                            <w:pStyle w:val="listitem"/>
                            <w:keepLines w:val="0"/>
                            <w:spacing w:before="190"/>
                            <w:rPr>
                              <w:sz w:val="16"/>
                            </w:rPr>
                          </w:pPr>
                        </w:p>
                        <w:p w14:paraId="2D045DCB" w14:textId="77777777" w:rsidR="00E626DD" w:rsidRDefault="00E626DD" w:rsidP="00E626DD">
                          <w:pPr>
                            <w:pStyle w:val="listitem"/>
                            <w:keepLines w:val="0"/>
                            <w:spacing w:before="130"/>
                            <w:rPr>
                              <w:sz w:val="16"/>
                            </w:rPr>
                          </w:pPr>
                        </w:p>
                        <w:p w14:paraId="2D5E4826" w14:textId="77777777" w:rsidR="00A14EF9" w:rsidRDefault="00A14EF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236D95B8" w14:textId="77777777">
                            <w:trPr>
                              <w:cantSplit/>
                              <w:trHeight w:hRule="exact" w:val="1605"/>
                              <w:jc w:val="right"/>
                            </w:trPr>
                            <w:tc>
                              <w:tcPr>
                                <w:tcW w:w="255" w:type="dxa"/>
                                <w:textDirection w:val="tbRl"/>
                              </w:tcPr>
                              <w:p w14:paraId="1502B1D9" w14:textId="77777777" w:rsidR="00A14EF9" w:rsidRDefault="00A14EF9">
                                <w:pPr>
                                  <w:pStyle w:val="HeaderRegProc"/>
                                  <w:spacing w:before="0"/>
                                  <w:ind w:left="0"/>
                                  <w:rPr>
                                    <w:lang w:val="es-ES_tradnl"/>
                                  </w:rPr>
                                </w:pPr>
                                <w:r>
                                  <w:rPr>
                                    <w:lang w:val="es-ES_tradnl"/>
                                  </w:rPr>
                                  <w:t>Parte A1</w:t>
                                </w:r>
                              </w:p>
                            </w:tc>
                          </w:tr>
                          <w:tr w:rsidR="00A14EF9" w14:paraId="596B20F5" w14:textId="77777777">
                            <w:trPr>
                              <w:cantSplit/>
                              <w:trHeight w:hRule="exact" w:val="1605"/>
                              <w:jc w:val="right"/>
                            </w:trPr>
                            <w:tc>
                              <w:tcPr>
                                <w:tcW w:w="255" w:type="dxa"/>
                                <w:textDirection w:val="tbRl"/>
                              </w:tcPr>
                              <w:p w14:paraId="3E157D0D" w14:textId="523E5672" w:rsidR="00A14EF9" w:rsidRDefault="00471ECF">
                                <w:pPr>
                                  <w:pStyle w:val="HeaderRegProc"/>
                                  <w:spacing w:before="0"/>
                                  <w:ind w:left="0"/>
                                  <w:rPr>
                                    <w:lang w:val="es-ES_tradnl"/>
                                  </w:rPr>
                                </w:pPr>
                                <w:r>
                                  <w:fldChar w:fldCharType="begin"/>
                                </w:r>
                                <w:r>
                                  <w:instrText xml:space="preserve"> DOCPROPERTY "Header" \* MERGEFORMAT </w:instrText>
                                </w:r>
                                <w:r>
                                  <w:fldChar w:fldCharType="separate"/>
                                </w:r>
                                <w:r w:rsidR="00240B2D" w:rsidRPr="00240B2D">
                                  <w:rPr>
                                    <w:lang w:val="es-ES_tradnl"/>
                                  </w:rPr>
                                  <w:t>AR</w:t>
                                </w:r>
                                <w:r>
                                  <w:rPr>
                                    <w:lang w:val="es-ES_tradnl"/>
                                  </w:rPr>
                                  <w:fldChar w:fldCharType="end"/>
                                </w:r>
                                <w:r w:rsidR="00A14EF9">
                                  <w:fldChar w:fldCharType="begin"/>
                                </w:r>
                                <w:r w:rsidR="00A14EF9">
                                  <w:rPr>
                                    <w:lang w:val="es-ES_tradnl"/>
                                  </w:rPr>
                                  <w:instrText>styleref href2</w:instrText>
                                </w:r>
                                <w:r w:rsidR="00A14EF9">
                                  <w:fldChar w:fldCharType="separate"/>
                                </w:r>
                                <w:r w:rsidR="001B3E77">
                                  <w:rPr>
                                    <w:noProof/>
                                    <w:lang w:val="es-ES_tradnl"/>
                                  </w:rPr>
                                  <w:t>5</w:t>
                                </w:r>
                                <w:r w:rsidR="00A14EF9">
                                  <w:fldChar w:fldCharType="end"/>
                                </w:r>
                              </w:p>
                            </w:tc>
                          </w:tr>
                          <w:tr w:rsidR="00A14EF9" w14:paraId="02592B02" w14:textId="77777777">
                            <w:trPr>
                              <w:cantSplit/>
                              <w:trHeight w:hRule="exact" w:val="1605"/>
                              <w:jc w:val="right"/>
                            </w:trPr>
                            <w:tc>
                              <w:tcPr>
                                <w:tcW w:w="255" w:type="dxa"/>
                                <w:textDirection w:val="tbRl"/>
                              </w:tcPr>
                              <w:p w14:paraId="7DDC2A8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27</w:t>
                                </w:r>
                                <w:r>
                                  <w:rPr>
                                    <w:rStyle w:val="PageNumber"/>
                                  </w:rPr>
                                  <w:fldChar w:fldCharType="end"/>
                                </w:r>
                              </w:p>
                            </w:tc>
                          </w:tr>
                          <w:tr w:rsidR="00A14EF9" w14:paraId="1EA65E88" w14:textId="77777777">
                            <w:trPr>
                              <w:cantSplit/>
                              <w:trHeight w:hRule="exact" w:val="1605"/>
                              <w:jc w:val="right"/>
                            </w:trPr>
                            <w:tc>
                              <w:tcPr>
                                <w:tcW w:w="255" w:type="dxa"/>
                                <w:textDirection w:val="tbRl"/>
                              </w:tcPr>
                              <w:p w14:paraId="31D39FCE" w14:textId="7A481B69" w:rsidR="00A14EF9" w:rsidRDefault="00A14EF9">
                                <w:pPr>
                                  <w:pStyle w:val="HeaderRegProc"/>
                                  <w:spacing w:before="0"/>
                                  <w:ind w:left="0"/>
                                  <w:rPr>
                                    <w:lang w:val="fr-CH"/>
                                  </w:rPr>
                                </w:pPr>
                                <w:r>
                                  <w:rPr>
                                    <w:lang w:val="es-ES_tradnl"/>
                                  </w:rPr>
                                  <w:t>rev.</w:t>
                                </w:r>
                                <w:r w:rsidR="00471ECF">
                                  <w:fldChar w:fldCharType="begin"/>
                                </w:r>
                                <w:r w:rsidR="00471ECF">
                                  <w:instrText xml:space="preserve"> DOCPROPERTY "Header10" \* MERGEFORMAT </w:instrText>
                                </w:r>
                                <w:r w:rsidR="00471ECF">
                                  <w:fldChar w:fldCharType="separate"/>
                                </w:r>
                                <w:r w:rsidR="00240B2D" w:rsidRPr="00240B2D">
                                  <w:rPr>
                                    <w:lang w:val="fr-CH"/>
                                  </w:rPr>
                                  <w:t>-</w:t>
                                </w:r>
                                <w:r w:rsidR="00471ECF">
                                  <w:rPr>
                                    <w:lang w:val="fr-CH"/>
                                  </w:rPr>
                                  <w:fldChar w:fldCharType="end"/>
                                </w:r>
                              </w:p>
                            </w:tc>
                          </w:tr>
                        </w:tbl>
                        <w:p w14:paraId="6F8556D4" w14:textId="77777777" w:rsidR="00A14EF9" w:rsidRDefault="00A14EF9">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A290E" id="_x0000_t202" coordsize="21600,21600" o:spt="202" path="m,l,21600r21600,l21600,xe">
              <v:stroke joinstyle="miter"/>
              <v:path gradientshapeok="t" o:connecttype="rect"/>
            </v:shapetype>
            <v:shape id="Text Box 1" o:spid="_x0000_s1027" type="#_x0000_t202" style="position:absolute;left:0;text-align:left;margin-left:706.9pt;margin-top:-6.6pt;width:36pt;height:46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" stroked="f" strokecolor="red">
              <v:textbox inset="0,0,0,0">
                <w:txbxContent>
                  <w:p w14:paraId="4A7C99C3" w14:textId="77777777" w:rsidR="00A14EF9" w:rsidRDefault="00A14EF9">
                    <w:pPr>
                      <w:pStyle w:val="listitem"/>
                      <w:keepLines w:val="0"/>
                      <w:rPr>
                        <w:sz w:val="16"/>
                      </w:rPr>
                    </w:pPr>
                  </w:p>
                  <w:p w14:paraId="0E0D2C44" w14:textId="77777777" w:rsidR="00A14EF9" w:rsidRDefault="00A14EF9">
                    <w:pPr>
                      <w:pStyle w:val="listitem"/>
                      <w:keepLines w:val="0"/>
                      <w:spacing w:before="190"/>
                      <w:rPr>
                        <w:sz w:val="16"/>
                      </w:rPr>
                    </w:pPr>
                  </w:p>
                  <w:p w14:paraId="2A67E221" w14:textId="3385BF30" w:rsidR="00A14EF9" w:rsidRDefault="00A14EF9">
                    <w:pPr>
                      <w:pStyle w:val="listitem"/>
                      <w:keepLines w:val="0"/>
                      <w:spacing w:before="190"/>
                      <w:rPr>
                        <w:sz w:val="16"/>
                      </w:rPr>
                    </w:pPr>
                  </w:p>
                  <w:p w14:paraId="2D045DCB" w14:textId="77777777" w:rsidR="00E626DD" w:rsidRDefault="00E626DD" w:rsidP="00E626DD">
                    <w:pPr>
                      <w:pStyle w:val="listitem"/>
                      <w:keepLines w:val="0"/>
                      <w:spacing w:before="130"/>
                      <w:rPr>
                        <w:sz w:val="16"/>
                      </w:rPr>
                    </w:pPr>
                  </w:p>
                  <w:p w14:paraId="2D5E4826" w14:textId="77777777" w:rsidR="00A14EF9" w:rsidRDefault="00A14EF9">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236D95B8" w14:textId="77777777">
                      <w:trPr>
                        <w:cantSplit/>
                        <w:trHeight w:hRule="exact" w:val="1605"/>
                        <w:jc w:val="right"/>
                      </w:trPr>
                      <w:tc>
                        <w:tcPr>
                          <w:tcW w:w="255" w:type="dxa"/>
                          <w:textDirection w:val="tbRl"/>
                        </w:tcPr>
                        <w:p w14:paraId="1502B1D9" w14:textId="77777777" w:rsidR="00A14EF9" w:rsidRDefault="00A14EF9">
                          <w:pPr>
                            <w:pStyle w:val="HeaderRegProc"/>
                            <w:spacing w:before="0"/>
                            <w:ind w:left="0"/>
                            <w:rPr>
                              <w:lang w:val="es-ES_tradnl"/>
                            </w:rPr>
                          </w:pPr>
                          <w:r>
                            <w:rPr>
                              <w:lang w:val="es-ES_tradnl"/>
                            </w:rPr>
                            <w:t>Parte A1</w:t>
                          </w:r>
                        </w:p>
                      </w:tc>
                    </w:tr>
                    <w:tr w:rsidR="00A14EF9" w14:paraId="596B20F5" w14:textId="77777777">
                      <w:trPr>
                        <w:cantSplit/>
                        <w:trHeight w:hRule="exact" w:val="1605"/>
                        <w:jc w:val="right"/>
                      </w:trPr>
                      <w:tc>
                        <w:tcPr>
                          <w:tcW w:w="255" w:type="dxa"/>
                          <w:textDirection w:val="tbRl"/>
                        </w:tcPr>
                        <w:p w14:paraId="3E157D0D" w14:textId="523E5672" w:rsidR="00A14EF9" w:rsidRDefault="00471ECF">
                          <w:pPr>
                            <w:pStyle w:val="HeaderRegProc"/>
                            <w:spacing w:before="0"/>
                            <w:ind w:left="0"/>
                            <w:rPr>
                              <w:lang w:val="es-ES_tradnl"/>
                            </w:rPr>
                          </w:pPr>
                          <w:r>
                            <w:fldChar w:fldCharType="begin"/>
                          </w:r>
                          <w:r>
                            <w:instrText xml:space="preserve"> DOCPROPERTY "Header" \* MERGEFORMAT </w:instrText>
                          </w:r>
                          <w:r>
                            <w:fldChar w:fldCharType="separate"/>
                          </w:r>
                          <w:r w:rsidR="00240B2D" w:rsidRPr="00240B2D">
                            <w:rPr>
                              <w:lang w:val="es-ES_tradnl"/>
                            </w:rPr>
                            <w:t>AR</w:t>
                          </w:r>
                          <w:r>
                            <w:rPr>
                              <w:lang w:val="es-ES_tradnl"/>
                            </w:rPr>
                            <w:fldChar w:fldCharType="end"/>
                          </w:r>
                          <w:r w:rsidR="00A14EF9">
                            <w:fldChar w:fldCharType="begin"/>
                          </w:r>
                          <w:r w:rsidR="00A14EF9">
                            <w:rPr>
                              <w:lang w:val="es-ES_tradnl"/>
                            </w:rPr>
                            <w:instrText>styleref href2</w:instrText>
                          </w:r>
                          <w:r w:rsidR="00A14EF9">
                            <w:fldChar w:fldCharType="separate"/>
                          </w:r>
                          <w:r w:rsidR="001B3E77">
                            <w:rPr>
                              <w:noProof/>
                              <w:lang w:val="es-ES_tradnl"/>
                            </w:rPr>
                            <w:t>5</w:t>
                          </w:r>
                          <w:r w:rsidR="00A14EF9">
                            <w:fldChar w:fldCharType="end"/>
                          </w:r>
                        </w:p>
                      </w:tc>
                    </w:tr>
                    <w:tr w:rsidR="00A14EF9" w14:paraId="02592B02" w14:textId="77777777">
                      <w:trPr>
                        <w:cantSplit/>
                        <w:trHeight w:hRule="exact" w:val="1605"/>
                        <w:jc w:val="right"/>
                      </w:trPr>
                      <w:tc>
                        <w:tcPr>
                          <w:tcW w:w="255" w:type="dxa"/>
                          <w:textDirection w:val="tbRl"/>
                        </w:tcPr>
                        <w:p w14:paraId="7DDC2A8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27</w:t>
                          </w:r>
                          <w:r>
                            <w:rPr>
                              <w:rStyle w:val="PageNumber"/>
                            </w:rPr>
                            <w:fldChar w:fldCharType="end"/>
                          </w:r>
                        </w:p>
                      </w:tc>
                    </w:tr>
                    <w:tr w:rsidR="00A14EF9" w14:paraId="1EA65E88" w14:textId="77777777">
                      <w:trPr>
                        <w:cantSplit/>
                        <w:trHeight w:hRule="exact" w:val="1605"/>
                        <w:jc w:val="right"/>
                      </w:trPr>
                      <w:tc>
                        <w:tcPr>
                          <w:tcW w:w="255" w:type="dxa"/>
                          <w:textDirection w:val="tbRl"/>
                        </w:tcPr>
                        <w:p w14:paraId="31D39FCE" w14:textId="7A481B69" w:rsidR="00A14EF9" w:rsidRDefault="00A14EF9">
                          <w:pPr>
                            <w:pStyle w:val="HeaderRegProc"/>
                            <w:spacing w:before="0"/>
                            <w:ind w:left="0"/>
                            <w:rPr>
                              <w:lang w:val="fr-CH"/>
                            </w:rPr>
                          </w:pPr>
                          <w:r>
                            <w:rPr>
                              <w:lang w:val="es-ES_tradnl"/>
                            </w:rPr>
                            <w:t>rev.</w:t>
                          </w:r>
                          <w:r w:rsidR="00471ECF">
                            <w:fldChar w:fldCharType="begin"/>
                          </w:r>
                          <w:r w:rsidR="00471ECF">
                            <w:instrText xml:space="preserve"> DOCPROPERTY "Header10" \* MERGEFORMAT </w:instrText>
                          </w:r>
                          <w:r w:rsidR="00471ECF">
                            <w:fldChar w:fldCharType="separate"/>
                          </w:r>
                          <w:r w:rsidR="00240B2D" w:rsidRPr="00240B2D">
                            <w:rPr>
                              <w:lang w:val="fr-CH"/>
                            </w:rPr>
                            <w:t>-</w:t>
                          </w:r>
                          <w:r w:rsidR="00471ECF">
                            <w:rPr>
                              <w:lang w:val="fr-CH"/>
                            </w:rPr>
                            <w:fldChar w:fldCharType="end"/>
                          </w:r>
                        </w:p>
                      </w:tc>
                    </w:tr>
                  </w:tbl>
                  <w:p w14:paraId="6F8556D4" w14:textId="77777777" w:rsidR="00A14EF9" w:rsidRDefault="00A14EF9">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728"/>
    <w:rsid w:val="0000750C"/>
    <w:rsid w:val="0000786B"/>
    <w:rsid w:val="00017AF6"/>
    <w:rsid w:val="000210B4"/>
    <w:rsid w:val="00025952"/>
    <w:rsid w:val="000310FD"/>
    <w:rsid w:val="000319B3"/>
    <w:rsid w:val="00032FAE"/>
    <w:rsid w:val="00050097"/>
    <w:rsid w:val="000506E0"/>
    <w:rsid w:val="00071EC6"/>
    <w:rsid w:val="00072ED0"/>
    <w:rsid w:val="00080F1E"/>
    <w:rsid w:val="000838DF"/>
    <w:rsid w:val="00093B71"/>
    <w:rsid w:val="00097CA5"/>
    <w:rsid w:val="000A0725"/>
    <w:rsid w:val="000A1EF1"/>
    <w:rsid w:val="000A21A1"/>
    <w:rsid w:val="000C1033"/>
    <w:rsid w:val="000C23C9"/>
    <w:rsid w:val="000C6E71"/>
    <w:rsid w:val="000D7B2B"/>
    <w:rsid w:val="000E134C"/>
    <w:rsid w:val="000F0633"/>
    <w:rsid w:val="00117D31"/>
    <w:rsid w:val="00131C22"/>
    <w:rsid w:val="00136349"/>
    <w:rsid w:val="00165214"/>
    <w:rsid w:val="001675D4"/>
    <w:rsid w:val="00180D7D"/>
    <w:rsid w:val="001816F1"/>
    <w:rsid w:val="00195921"/>
    <w:rsid w:val="001B3E77"/>
    <w:rsid w:val="001C2373"/>
    <w:rsid w:val="001C42C2"/>
    <w:rsid w:val="001D044B"/>
    <w:rsid w:val="001E29BE"/>
    <w:rsid w:val="001F523A"/>
    <w:rsid w:val="00217834"/>
    <w:rsid w:val="00236EA2"/>
    <w:rsid w:val="00237A99"/>
    <w:rsid w:val="00240B2D"/>
    <w:rsid w:val="0024529F"/>
    <w:rsid w:val="002564F8"/>
    <w:rsid w:val="00281017"/>
    <w:rsid w:val="00284A32"/>
    <w:rsid w:val="00291A9E"/>
    <w:rsid w:val="002D3710"/>
    <w:rsid w:val="002F1CFA"/>
    <w:rsid w:val="002F31D9"/>
    <w:rsid w:val="00311F80"/>
    <w:rsid w:val="00325CB3"/>
    <w:rsid w:val="00345990"/>
    <w:rsid w:val="00350077"/>
    <w:rsid w:val="0037172A"/>
    <w:rsid w:val="003737BE"/>
    <w:rsid w:val="00373977"/>
    <w:rsid w:val="00383CA2"/>
    <w:rsid w:val="003B6940"/>
    <w:rsid w:val="003B6DEF"/>
    <w:rsid w:val="003C0B46"/>
    <w:rsid w:val="003C0EDC"/>
    <w:rsid w:val="003C14AF"/>
    <w:rsid w:val="003D00AB"/>
    <w:rsid w:val="003D1303"/>
    <w:rsid w:val="003E1C8C"/>
    <w:rsid w:val="003F09A1"/>
    <w:rsid w:val="0040151B"/>
    <w:rsid w:val="004030CE"/>
    <w:rsid w:val="00425684"/>
    <w:rsid w:val="00437BCA"/>
    <w:rsid w:val="00442B88"/>
    <w:rsid w:val="00454912"/>
    <w:rsid w:val="00471ECF"/>
    <w:rsid w:val="00477CC2"/>
    <w:rsid w:val="00490627"/>
    <w:rsid w:val="00493013"/>
    <w:rsid w:val="004A55B4"/>
    <w:rsid w:val="004B2498"/>
    <w:rsid w:val="004B6449"/>
    <w:rsid w:val="004B6AEC"/>
    <w:rsid w:val="004C543A"/>
    <w:rsid w:val="004D27FA"/>
    <w:rsid w:val="004D6A61"/>
    <w:rsid w:val="004D7863"/>
    <w:rsid w:val="004E2728"/>
    <w:rsid w:val="004F27D2"/>
    <w:rsid w:val="004F6421"/>
    <w:rsid w:val="004F6B53"/>
    <w:rsid w:val="004F6EE8"/>
    <w:rsid w:val="005060FD"/>
    <w:rsid w:val="00512796"/>
    <w:rsid w:val="00527112"/>
    <w:rsid w:val="00535729"/>
    <w:rsid w:val="00544FE8"/>
    <w:rsid w:val="00563176"/>
    <w:rsid w:val="005632A5"/>
    <w:rsid w:val="00571D5A"/>
    <w:rsid w:val="00573929"/>
    <w:rsid w:val="005846AC"/>
    <w:rsid w:val="00590189"/>
    <w:rsid w:val="0059171D"/>
    <w:rsid w:val="0059682C"/>
    <w:rsid w:val="005A55F9"/>
    <w:rsid w:val="005A7D46"/>
    <w:rsid w:val="005B0C33"/>
    <w:rsid w:val="005B29F7"/>
    <w:rsid w:val="005B5F8B"/>
    <w:rsid w:val="005C7122"/>
    <w:rsid w:val="005D4085"/>
    <w:rsid w:val="005D4A50"/>
    <w:rsid w:val="00604297"/>
    <w:rsid w:val="0061046F"/>
    <w:rsid w:val="006161D0"/>
    <w:rsid w:val="00625743"/>
    <w:rsid w:val="00633311"/>
    <w:rsid w:val="006403F5"/>
    <w:rsid w:val="00641E84"/>
    <w:rsid w:val="00644980"/>
    <w:rsid w:val="00644C2E"/>
    <w:rsid w:val="00651530"/>
    <w:rsid w:val="00652070"/>
    <w:rsid w:val="00663BAC"/>
    <w:rsid w:val="00665187"/>
    <w:rsid w:val="00671FC7"/>
    <w:rsid w:val="00672446"/>
    <w:rsid w:val="006831C0"/>
    <w:rsid w:val="00684CAD"/>
    <w:rsid w:val="0069253E"/>
    <w:rsid w:val="006B4C88"/>
    <w:rsid w:val="006C4EB2"/>
    <w:rsid w:val="006D0684"/>
    <w:rsid w:val="006D4F52"/>
    <w:rsid w:val="006F2012"/>
    <w:rsid w:val="00711857"/>
    <w:rsid w:val="00731CA9"/>
    <w:rsid w:val="00737D7E"/>
    <w:rsid w:val="00743DBD"/>
    <w:rsid w:val="00746445"/>
    <w:rsid w:val="007473B3"/>
    <w:rsid w:val="00754415"/>
    <w:rsid w:val="00770A19"/>
    <w:rsid w:val="007769E4"/>
    <w:rsid w:val="00777E40"/>
    <w:rsid w:val="00780DA9"/>
    <w:rsid w:val="00781222"/>
    <w:rsid w:val="00796849"/>
    <w:rsid w:val="007A0A18"/>
    <w:rsid w:val="007A2011"/>
    <w:rsid w:val="007A234F"/>
    <w:rsid w:val="007C0FE2"/>
    <w:rsid w:val="007D31B2"/>
    <w:rsid w:val="007D55F8"/>
    <w:rsid w:val="007E2625"/>
    <w:rsid w:val="007F3E10"/>
    <w:rsid w:val="008123C0"/>
    <w:rsid w:val="00822EDB"/>
    <w:rsid w:val="00824B96"/>
    <w:rsid w:val="0083017E"/>
    <w:rsid w:val="00836835"/>
    <w:rsid w:val="008511E5"/>
    <w:rsid w:val="0085392A"/>
    <w:rsid w:val="00894766"/>
    <w:rsid w:val="00897F93"/>
    <w:rsid w:val="008A7524"/>
    <w:rsid w:val="008B4F0D"/>
    <w:rsid w:val="008C0013"/>
    <w:rsid w:val="008C27D8"/>
    <w:rsid w:val="008C64B1"/>
    <w:rsid w:val="008C6552"/>
    <w:rsid w:val="008F6A8F"/>
    <w:rsid w:val="009020C8"/>
    <w:rsid w:val="009030F2"/>
    <w:rsid w:val="00906C9C"/>
    <w:rsid w:val="00936946"/>
    <w:rsid w:val="00946F13"/>
    <w:rsid w:val="00947A2E"/>
    <w:rsid w:val="00955480"/>
    <w:rsid w:val="00957DD0"/>
    <w:rsid w:val="00961B40"/>
    <w:rsid w:val="00966A02"/>
    <w:rsid w:val="009936F8"/>
    <w:rsid w:val="0099416B"/>
    <w:rsid w:val="00995031"/>
    <w:rsid w:val="00995B38"/>
    <w:rsid w:val="009C3A54"/>
    <w:rsid w:val="009E216C"/>
    <w:rsid w:val="009E6B8C"/>
    <w:rsid w:val="009F3322"/>
    <w:rsid w:val="009F750C"/>
    <w:rsid w:val="00A02A63"/>
    <w:rsid w:val="00A044D0"/>
    <w:rsid w:val="00A0470E"/>
    <w:rsid w:val="00A14EF9"/>
    <w:rsid w:val="00A14FEF"/>
    <w:rsid w:val="00A2014E"/>
    <w:rsid w:val="00A3250B"/>
    <w:rsid w:val="00A36BBB"/>
    <w:rsid w:val="00A602BF"/>
    <w:rsid w:val="00A650EA"/>
    <w:rsid w:val="00A711CF"/>
    <w:rsid w:val="00A748CC"/>
    <w:rsid w:val="00A80C59"/>
    <w:rsid w:val="00A852B1"/>
    <w:rsid w:val="00AA1CA8"/>
    <w:rsid w:val="00AA33D0"/>
    <w:rsid w:val="00AB4CBA"/>
    <w:rsid w:val="00AB613D"/>
    <w:rsid w:val="00AD16EC"/>
    <w:rsid w:val="00AD3BCD"/>
    <w:rsid w:val="00AD4853"/>
    <w:rsid w:val="00AE5472"/>
    <w:rsid w:val="00AF3956"/>
    <w:rsid w:val="00AF689A"/>
    <w:rsid w:val="00B02CE6"/>
    <w:rsid w:val="00B04016"/>
    <w:rsid w:val="00B24046"/>
    <w:rsid w:val="00B31615"/>
    <w:rsid w:val="00B76779"/>
    <w:rsid w:val="00B779F0"/>
    <w:rsid w:val="00B81731"/>
    <w:rsid w:val="00B837FE"/>
    <w:rsid w:val="00B877B4"/>
    <w:rsid w:val="00B95DB7"/>
    <w:rsid w:val="00BA320D"/>
    <w:rsid w:val="00BA47F1"/>
    <w:rsid w:val="00BA5AA9"/>
    <w:rsid w:val="00BC21EC"/>
    <w:rsid w:val="00BC7DA3"/>
    <w:rsid w:val="00BE2A1C"/>
    <w:rsid w:val="00BF3FB2"/>
    <w:rsid w:val="00C2147B"/>
    <w:rsid w:val="00C37AB3"/>
    <w:rsid w:val="00C41455"/>
    <w:rsid w:val="00C504AF"/>
    <w:rsid w:val="00C70A77"/>
    <w:rsid w:val="00C81CBC"/>
    <w:rsid w:val="00C82C1C"/>
    <w:rsid w:val="00C83727"/>
    <w:rsid w:val="00CA0651"/>
    <w:rsid w:val="00CA2285"/>
    <w:rsid w:val="00CB1CC7"/>
    <w:rsid w:val="00CB1EF9"/>
    <w:rsid w:val="00CC1758"/>
    <w:rsid w:val="00CC4FCD"/>
    <w:rsid w:val="00CD0A5E"/>
    <w:rsid w:val="00CD1F53"/>
    <w:rsid w:val="00CD5505"/>
    <w:rsid w:val="00CF65EF"/>
    <w:rsid w:val="00D0570C"/>
    <w:rsid w:val="00D175CA"/>
    <w:rsid w:val="00D31806"/>
    <w:rsid w:val="00D34FF6"/>
    <w:rsid w:val="00D452D6"/>
    <w:rsid w:val="00D56DD5"/>
    <w:rsid w:val="00D5725B"/>
    <w:rsid w:val="00D5777C"/>
    <w:rsid w:val="00D7689F"/>
    <w:rsid w:val="00D80EB5"/>
    <w:rsid w:val="00DA4FCE"/>
    <w:rsid w:val="00DB03D5"/>
    <w:rsid w:val="00DD1463"/>
    <w:rsid w:val="00DD5878"/>
    <w:rsid w:val="00E140EE"/>
    <w:rsid w:val="00E237E2"/>
    <w:rsid w:val="00E352E2"/>
    <w:rsid w:val="00E358B1"/>
    <w:rsid w:val="00E44E2D"/>
    <w:rsid w:val="00E468A4"/>
    <w:rsid w:val="00E52196"/>
    <w:rsid w:val="00E538B4"/>
    <w:rsid w:val="00E565CC"/>
    <w:rsid w:val="00E626DD"/>
    <w:rsid w:val="00E84D36"/>
    <w:rsid w:val="00E9646F"/>
    <w:rsid w:val="00EA060B"/>
    <w:rsid w:val="00EA1686"/>
    <w:rsid w:val="00EA5848"/>
    <w:rsid w:val="00EB202F"/>
    <w:rsid w:val="00EC30C8"/>
    <w:rsid w:val="00EC4B1E"/>
    <w:rsid w:val="00ED00B1"/>
    <w:rsid w:val="00EE09F0"/>
    <w:rsid w:val="00EF465E"/>
    <w:rsid w:val="00F06EBE"/>
    <w:rsid w:val="00F1750F"/>
    <w:rsid w:val="00F256E4"/>
    <w:rsid w:val="00F26B1B"/>
    <w:rsid w:val="00F365B2"/>
    <w:rsid w:val="00F53623"/>
    <w:rsid w:val="00F96DF9"/>
    <w:rsid w:val="00FA14F8"/>
    <w:rsid w:val="00FA23D3"/>
    <w:rsid w:val="00FA6BE9"/>
    <w:rsid w:val="00FB53DF"/>
    <w:rsid w:val="00FC3BC6"/>
    <w:rsid w:val="00FD0C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F1BFF"/>
  <w15:docId w15:val="{184F7C39-4F3A-4803-9069-6D6B1B22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Reasons">
    <w:name w:val="Reasons"/>
    <w:basedOn w:val="Normal"/>
    <w:qFormat/>
    <w:rsid w:val="00E52196"/>
    <w:pPr>
      <w:tabs>
        <w:tab w:val="clear" w:pos="1134"/>
        <w:tab w:val="clear" w:pos="1871"/>
        <w:tab w:val="clear" w:pos="2268"/>
      </w:tabs>
      <w:overflowPunct/>
      <w:autoSpaceDE/>
      <w:autoSpaceDN/>
      <w:adjustRightInd/>
      <w:spacing w:before="0"/>
      <w:jc w:val="left"/>
      <w:textAlignment w:val="auto"/>
    </w:pPr>
    <w:rPr>
      <w:lang w:val="en-US"/>
    </w:rPr>
  </w:style>
  <w:style w:type="character" w:customStyle="1" w:styleId="FootnoteTextChar">
    <w:name w:val="Footnote Text Char"/>
    <w:aliases w:val="footnote text Char"/>
    <w:basedOn w:val="DefaultParagraphFont"/>
    <w:link w:val="FootnoteText"/>
    <w:rsid w:val="00E52196"/>
    <w:rPr>
      <w:lang w:val="en-GB" w:eastAsia="en-US"/>
    </w:rPr>
  </w:style>
  <w:style w:type="paragraph" w:styleId="BalloonText">
    <w:name w:val="Balloon Text"/>
    <w:basedOn w:val="Normal"/>
    <w:link w:val="BalloonTextChar"/>
    <w:rsid w:val="00E52196"/>
    <w:pPr>
      <w:spacing w:before="0"/>
    </w:pPr>
    <w:rPr>
      <w:rFonts w:ascii="Tahoma" w:hAnsi="Tahoma" w:cs="Tahoma"/>
      <w:sz w:val="16"/>
      <w:szCs w:val="16"/>
    </w:rPr>
  </w:style>
  <w:style w:type="character" w:customStyle="1" w:styleId="BalloonTextChar">
    <w:name w:val="Balloon Text Char"/>
    <w:basedOn w:val="DefaultParagraphFont"/>
    <w:link w:val="BalloonText"/>
    <w:rsid w:val="00E52196"/>
    <w:rPr>
      <w:rFonts w:ascii="Tahoma" w:hAnsi="Tahoma" w:cs="Tahoma"/>
      <w:sz w:val="16"/>
      <w:szCs w:val="16"/>
      <w:lang w:val="en-GB" w:eastAsia="en-US"/>
    </w:rPr>
  </w:style>
  <w:style w:type="character" w:customStyle="1" w:styleId="TabletextChar">
    <w:name w:val="Table_text Char"/>
    <w:basedOn w:val="DefaultParagraphFont"/>
    <w:link w:val="Tabletext0"/>
    <w:locked/>
    <w:rsid w:val="00947A2E"/>
    <w:rPr>
      <w:sz w:val="22"/>
      <w:lang w:val="fr-FR" w:eastAsia="en-US"/>
    </w:rPr>
  </w:style>
  <w:style w:type="character" w:customStyle="1" w:styleId="enumlev1Char">
    <w:name w:val="enumlev1 Char"/>
    <w:basedOn w:val="DefaultParagraphFont"/>
    <w:link w:val="enumlev1"/>
    <w:rsid w:val="00A02A63"/>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558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A331E-458E-4200-9835-B85218E2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1059</TotalTime>
  <Pages>30</Pages>
  <Words>10127</Words>
  <Characters>57724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11.02.2009/DD (dict. ok)</dc:description>
  <cp:lastModifiedBy>Catalano Moreira, Rossana</cp:lastModifiedBy>
  <cp:revision>166</cp:revision>
  <cp:lastPrinted>2020-12-21T08:04:00Z</cp:lastPrinted>
  <dcterms:created xsi:type="dcterms:W3CDTF">2012-10-02T09:41:00Z</dcterms:created>
  <dcterms:modified xsi:type="dcterms:W3CDTF">2021-10-27T08:39:00Z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