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01C18" w14:textId="77777777" w:rsidR="006E74A9" w:rsidRPr="006456E2" w:rsidRDefault="006E74A9" w:rsidP="00A7700C">
      <w:pPr>
        <w:pStyle w:val="Heading1"/>
        <w:spacing w:before="300"/>
        <w:jc w:val="center"/>
        <w:rPr>
          <w:lang w:val="es-ES_tradnl"/>
        </w:rPr>
      </w:pPr>
      <w:r w:rsidRPr="006456E2">
        <w:rPr>
          <w:lang w:val="es-ES_tradnl"/>
        </w:rPr>
        <w:t>Reglas relativas al</w:t>
      </w:r>
    </w:p>
    <w:p w14:paraId="4BB29438" w14:textId="77777777" w:rsidR="006E74A9" w:rsidRPr="006456E2" w:rsidRDefault="006E74A9" w:rsidP="006E74A9">
      <w:pPr>
        <w:pStyle w:val="Heading2"/>
        <w:tabs>
          <w:tab w:val="left" w:pos="2835"/>
        </w:tabs>
        <w:jc w:val="center"/>
        <w:rPr>
          <w:lang w:val="es-ES_tradnl"/>
        </w:rPr>
      </w:pPr>
      <w:r w:rsidRPr="006456E2">
        <w:rPr>
          <w:lang w:val="es-ES_tradnl"/>
        </w:rPr>
        <w:t xml:space="preserve">ARTÍCULO </w:t>
      </w:r>
      <w:r w:rsidR="00A7700C" w:rsidRPr="006456E2">
        <w:rPr>
          <w:lang w:val="es-ES_tradnl"/>
        </w:rPr>
        <w:t xml:space="preserve"> </w:t>
      </w:r>
      <w:r w:rsidRPr="006456E2">
        <w:rPr>
          <w:lang w:val="es-ES_tradnl"/>
        </w:rPr>
        <w:t>4 del RR</w:t>
      </w:r>
    </w:p>
    <w:p w14:paraId="1CECF778" w14:textId="77777777" w:rsidR="00647E55" w:rsidRPr="006456E2" w:rsidRDefault="00647E55">
      <w:pPr>
        <w:pStyle w:val="Heading8"/>
        <w:spacing w:before="600"/>
        <w:rPr>
          <w:lang w:val="es-ES_tradnl"/>
        </w:rPr>
      </w:pPr>
      <w:r w:rsidRPr="006456E2">
        <w:rPr>
          <w:rStyle w:val="href2"/>
          <w:lang w:val="es-ES_tradnl"/>
        </w:rPr>
        <w:t>4</w:t>
      </w:r>
      <w:r w:rsidRPr="006456E2">
        <w:rPr>
          <w:lang w:val="es-ES_tradnl"/>
        </w:rPr>
        <w:t>.4</w:t>
      </w:r>
    </w:p>
    <w:p w14:paraId="49DE893D" w14:textId="11A31D07" w:rsidR="00405C11" w:rsidRPr="0031795F" w:rsidRDefault="00405C11" w:rsidP="00405C11">
      <w:pPr>
        <w:pStyle w:val="Heading1"/>
        <w:spacing w:before="240"/>
        <w:rPr>
          <w:lang w:val="es-ES_tradnl"/>
        </w:rPr>
      </w:pPr>
      <w:r w:rsidRPr="006456E2">
        <w:rPr>
          <w:lang w:val="es-ES_tradnl"/>
        </w:rPr>
        <w:t>1</w:t>
      </w:r>
      <w:r w:rsidRPr="006456E2">
        <w:rPr>
          <w:lang w:val="es-ES_tradnl"/>
        </w:rPr>
        <w:tab/>
      </w:r>
      <w:proofErr w:type="gramStart"/>
      <w:r w:rsidRPr="006456E2">
        <w:rPr>
          <w:lang w:val="es-ES_tradnl"/>
        </w:rPr>
        <w:t>Utilización</w:t>
      </w:r>
      <w:proofErr w:type="gramEnd"/>
      <w:r w:rsidRPr="006456E2">
        <w:rPr>
          <w:lang w:val="es-ES_tradnl"/>
        </w:rPr>
        <w:t xml:space="preserve"> de una frecuencia conforme al número 4.4</w:t>
      </w:r>
    </w:p>
    <w:p w14:paraId="7943D068"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1.1</w:t>
      </w:r>
      <w:r w:rsidRPr="00666D7C">
        <w:rPr>
          <w:rFonts w:asciiTheme="majorBidi" w:hAnsiTheme="majorBidi" w:cstheme="majorBidi"/>
          <w:lang w:val="es-ES"/>
        </w:rPr>
        <w:tab/>
        <w:t xml:space="preserve">Con arreglo a esta disposición, </w:t>
      </w:r>
      <w:r w:rsidRPr="00B129AD">
        <w:rPr>
          <w:rFonts w:asciiTheme="majorBidi" w:hAnsiTheme="majorBidi" w:cstheme="majorBidi"/>
          <w:i/>
          <w:iCs/>
          <w:lang w:val="es-ES"/>
        </w:rPr>
        <w:t>«las administraciones de los Estados Miembros no asignarán a una estación frecuencia alguna que no se ajuste al Cuadro de atribución de bandas de frecuencias incluido en este capítulo, o a las demás disposiciones del presente Reglamento, excepto en el caso de que tal estación, al utilizar dicha asignación de frecuencia, no produzca interferencia perjudicial a una estación que funcione de acuerdo con las disposiciones de la Constitución, del Convenio y del presente Reglamento, ni reclame protección contra la interferencia perjudicial causada por dicha estación»</w:t>
      </w:r>
      <w:r w:rsidRPr="00666D7C">
        <w:rPr>
          <w:rFonts w:asciiTheme="majorBidi" w:hAnsiTheme="majorBidi" w:cstheme="majorBidi"/>
          <w:lang w:val="es-ES"/>
        </w:rPr>
        <w:t>.</w:t>
      </w:r>
    </w:p>
    <w:p w14:paraId="399F3186"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1.2</w:t>
      </w:r>
      <w:r w:rsidRPr="00666D7C">
        <w:rPr>
          <w:rFonts w:asciiTheme="majorBidi" w:hAnsiTheme="majorBidi" w:cstheme="majorBidi"/>
          <w:lang w:val="es-ES"/>
        </w:rPr>
        <w:tab/>
        <w:t xml:space="preserve">El ámbito de aplicación de lo que cabe entender por </w:t>
      </w:r>
      <w:r w:rsidRPr="006D7D77">
        <w:rPr>
          <w:rFonts w:asciiTheme="majorBidi" w:hAnsiTheme="majorBidi" w:cstheme="majorBidi"/>
          <w:i/>
          <w:iCs/>
          <w:lang w:val="es-ES"/>
        </w:rPr>
        <w:t xml:space="preserve">«sin ajustarse al Cuadro de atribución de bandas de frecuencias o a las demás disposiciones del Reglamento de Radiocomunicaciones» </w:t>
      </w:r>
      <w:r w:rsidRPr="006D7D77">
        <w:rPr>
          <w:rFonts w:asciiTheme="majorBidi" w:hAnsiTheme="majorBidi" w:cstheme="majorBidi"/>
          <w:lang w:val="es-ES"/>
        </w:rPr>
        <w:t xml:space="preserve">se especifica en el número </w:t>
      </w:r>
      <w:r w:rsidRPr="006D7D77">
        <w:rPr>
          <w:rFonts w:asciiTheme="majorBidi" w:hAnsiTheme="majorBidi" w:cstheme="majorBidi"/>
          <w:b/>
          <w:bCs/>
          <w:lang w:val="es-ES"/>
        </w:rPr>
        <w:t>8.4</w:t>
      </w:r>
      <w:r w:rsidRPr="006D7D77">
        <w:rPr>
          <w:rFonts w:asciiTheme="majorBidi" w:hAnsiTheme="majorBidi" w:cstheme="majorBidi"/>
          <w:lang w:val="es-ES"/>
        </w:rPr>
        <w:t xml:space="preserve">, en el que se indica </w:t>
      </w:r>
      <w:r w:rsidRPr="006D7D77">
        <w:rPr>
          <w:rFonts w:asciiTheme="majorBidi" w:hAnsiTheme="majorBidi" w:cstheme="majorBidi"/>
          <w:szCs w:val="24"/>
          <w:lang w:val="es-ES"/>
        </w:rPr>
        <w:t>que los términos de</w:t>
      </w:r>
      <w:r w:rsidRPr="006D7D77">
        <w:rPr>
          <w:rFonts w:asciiTheme="majorBidi" w:hAnsiTheme="majorBidi" w:cstheme="majorBidi"/>
          <w:i/>
          <w:iCs/>
          <w:szCs w:val="24"/>
          <w:lang w:val="es-ES"/>
        </w:rPr>
        <w:t xml:space="preserve"> </w:t>
      </w:r>
      <w:r w:rsidRPr="006D7D77">
        <w:rPr>
          <w:rFonts w:asciiTheme="majorBidi" w:hAnsiTheme="majorBidi" w:cstheme="majorBidi"/>
          <w:i/>
          <w:iCs/>
          <w:lang w:val="es-ES"/>
        </w:rPr>
        <w:t>«</w:t>
      </w:r>
      <w:r w:rsidRPr="006D7D77">
        <w:rPr>
          <w:rFonts w:asciiTheme="majorBidi" w:hAnsiTheme="majorBidi" w:cstheme="majorBidi"/>
          <w:i/>
          <w:iCs/>
          <w:szCs w:val="24"/>
          <w:lang w:val="es-ES"/>
        </w:rPr>
        <w:t>las demás disposiciones</w:t>
      </w:r>
      <w:r w:rsidRPr="006D7D77">
        <w:rPr>
          <w:rFonts w:asciiTheme="majorBidi" w:hAnsiTheme="majorBidi" w:cstheme="majorBidi"/>
          <w:i/>
          <w:iCs/>
          <w:lang w:val="es-ES"/>
        </w:rPr>
        <w:t>»</w:t>
      </w:r>
      <w:r w:rsidRPr="00666D7C">
        <w:rPr>
          <w:rFonts w:asciiTheme="majorBidi" w:hAnsiTheme="majorBidi" w:cstheme="majorBidi"/>
          <w:szCs w:val="24"/>
          <w:lang w:val="es-ES"/>
        </w:rPr>
        <w:t xml:space="preserve"> se identificarán e incluirán en una Regla de Procedimiento. Las actuales Reglas de Procedimiento relativas al número </w:t>
      </w:r>
      <w:r w:rsidRPr="00666D7C">
        <w:rPr>
          <w:rFonts w:asciiTheme="majorBidi" w:hAnsiTheme="majorBidi" w:cstheme="majorBidi"/>
          <w:b/>
          <w:bCs/>
          <w:szCs w:val="24"/>
          <w:lang w:val="es-ES"/>
        </w:rPr>
        <w:t>11.31</w:t>
      </w:r>
      <w:r w:rsidRPr="00666D7C">
        <w:rPr>
          <w:rFonts w:asciiTheme="majorBidi" w:hAnsiTheme="majorBidi" w:cstheme="majorBidi"/>
          <w:szCs w:val="24"/>
          <w:lang w:val="es-ES"/>
        </w:rPr>
        <w:t xml:space="preserve"> contienen una lista exhaustiva de estas </w:t>
      </w:r>
      <w:r w:rsidRPr="006D7D77">
        <w:rPr>
          <w:rFonts w:asciiTheme="majorBidi" w:hAnsiTheme="majorBidi" w:cstheme="majorBidi"/>
          <w:i/>
          <w:iCs/>
          <w:lang w:val="es-ES"/>
        </w:rPr>
        <w:t>«</w:t>
      </w:r>
      <w:r w:rsidRPr="006D7D77">
        <w:rPr>
          <w:rFonts w:asciiTheme="majorBidi" w:hAnsiTheme="majorBidi" w:cstheme="majorBidi"/>
          <w:i/>
          <w:iCs/>
          <w:szCs w:val="24"/>
          <w:lang w:val="es-ES"/>
        </w:rPr>
        <w:t>otras disposiciones</w:t>
      </w:r>
      <w:r w:rsidRPr="006D7D77">
        <w:rPr>
          <w:rFonts w:asciiTheme="majorBidi" w:hAnsiTheme="majorBidi" w:cstheme="majorBidi"/>
          <w:i/>
          <w:iCs/>
          <w:lang w:val="es-ES"/>
        </w:rPr>
        <w:t>»</w:t>
      </w:r>
      <w:r w:rsidRPr="00666D7C">
        <w:rPr>
          <w:rFonts w:asciiTheme="majorBidi" w:hAnsiTheme="majorBidi" w:cstheme="majorBidi"/>
          <w:szCs w:val="24"/>
          <w:lang w:val="es-ES"/>
        </w:rPr>
        <w:t>.</w:t>
      </w:r>
    </w:p>
    <w:p w14:paraId="2B3BB261" w14:textId="13CDFB45"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1.3</w:t>
      </w:r>
      <w:r w:rsidRPr="00666D7C">
        <w:rPr>
          <w:rFonts w:asciiTheme="majorBidi" w:hAnsiTheme="majorBidi" w:cstheme="majorBidi"/>
          <w:lang w:val="es-ES"/>
        </w:rPr>
        <w:tab/>
        <w:t>Por consiguiente, el ámbito de aplicación del número</w:t>
      </w:r>
      <w:r w:rsidR="0064260C">
        <w:rPr>
          <w:rFonts w:asciiTheme="majorBidi" w:hAnsiTheme="majorBidi" w:cstheme="majorBidi"/>
          <w:lang w:val="es-ES"/>
        </w:rPr>
        <w:t> </w:t>
      </w:r>
      <w:r w:rsidRPr="00666D7C">
        <w:rPr>
          <w:rFonts w:asciiTheme="majorBidi" w:hAnsiTheme="majorBidi" w:cstheme="majorBidi"/>
          <w:b/>
          <w:bCs/>
          <w:lang w:val="es-ES"/>
        </w:rPr>
        <w:t>4.4</w:t>
      </w:r>
      <w:r w:rsidRPr="00666D7C">
        <w:rPr>
          <w:rFonts w:asciiTheme="majorBidi" w:hAnsiTheme="majorBidi" w:cstheme="majorBidi"/>
          <w:lang w:val="es-ES"/>
        </w:rPr>
        <w:t xml:space="preserve"> se limita a las derogaciones del Cuadro de atribución de bandas de frecuencias y de las disposiciones enumeradas en las Reglas de Procedimiento relativas al número </w:t>
      </w:r>
      <w:r w:rsidRPr="00666D7C">
        <w:rPr>
          <w:rFonts w:asciiTheme="majorBidi" w:hAnsiTheme="majorBidi" w:cstheme="majorBidi"/>
          <w:b/>
          <w:bCs/>
          <w:lang w:val="es-ES"/>
        </w:rPr>
        <w:t>11.31</w:t>
      </w:r>
      <w:r w:rsidRPr="00666D7C">
        <w:rPr>
          <w:rFonts w:asciiTheme="majorBidi" w:hAnsiTheme="majorBidi" w:cstheme="majorBidi"/>
          <w:bCs/>
          <w:lang w:val="es-ES"/>
        </w:rPr>
        <w:t xml:space="preserve"> con respecto a </w:t>
      </w:r>
      <w:r w:rsidRPr="00981145">
        <w:rPr>
          <w:rFonts w:asciiTheme="majorBidi" w:hAnsiTheme="majorBidi" w:cstheme="majorBidi"/>
          <w:bCs/>
          <w:i/>
          <w:iCs/>
          <w:lang w:val="es-ES"/>
        </w:rPr>
        <w:t>«otras disposiciones»</w:t>
      </w:r>
      <w:r w:rsidRPr="00666D7C">
        <w:rPr>
          <w:rFonts w:asciiTheme="majorBidi" w:hAnsiTheme="majorBidi" w:cstheme="majorBidi"/>
          <w:lang w:val="es-ES"/>
        </w:rPr>
        <w:t xml:space="preserve">. En particular, las administraciones que tengan previsto autorizar la utilización del espectro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siguen teniendo la obligación, en virtud de las Secciones I y II del Artículo </w:t>
      </w:r>
      <w:r w:rsidRPr="00666D7C">
        <w:rPr>
          <w:rFonts w:asciiTheme="majorBidi" w:hAnsiTheme="majorBidi" w:cstheme="majorBidi"/>
          <w:b/>
          <w:lang w:val="es-ES"/>
        </w:rPr>
        <w:t>9</w:t>
      </w:r>
      <w:r w:rsidRPr="00666D7C">
        <w:rPr>
          <w:rFonts w:asciiTheme="majorBidi" w:hAnsiTheme="majorBidi" w:cstheme="majorBidi"/>
          <w:lang w:val="es-ES"/>
        </w:rPr>
        <w:t xml:space="preserve">, números </w:t>
      </w:r>
      <w:r w:rsidRPr="00666D7C">
        <w:rPr>
          <w:rFonts w:asciiTheme="majorBidi" w:hAnsiTheme="majorBidi" w:cstheme="majorBidi"/>
          <w:b/>
          <w:bCs/>
          <w:lang w:val="es-ES"/>
        </w:rPr>
        <w:t>11.2</w:t>
      </w:r>
      <w:r w:rsidRPr="00666D7C">
        <w:rPr>
          <w:rFonts w:asciiTheme="majorBidi" w:hAnsiTheme="majorBidi" w:cstheme="majorBidi"/>
          <w:lang w:val="es-ES"/>
        </w:rPr>
        <w:t xml:space="preserve"> y </w:t>
      </w:r>
      <w:r w:rsidRPr="00666D7C">
        <w:rPr>
          <w:rFonts w:asciiTheme="majorBidi" w:hAnsiTheme="majorBidi" w:cstheme="majorBidi"/>
          <w:b/>
          <w:bCs/>
          <w:lang w:val="es-ES"/>
        </w:rPr>
        <w:t>11.3</w:t>
      </w:r>
      <w:r w:rsidRPr="00666D7C">
        <w:rPr>
          <w:rFonts w:asciiTheme="majorBidi" w:hAnsiTheme="majorBidi" w:cstheme="majorBidi"/>
          <w:lang w:val="es-ES"/>
        </w:rPr>
        <w:t xml:space="preserve">, de notificar a la Oficina </w:t>
      </w:r>
      <w:r w:rsidRPr="00981145">
        <w:rPr>
          <w:rFonts w:asciiTheme="majorBidi" w:hAnsiTheme="majorBidi" w:cstheme="majorBidi"/>
          <w:i/>
          <w:iCs/>
          <w:lang w:val="es-ES"/>
        </w:rPr>
        <w:t>«toda asignación de frecuencia cuya utilización</w:t>
      </w:r>
      <w:r w:rsidRPr="00981145">
        <w:rPr>
          <w:rFonts w:asciiTheme="majorBidi" w:eastAsiaTheme="minorHAnsi" w:hAnsiTheme="majorBidi" w:cstheme="majorBidi"/>
          <w:i/>
          <w:iCs/>
          <w:color w:val="000000"/>
          <w:lang w:val="es-ES"/>
        </w:rPr>
        <w:t xml:space="preserve"> pudiera causar interferencia perjudicial a cualquier servicio de otra administración</w:t>
      </w:r>
      <w:r w:rsidRPr="00981145">
        <w:rPr>
          <w:rFonts w:asciiTheme="majorBidi" w:hAnsiTheme="majorBidi" w:cstheme="majorBidi"/>
          <w:i/>
          <w:iCs/>
          <w:lang w:val="es-ES"/>
        </w:rPr>
        <w:t>»</w:t>
      </w:r>
      <w:r w:rsidRPr="00666D7C">
        <w:rPr>
          <w:rFonts w:asciiTheme="majorBidi" w:eastAsiaTheme="minorHAnsi" w:hAnsiTheme="majorBidi" w:cstheme="majorBidi"/>
          <w:color w:val="000000"/>
          <w:lang w:val="es-ES"/>
        </w:rPr>
        <w:t xml:space="preserve">. </w:t>
      </w:r>
    </w:p>
    <w:p w14:paraId="2C36FEC4" w14:textId="167CEB04" w:rsidR="00C41CA4" w:rsidRPr="00C41CA4" w:rsidRDefault="00C41CA4" w:rsidP="00C41CA4">
      <w:pPr>
        <w:rPr>
          <w:rFonts w:asciiTheme="minorHAnsi" w:hAnsiTheme="minorHAnsi" w:cstheme="minorHAnsi"/>
          <w:lang w:val="es-ES"/>
        </w:rPr>
      </w:pPr>
      <w:r w:rsidRPr="00666D7C">
        <w:rPr>
          <w:rFonts w:asciiTheme="majorBidi" w:hAnsiTheme="majorBidi" w:cstheme="majorBidi"/>
          <w:lang w:val="es-ES"/>
        </w:rPr>
        <w:t>1.4</w:t>
      </w:r>
      <w:r w:rsidRPr="00666D7C">
        <w:rPr>
          <w:rFonts w:asciiTheme="majorBidi" w:hAnsiTheme="majorBidi" w:cstheme="majorBidi"/>
          <w:lang w:val="es-ES"/>
        </w:rPr>
        <w:tab/>
        <w:t xml:space="preserve">Cabe deducir asimismo de los números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11.36</w:t>
      </w:r>
      <w:r w:rsidRPr="00666D7C">
        <w:rPr>
          <w:rFonts w:asciiTheme="majorBidi" w:hAnsiTheme="majorBidi" w:cstheme="majorBidi"/>
          <w:lang w:val="es-ES"/>
        </w:rPr>
        <w:t xml:space="preserve"> que la inscripción de una asignación con una referencia al número</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incluye el compromiso de la administración notificante de eliminar inmediatamente toda interferencia perjudicial que se cause a otras asignaciones de frecuencia conformes al Reglamento de Radiocomunicaciones en cuanto reciba la correspondiente indicación. Esta limi</w:t>
      </w:r>
      <w:r w:rsidRPr="00666D7C">
        <w:rPr>
          <w:rFonts w:asciiTheme="majorBidi" w:hAnsiTheme="majorBidi" w:cstheme="majorBidi"/>
          <w:lang w:val="es-ES"/>
        </w:rPr>
        <w:softHyphen/>
        <w:t xml:space="preserve">tación del uso de una asignación notificada con una referencia al número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es únicamente válida cuando las dos categorías de asignaciones detalladas en el número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están en servicio.</w:t>
      </w:r>
    </w:p>
    <w:p w14:paraId="54D882A3" w14:textId="77777777"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14:paraId="11189477" w14:textId="77777777" w:rsidR="00C41CA4" w:rsidRPr="00666D7C" w:rsidRDefault="00C41CA4" w:rsidP="00C41CA4">
      <w:pPr>
        <w:rPr>
          <w:rFonts w:asciiTheme="majorBidi" w:eastAsiaTheme="minorHAnsi" w:hAnsiTheme="majorBidi" w:cstheme="majorBidi"/>
          <w:lang w:val="es-ES"/>
        </w:rPr>
      </w:pPr>
      <w:r w:rsidRPr="00666D7C">
        <w:rPr>
          <w:rFonts w:asciiTheme="majorBidi" w:hAnsiTheme="majorBidi" w:cstheme="majorBidi"/>
          <w:lang w:val="es-ES"/>
        </w:rPr>
        <w:lastRenderedPageBreak/>
        <w:t>1.5</w:t>
      </w:r>
      <w:r w:rsidRPr="00666D7C">
        <w:rPr>
          <w:rFonts w:asciiTheme="majorBidi" w:hAnsiTheme="majorBidi" w:cstheme="majorBidi"/>
          <w:lang w:val="es-ES"/>
        </w:rPr>
        <w:tab/>
      </w:r>
      <w:r w:rsidRPr="00666D7C">
        <w:rPr>
          <w:rFonts w:asciiTheme="majorBidi" w:eastAsiaTheme="minorHAnsi" w:hAnsiTheme="majorBidi" w:cstheme="majorBidi"/>
          <w:lang w:val="es-ES"/>
        </w:rPr>
        <w:t xml:space="preserve">La Junta estima que la determinación de si una asignación de frecuencia a una estación transmisora puede o no causar interferencia perjudicial a las estaciones de otras administraciones que funcionan de acuerdo con el Reglamento de Radiocomunicaciones no incumbe exclusivamente a la administración que explota la estación transmisora que puede ser causante de la interferencia, y otras administraciones deben disponer de información sobre una utilización con arreglo al número </w:t>
      </w:r>
      <w:r w:rsidRPr="00666D7C">
        <w:rPr>
          <w:rFonts w:asciiTheme="majorBidi" w:eastAsiaTheme="minorHAnsi" w:hAnsiTheme="majorBidi" w:cstheme="majorBidi"/>
          <w:b/>
          <w:bCs/>
          <w:lang w:val="es-ES"/>
        </w:rPr>
        <w:t xml:space="preserve">4.4 </w:t>
      </w:r>
      <w:r w:rsidRPr="00666D7C">
        <w:rPr>
          <w:rFonts w:asciiTheme="majorBidi" w:eastAsiaTheme="minorHAnsi" w:hAnsiTheme="majorBidi" w:cstheme="majorBidi"/>
          <w:lang w:val="es-ES"/>
        </w:rPr>
        <w:t>a fin de evaluar la posibilidad que tiene de causar interferencia o identificar la fuente de la interferencia perjudicial. Por ese motivo, una administración que tenga previsto poner en servicio una asignación de frecuencias para una estación transmisora con arreglo al número </w:t>
      </w:r>
      <w:r w:rsidRPr="00666D7C">
        <w:rPr>
          <w:rFonts w:asciiTheme="majorBidi" w:eastAsiaTheme="minorHAnsi" w:hAnsiTheme="majorBidi" w:cstheme="majorBidi"/>
          <w:b/>
          <w:bCs/>
          <w:lang w:val="es-ES"/>
        </w:rPr>
        <w:t>4.4</w:t>
      </w:r>
      <w:r w:rsidRPr="00666D7C">
        <w:rPr>
          <w:rFonts w:asciiTheme="majorBidi" w:eastAsiaTheme="minorHAnsi" w:hAnsiTheme="majorBidi" w:cstheme="majorBidi"/>
          <w:lang w:val="es-ES"/>
        </w:rPr>
        <w:t xml:space="preserve"> tendrá que notificar esa asignación de frecuencias a la Oficina, de conformidad con el Artículo </w:t>
      </w:r>
      <w:r w:rsidRPr="00666D7C">
        <w:rPr>
          <w:rFonts w:asciiTheme="majorBidi" w:eastAsiaTheme="minorHAnsi" w:hAnsiTheme="majorBidi" w:cstheme="majorBidi"/>
          <w:b/>
          <w:lang w:val="es-ES"/>
        </w:rPr>
        <w:t>11</w:t>
      </w:r>
      <w:r w:rsidRPr="00666D7C">
        <w:rPr>
          <w:rStyle w:val="FootnoteReference"/>
          <w:rFonts w:asciiTheme="majorBidi" w:hAnsiTheme="majorBidi" w:cstheme="majorBidi"/>
          <w:lang w:val="es-ES"/>
        </w:rPr>
        <w:footnoteReference w:id="1"/>
      </w:r>
      <w:r w:rsidRPr="00666D7C">
        <w:rPr>
          <w:rFonts w:asciiTheme="majorBidi" w:eastAsiaTheme="minorHAnsi" w:hAnsiTheme="majorBidi" w:cstheme="majorBidi"/>
          <w:lang w:val="es-ES"/>
        </w:rPr>
        <w:t xml:space="preserve">, si es posible antes de ponerla en servicio. En el caso de los servicios espaciales, implica la aplicación previa de las disposiciones pertinentes del Artículo </w:t>
      </w:r>
      <w:r w:rsidRPr="00666D7C">
        <w:rPr>
          <w:rFonts w:asciiTheme="majorBidi" w:eastAsiaTheme="minorHAnsi" w:hAnsiTheme="majorBidi" w:cstheme="majorBidi"/>
          <w:b/>
          <w:bCs/>
          <w:lang w:val="es-ES"/>
        </w:rPr>
        <w:t xml:space="preserve">9 </w:t>
      </w:r>
      <w:r w:rsidRPr="00666D7C">
        <w:rPr>
          <w:rFonts w:asciiTheme="majorBidi" w:eastAsiaTheme="minorHAnsi" w:hAnsiTheme="majorBidi" w:cstheme="majorBidi"/>
          <w:lang w:val="es-ES"/>
        </w:rPr>
        <w:t>(véase también el § 1.3 anterior)</w:t>
      </w:r>
      <w:r w:rsidRPr="00666D7C">
        <w:rPr>
          <w:rFonts w:asciiTheme="majorBidi" w:hAnsiTheme="majorBidi" w:cstheme="majorBidi"/>
          <w:lang w:val="es-ES"/>
        </w:rPr>
        <w:t>.</w:t>
      </w:r>
    </w:p>
    <w:p w14:paraId="77044642"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1.6</w:t>
      </w:r>
      <w:r w:rsidRPr="00666D7C">
        <w:rPr>
          <w:rFonts w:asciiTheme="majorBidi" w:hAnsiTheme="majorBidi" w:cstheme="majorBidi"/>
          <w:lang w:val="es-ES"/>
        </w:rPr>
        <w:tab/>
        <w:t xml:space="preserve">La Junta también llegó a la conclusión de que las administraciones, antes de poner en servicio cualquier asignación de frecuencias a estaciones transmisoras que funcionan con arreglo al número </w:t>
      </w:r>
      <w:r w:rsidRPr="00666D7C">
        <w:rPr>
          <w:rFonts w:asciiTheme="majorBidi" w:hAnsiTheme="majorBidi" w:cstheme="majorBidi"/>
          <w:b/>
          <w:bCs/>
          <w:lang w:val="es-ES"/>
        </w:rPr>
        <w:t>4.4</w:t>
      </w:r>
      <w:r w:rsidRPr="00666D7C">
        <w:rPr>
          <w:rFonts w:asciiTheme="majorBidi" w:hAnsiTheme="majorBidi" w:cstheme="majorBidi"/>
          <w:lang w:val="es-ES"/>
        </w:rPr>
        <w:t>, deben determinar:</w:t>
      </w:r>
    </w:p>
    <w:p w14:paraId="7A08588B" w14:textId="77777777"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lang w:val="es-ES"/>
        </w:rPr>
        <w:t>a)</w:t>
      </w:r>
      <w:r w:rsidRPr="00666D7C">
        <w:rPr>
          <w:rFonts w:asciiTheme="majorBidi" w:hAnsiTheme="majorBidi" w:cstheme="majorBidi"/>
          <w:lang w:val="es-ES"/>
        </w:rPr>
        <w:tab/>
        <w:t xml:space="preserve">que la utilización prevista de la asignación de frecuencia a la estación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no cause interferencia perjudicial a las estaciones de otras administraciones que funcionan de conformidad con lo estipulado en el Reglamento de Radiocomunicaciones;</w:t>
      </w:r>
    </w:p>
    <w:p w14:paraId="2D39D564" w14:textId="77777777"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color w:val="000000"/>
          <w:lang w:val="es-ES"/>
        </w:rPr>
        <w:t>b)</w:t>
      </w:r>
      <w:r w:rsidRPr="00666D7C">
        <w:rPr>
          <w:rFonts w:asciiTheme="majorBidi" w:hAnsiTheme="majorBidi" w:cstheme="majorBidi"/>
          <w:color w:val="000000"/>
          <w:lang w:val="es-ES"/>
        </w:rPr>
        <w:tab/>
        <w:t xml:space="preserve">qué medidas se habrán de tomar para cumplir la obligación de eliminar inmediatamente la interferencia perjudicial con arreglo al número </w:t>
      </w:r>
      <w:r w:rsidRPr="00666D7C">
        <w:rPr>
          <w:rFonts w:asciiTheme="majorBidi" w:hAnsiTheme="majorBidi" w:cstheme="majorBidi"/>
          <w:b/>
          <w:bCs/>
          <w:color w:val="000000"/>
          <w:lang w:val="es-ES"/>
        </w:rPr>
        <w:t>8.5</w:t>
      </w:r>
      <w:r w:rsidRPr="00666D7C">
        <w:rPr>
          <w:rFonts w:asciiTheme="majorBidi" w:hAnsiTheme="majorBidi" w:cstheme="majorBidi"/>
          <w:color w:val="000000"/>
          <w:lang w:val="es-ES"/>
        </w:rPr>
        <w:t>.</w:t>
      </w:r>
    </w:p>
    <w:p w14:paraId="1EBC31C6"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Cuando se notifique la utilización de asignaciones de frecuencias que funcionan con arreglo al número </w:t>
      </w:r>
      <w:r w:rsidRPr="00666D7C">
        <w:rPr>
          <w:rFonts w:asciiTheme="majorBidi" w:hAnsiTheme="majorBidi" w:cstheme="majorBidi"/>
          <w:b/>
          <w:lang w:val="es-ES"/>
        </w:rPr>
        <w:t>4.4</w:t>
      </w:r>
      <w:r w:rsidRPr="00666D7C">
        <w:rPr>
          <w:rFonts w:asciiTheme="majorBidi" w:hAnsiTheme="majorBidi" w:cstheme="majorBidi"/>
          <w:lang w:val="es-ES"/>
        </w:rPr>
        <w:t>, la Administración notificante debe proporcionar una confirmación de que ha determinado que estas asignaciones de frecuencias cumplen las condiciones indicadas anteriormente en el punto a) y de que ha identificado medidas para evitar interferencias perjudiciales y eliminarlas de inmediato en el caso de una denuncia.</w:t>
      </w:r>
    </w:p>
    <w:p w14:paraId="34CE479B" w14:textId="4A51B77F"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1.7</w:t>
      </w:r>
      <w:r w:rsidRPr="00666D7C">
        <w:rPr>
          <w:rFonts w:asciiTheme="majorBidi" w:hAnsiTheme="majorBidi" w:cstheme="majorBidi"/>
          <w:lang w:val="es-ES"/>
        </w:rPr>
        <w:tab/>
        <w:t>Teniendo en cuenta el número</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así como los números</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5.43</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5.43A</w:t>
      </w:r>
      <w:r w:rsidRPr="00666D7C">
        <w:rPr>
          <w:rFonts w:asciiTheme="majorBidi" w:hAnsiTheme="majorBidi" w:cstheme="majorBidi"/>
          <w:lang w:val="es-ES"/>
        </w:rPr>
        <w:t>, las asignaciones de frecuencias a estaciones receptoras no conformes al Reglamento de Radiocomunicaciones se inscriben con un símbolo indicativo de que la administración notificante no puede reclamar protección contra la interferencia perjudicial que puedan provocar asignaciones de frecuencia explotadas de conformidad con el Reglamento de Radiocomunicaciones.</w:t>
      </w:r>
    </w:p>
    <w:p w14:paraId="689DD481" w14:textId="77777777" w:rsidR="00405C11"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Véanse también las Reglas de Procedimiento relativas al número </w:t>
      </w:r>
      <w:r w:rsidRPr="00666D7C">
        <w:rPr>
          <w:rFonts w:asciiTheme="majorBidi" w:hAnsiTheme="majorBidi" w:cstheme="majorBidi"/>
          <w:b/>
          <w:lang w:val="es-ES"/>
        </w:rPr>
        <w:t>11.37</w:t>
      </w:r>
      <w:r w:rsidRPr="00666D7C">
        <w:rPr>
          <w:rFonts w:asciiTheme="majorBidi" w:hAnsiTheme="majorBidi" w:cstheme="majorBidi"/>
          <w:lang w:val="es-ES"/>
        </w:rPr>
        <w:t>.</w:t>
      </w:r>
    </w:p>
    <w:p w14:paraId="09EE58D8" w14:textId="77777777"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14:paraId="17D3133D" w14:textId="77777777" w:rsidR="00405C11" w:rsidRPr="006456E2" w:rsidRDefault="00405C11" w:rsidP="00405C11">
      <w:pPr>
        <w:pStyle w:val="Heading1"/>
        <w:rPr>
          <w:lang w:val="es-ES_tradnl"/>
        </w:rPr>
      </w:pPr>
      <w:r w:rsidRPr="006456E2">
        <w:rPr>
          <w:lang w:val="es-ES_tradnl"/>
        </w:rPr>
        <w:lastRenderedPageBreak/>
        <w:t>2</w:t>
      </w:r>
      <w:r w:rsidRPr="006456E2">
        <w:rPr>
          <w:lang w:val="es-ES_tradnl"/>
        </w:rPr>
        <w:tab/>
      </w:r>
      <w:proofErr w:type="gramStart"/>
      <w:r w:rsidRPr="006456E2">
        <w:rPr>
          <w:lang w:val="es-ES_tradnl"/>
        </w:rPr>
        <w:t>Emisiones</w:t>
      </w:r>
      <w:proofErr w:type="gramEnd"/>
      <w:r w:rsidRPr="006456E2">
        <w:rPr>
          <w:lang w:val="es-ES_tradnl"/>
        </w:rPr>
        <w:t xml:space="preserve"> en bandas donde están prohibidos los usos distintos de los autorizados</w:t>
      </w:r>
    </w:p>
    <w:p w14:paraId="1795CA8D" w14:textId="77777777" w:rsidR="00405C11" w:rsidRPr="006456E2" w:rsidRDefault="00405C11" w:rsidP="00405C11">
      <w:pPr>
        <w:rPr>
          <w:lang w:val="es-ES_tradnl"/>
        </w:rPr>
      </w:pPr>
      <w:r w:rsidRPr="006456E2">
        <w:rPr>
          <w:lang w:val="es-ES_tradnl"/>
        </w:rPr>
        <w:t>2.1</w:t>
      </w:r>
      <w:r w:rsidRPr="006456E2">
        <w:rPr>
          <w:lang w:val="es-ES_tradnl"/>
        </w:rPr>
        <w:tab/>
        <w:t>Las disposiciones indicadas a continuación que se refieren a frecuencias o bandas que se utilizan con fines de comunicaciones de socorro y seguridad o a utilización pasiva, prohíben todo otro uso.</w:t>
      </w:r>
    </w:p>
    <w:p w14:paraId="68885052" w14:textId="77777777" w:rsidR="00405C11" w:rsidRPr="006456E2" w:rsidRDefault="00405C11" w:rsidP="00405C11">
      <w:pPr>
        <w:pStyle w:val="enumlev1"/>
        <w:rPr>
          <w:lang w:val="es-ES_tradnl"/>
        </w:rPr>
      </w:pPr>
      <w:r w:rsidRPr="006456E2">
        <w:rPr>
          <w:i/>
          <w:lang w:val="es-ES_tradnl"/>
        </w:rPr>
        <w:t>a)</w:t>
      </w:r>
      <w:r w:rsidRPr="006456E2">
        <w:rPr>
          <w:lang w:val="es-ES_tradnl"/>
        </w:rPr>
        <w:tab/>
      </w:r>
      <w:r w:rsidRPr="006456E2">
        <w:rPr>
          <w:i/>
          <w:lang w:val="es-ES_tradnl"/>
        </w:rPr>
        <w:t>Disposiciones relativas a las comunicaciones de socorro y seguridad:</w:t>
      </w:r>
    </w:p>
    <w:p w14:paraId="507E5678" w14:textId="77777777" w:rsidR="00405C11" w:rsidRPr="006456E2" w:rsidRDefault="0081328A" w:rsidP="00A7700C">
      <w:pPr>
        <w:pStyle w:val="enumlev1"/>
        <w:rPr>
          <w:lang w:val="es-ES_tradnl"/>
        </w:rPr>
      </w:pPr>
      <w:r w:rsidRPr="006456E2">
        <w:rPr>
          <w:lang w:val="es-ES_tradnl"/>
        </w:rPr>
        <w:tab/>
      </w:r>
      <w:r w:rsidR="00405C11" w:rsidRPr="006456E2">
        <w:rPr>
          <w:lang w:val="es-ES_tradnl"/>
        </w:rPr>
        <w:t xml:space="preserve">Apéndice </w:t>
      </w:r>
      <w:r w:rsidR="00405C11" w:rsidRPr="006456E2">
        <w:rPr>
          <w:rStyle w:val="Appref"/>
          <w:b/>
          <w:color w:val="000000"/>
          <w:lang w:val="es-ES_tradnl"/>
        </w:rPr>
        <w:t>15</w:t>
      </w:r>
      <w:r w:rsidR="00405C11" w:rsidRPr="006456E2">
        <w:rPr>
          <w:lang w:val="es-ES_tradnl"/>
        </w:rPr>
        <w:t xml:space="preserve"> (SMSSM), Cuadros </w:t>
      </w:r>
      <w:r w:rsidR="00405C11" w:rsidRPr="006456E2">
        <w:rPr>
          <w:b/>
          <w:bCs/>
          <w:lang w:val="es-ES_tradnl"/>
        </w:rPr>
        <w:t>15-1</w:t>
      </w:r>
      <w:r w:rsidR="00405C11" w:rsidRPr="006456E2">
        <w:rPr>
          <w:lang w:val="es-ES_tradnl"/>
        </w:rPr>
        <w:t xml:space="preserve"> y </w:t>
      </w:r>
      <w:r w:rsidR="00405C11" w:rsidRPr="006456E2">
        <w:rPr>
          <w:b/>
          <w:bCs/>
          <w:lang w:val="es-ES_tradnl"/>
        </w:rPr>
        <w:t>15-2</w:t>
      </w:r>
      <w:r w:rsidR="00405C11" w:rsidRPr="006456E2">
        <w:rPr>
          <w:bCs/>
          <w:lang w:val="es-ES_tradnl"/>
        </w:rPr>
        <w:t>:</w:t>
      </w:r>
      <w:r w:rsidR="00405C11" w:rsidRPr="006456E2">
        <w:rPr>
          <w:lang w:val="es-ES_tradnl"/>
        </w:rPr>
        <w:t xml:space="preserve"> las frecuencias que llevan un asterisco</w:t>
      </w:r>
      <w:r w:rsidR="00E80B24">
        <w:rPr>
          <w:lang w:val="es-ES_tradnl"/>
        </w:rPr>
        <w:t xml:space="preserve"> </w:t>
      </w:r>
      <w:r w:rsidR="00A7700C" w:rsidRPr="006456E2">
        <w:rPr>
          <w:lang w:val="es-ES_tradnl"/>
        </w:rPr>
        <w:t>(*)</w:t>
      </w:r>
      <w:r w:rsidR="00405C11" w:rsidRPr="006456E2">
        <w:rPr>
          <w:lang w:val="es-ES_tradnl"/>
        </w:rPr>
        <w:t xml:space="preserve"> indican que queda prohibida toda emisión capaz de causar interferencia perjudicial a las comunicaciones de socorro y seguridad.</w:t>
      </w:r>
    </w:p>
    <w:p w14:paraId="19C81D07" w14:textId="77777777" w:rsidR="00405C11" w:rsidRPr="006456E2" w:rsidRDefault="00405C11" w:rsidP="00405C11">
      <w:pPr>
        <w:pStyle w:val="enumlev1"/>
        <w:rPr>
          <w:lang w:val="es-ES_tradnl"/>
        </w:rPr>
      </w:pPr>
      <w:r w:rsidRPr="006456E2">
        <w:rPr>
          <w:i/>
          <w:lang w:val="es-ES_tradnl"/>
        </w:rPr>
        <w:t>b)</w:t>
      </w:r>
      <w:r w:rsidRPr="006456E2">
        <w:rPr>
          <w:lang w:val="es-ES_tradnl"/>
        </w:rPr>
        <w:tab/>
      </w:r>
      <w:r w:rsidRPr="006456E2">
        <w:rPr>
          <w:i/>
          <w:lang w:val="es-ES_tradnl"/>
        </w:rPr>
        <w:t>Disposiciones relativas a la utilización pasiva:</w:t>
      </w:r>
    </w:p>
    <w:p w14:paraId="2D0E4A72" w14:textId="77777777" w:rsidR="009F622C" w:rsidRDefault="0081328A" w:rsidP="009F622C">
      <w:pPr>
        <w:pStyle w:val="enumlev2"/>
        <w:rPr>
          <w:lang w:val="es-ES_tradnl"/>
        </w:rPr>
      </w:pPr>
      <w:r w:rsidRPr="006456E2">
        <w:rPr>
          <w:lang w:val="es-ES_tradnl"/>
        </w:rPr>
        <w:t>N</w:t>
      </w:r>
      <w:r w:rsidR="00405C11" w:rsidRPr="006456E2">
        <w:rPr>
          <w:lang w:val="es-ES_tradnl"/>
        </w:rPr>
        <w:t xml:space="preserve">úmero </w:t>
      </w:r>
      <w:r w:rsidR="00405C11" w:rsidRPr="006456E2">
        <w:rPr>
          <w:rStyle w:val="Artref"/>
          <w:b/>
          <w:color w:val="000000"/>
          <w:lang w:val="es-ES_tradnl"/>
        </w:rPr>
        <w:t>5.340</w:t>
      </w:r>
      <w:r w:rsidR="00405C11" w:rsidRPr="006456E2">
        <w:rPr>
          <w:lang w:val="es-ES_tradnl"/>
        </w:rPr>
        <w:t>.</w:t>
      </w:r>
    </w:p>
    <w:p w14:paraId="184AB409" w14:textId="77777777" w:rsidR="00405C11" w:rsidRPr="006456E2" w:rsidRDefault="00405C11" w:rsidP="009F622C">
      <w:pPr>
        <w:rPr>
          <w:lang w:val="es-ES_tradnl"/>
        </w:rPr>
      </w:pPr>
      <w:r w:rsidRPr="006456E2">
        <w:rPr>
          <w:lang w:val="es-ES_tradnl"/>
        </w:rPr>
        <w:t>2.2</w:t>
      </w:r>
      <w:r w:rsidRPr="006456E2">
        <w:rPr>
          <w:lang w:val="es-ES_tradnl"/>
        </w:rPr>
        <w:tab/>
        <w:t xml:space="preserve">A la vista de esta prohibición, la Junta considera que una notificación relativa a cualquier otra utilización que las autorizadas en la banda o en las frecuencias en cuestión, no puede ser aceptada, incluso con una referencia al número </w:t>
      </w:r>
      <w:r w:rsidRPr="006456E2">
        <w:rPr>
          <w:rStyle w:val="Artref"/>
          <w:b/>
          <w:color w:val="000000"/>
          <w:lang w:val="es-ES_tradnl"/>
        </w:rPr>
        <w:t>4.4</w:t>
      </w:r>
      <w:r w:rsidRPr="006456E2">
        <w:rPr>
          <w:lang w:val="es-ES_tradnl"/>
        </w:rPr>
        <w:t>; además, se insta a la administración que presenta dicha notificación a evitar dicha utilización.</w:t>
      </w:r>
    </w:p>
    <w:p w14:paraId="04E96EBA" w14:textId="77777777" w:rsidR="00647E55" w:rsidRPr="006456E2" w:rsidRDefault="00647E55">
      <w:pPr>
        <w:pStyle w:val="Heading8"/>
        <w:rPr>
          <w:lang w:val="es-ES_tradnl"/>
        </w:rPr>
      </w:pPr>
      <w:r w:rsidRPr="006456E2">
        <w:rPr>
          <w:lang w:val="es-ES_tradnl"/>
        </w:rPr>
        <w:t>4.5</w:t>
      </w:r>
    </w:p>
    <w:p w14:paraId="0A49848E" w14:textId="77777777" w:rsidR="00405C11" w:rsidRPr="006456E2" w:rsidRDefault="00405C11" w:rsidP="00405C11">
      <w:pPr>
        <w:rPr>
          <w:lang w:val="es-ES_tradnl"/>
        </w:rPr>
      </w:pPr>
      <w:r w:rsidRPr="006456E2">
        <w:rPr>
          <w:lang w:val="es-ES_tradnl"/>
        </w:rPr>
        <w:t>1</w:t>
      </w:r>
      <w:r w:rsidRPr="006456E2">
        <w:rPr>
          <w:lang w:val="es-ES_tradnl"/>
        </w:rPr>
        <w:tab/>
      </w:r>
      <w:proofErr w:type="gramStart"/>
      <w:r w:rsidRPr="006456E2">
        <w:rPr>
          <w:lang w:val="es-ES_tradnl"/>
        </w:rPr>
        <w:t>Esta</w:t>
      </w:r>
      <w:proofErr w:type="gramEnd"/>
      <w:r w:rsidRPr="006456E2">
        <w:rPr>
          <w:lang w:val="es-ES_tradnl"/>
        </w:rPr>
        <w:t xml:space="preserve"> disposición se aplica al caso de una banda adyacente no atribuida a un servicio dado y también atribuida a dicho servicio con una categoría diferente.</w:t>
      </w:r>
    </w:p>
    <w:p w14:paraId="416EEACA" w14:textId="77777777" w:rsidR="00405C11" w:rsidRPr="006456E2" w:rsidRDefault="00405C11" w:rsidP="00405C11">
      <w:pPr>
        <w:rPr>
          <w:lang w:val="es-ES_tradnl"/>
        </w:rPr>
      </w:pPr>
      <w:r w:rsidRPr="006456E2">
        <w:rPr>
          <w:lang w:val="es-ES_tradnl"/>
        </w:rPr>
        <w:t>1.1</w:t>
      </w:r>
      <w:r w:rsidRPr="006456E2">
        <w:rPr>
          <w:lang w:val="es-ES_tradnl"/>
        </w:rPr>
        <w:tab/>
        <w:t>Una asignación de frecuencia cuya banda de frecuencias asignada se superponga a una banda no atribuida al servicio en cuestión será motivo de conclusión desfavorable según el número </w:t>
      </w:r>
      <w:r w:rsidRPr="006456E2">
        <w:rPr>
          <w:rStyle w:val="Artref"/>
          <w:b/>
          <w:color w:val="000000"/>
          <w:lang w:val="es-ES_tradnl"/>
        </w:rPr>
        <w:t>11.31</w:t>
      </w:r>
      <w:r w:rsidRPr="006456E2">
        <w:rPr>
          <w:lang w:val="es-ES_tradnl"/>
        </w:rPr>
        <w:t>.</w:t>
      </w:r>
    </w:p>
    <w:p w14:paraId="573231DB" w14:textId="77777777" w:rsidR="00405C11" w:rsidRPr="006456E2" w:rsidRDefault="00405C11" w:rsidP="00405C11">
      <w:pPr>
        <w:rPr>
          <w:lang w:val="es-ES_tradnl"/>
        </w:rPr>
      </w:pPr>
      <w:r w:rsidRPr="006456E2">
        <w:rPr>
          <w:lang w:val="es-ES_tradnl"/>
        </w:rPr>
        <w:t>1.2</w:t>
      </w:r>
      <w:r w:rsidRPr="006456E2">
        <w:rPr>
          <w:lang w:val="es-ES_tradnl"/>
        </w:rPr>
        <w:tab/>
        <w:t>Se considerará que una asignación de frecuencia cuya banda de frecuencias asignada se superponga a una banda atribuida con categoría inferior de servicio tiene la categoría de servicio inferior y, al inscribirla, llevará el símbolo correspondiente (véanse los símbolos R y S en el Cuadro 13B, columna 13B2, del Prefacio a la LIF).</w:t>
      </w:r>
    </w:p>
    <w:p w14:paraId="3BAF7CAB" w14:textId="77777777" w:rsidR="00405C11" w:rsidRPr="006456E2" w:rsidRDefault="00405C11" w:rsidP="00405C11">
      <w:pPr>
        <w:rPr>
          <w:lang w:val="es-ES_tradnl"/>
        </w:rPr>
      </w:pPr>
      <w:r w:rsidRPr="006456E2">
        <w:rPr>
          <w:lang w:val="es-ES_tradnl"/>
        </w:rPr>
        <w:t>2</w:t>
      </w:r>
      <w:r w:rsidRPr="006456E2">
        <w:rPr>
          <w:lang w:val="es-ES_tradnl"/>
        </w:rPr>
        <w:tab/>
      </w:r>
      <w:proofErr w:type="gramStart"/>
      <w:r w:rsidRPr="006456E2">
        <w:rPr>
          <w:lang w:val="es-ES_tradnl"/>
        </w:rPr>
        <w:t>Para</w:t>
      </w:r>
      <w:proofErr w:type="gramEnd"/>
      <w:r w:rsidRPr="006456E2">
        <w:rPr>
          <w:lang w:val="es-ES_tradnl"/>
        </w:rPr>
        <w:t xml:space="preserve"> resolver casos de interferencia perjudicial entre servicios en bandas adyacentes, independientemente de los fenómenos causantes de la interferencia (emisiones fuera de banda, productos de intermodulación, etc.), la administración responsable de la emisión que se superpone a una banda no atribuida tomará las medidas oportunas para eliminar la interferencia.</w:t>
      </w:r>
    </w:p>
    <w:p w14:paraId="564E8B5B" w14:textId="77777777" w:rsidR="00A7700C" w:rsidRPr="006456E2" w:rsidRDefault="00A7700C" w:rsidP="00405C11">
      <w:pPr>
        <w:rPr>
          <w:lang w:val="es-ES_tradnl"/>
        </w:rPr>
      </w:pPr>
    </w:p>
    <w:p w14:paraId="1E44F6BB" w14:textId="77777777" w:rsidR="00405C11" w:rsidRPr="006456E2" w:rsidRDefault="00405C11" w:rsidP="00A7700C">
      <w:pPr>
        <w:jc w:val="center"/>
        <w:rPr>
          <w:lang w:val="es-ES_tradnl"/>
        </w:rPr>
      </w:pPr>
      <w:r w:rsidRPr="006456E2">
        <w:rPr>
          <w:lang w:val="es-ES_tradnl"/>
        </w:rPr>
        <w:t>__________________</w:t>
      </w:r>
      <w:r w:rsidR="00A7700C" w:rsidRPr="006456E2">
        <w:rPr>
          <w:lang w:val="es-ES_tradnl"/>
        </w:rPr>
        <w:t>__</w:t>
      </w:r>
    </w:p>
    <w:p w14:paraId="56BA2126" w14:textId="77777777" w:rsidR="0081328A" w:rsidRPr="006456E2" w:rsidRDefault="0081328A" w:rsidP="00A7700C">
      <w:pPr>
        <w:rPr>
          <w:lang w:val="es-ES_tradnl"/>
        </w:rPr>
      </w:pPr>
    </w:p>
    <w:p w14:paraId="3D969801" w14:textId="77777777" w:rsidR="00647E55" w:rsidRPr="006456E2" w:rsidRDefault="00647E55" w:rsidP="00A7700C">
      <w:pPr>
        <w:rPr>
          <w:lang w:val="es-ES_tradnl"/>
        </w:rPr>
        <w:sectPr w:rsidR="00647E55" w:rsidRPr="006456E2" w:rsidSect="00A7700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552391A" w14:textId="77777777" w:rsidR="00647E55" w:rsidRPr="006456E2" w:rsidRDefault="00647E55" w:rsidP="00A7700C">
      <w:pPr>
        <w:rPr>
          <w:lang w:val="es-ES_tradnl"/>
        </w:rPr>
      </w:pPr>
    </w:p>
    <w:sectPr w:rsidR="00647E55" w:rsidRPr="006456E2" w:rsidSect="00A7700C">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35007" w14:textId="77777777" w:rsidR="00652373" w:rsidRDefault="00652373">
      <w:r>
        <w:separator/>
      </w:r>
    </w:p>
  </w:endnote>
  <w:endnote w:type="continuationSeparator" w:id="0">
    <w:p w14:paraId="2BC2F0C0" w14:textId="77777777" w:rsidR="00652373" w:rsidRDefault="0065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57303" w14:textId="77777777" w:rsidR="00652373" w:rsidRDefault="00652373">
      <w:r>
        <w:rPr>
          <w:b/>
        </w:rPr>
        <w:t>_______________</w:t>
      </w:r>
    </w:p>
  </w:footnote>
  <w:footnote w:type="continuationSeparator" w:id="0">
    <w:p w14:paraId="2720B70D" w14:textId="77777777" w:rsidR="00652373" w:rsidRDefault="00652373">
      <w:r>
        <w:continuationSeparator/>
      </w:r>
    </w:p>
  </w:footnote>
  <w:footnote w:id="1">
    <w:p w14:paraId="4C857E2B" w14:textId="77777777" w:rsidR="00C41CA4" w:rsidRPr="00666D7C" w:rsidRDefault="00C41CA4" w:rsidP="00C41CA4">
      <w:pPr>
        <w:pStyle w:val="FootnoteText"/>
        <w:rPr>
          <w:rFonts w:asciiTheme="majorBidi" w:hAnsiTheme="majorBidi" w:cstheme="majorBidi"/>
          <w:highlight w:val="yellow"/>
          <w:lang w:val="es-ES_tradnl" w:eastAsia="zh-CN"/>
        </w:rPr>
      </w:pPr>
      <w:r w:rsidRPr="00AF4D9E">
        <w:rPr>
          <w:rStyle w:val="FootnoteReference"/>
          <w:rFonts w:asciiTheme="minorHAnsi" w:hAnsiTheme="minorHAnsi" w:cstheme="minorHAnsi"/>
        </w:rPr>
        <w:footnoteRef/>
      </w:r>
      <w:r w:rsidRPr="00C41CA4">
        <w:rPr>
          <w:rFonts w:asciiTheme="minorHAnsi" w:hAnsiTheme="minorHAnsi" w:cstheme="minorHAnsi"/>
          <w:lang w:val="es-ES_tradnl"/>
        </w:rPr>
        <w:tab/>
      </w:r>
      <w:r w:rsidRPr="00666D7C">
        <w:rPr>
          <w:rFonts w:asciiTheme="majorBidi" w:hAnsiTheme="majorBidi" w:cstheme="majorBidi"/>
          <w:lang w:val="es-ES_tradnl"/>
        </w:rPr>
        <w:t xml:space="preserve">Se reconoce que el intercambio de información sobre la utilización de asignaciones de frecuencias, incluido con arreglo al número </w:t>
      </w:r>
      <w:r w:rsidRPr="00666D7C">
        <w:rPr>
          <w:rFonts w:asciiTheme="majorBidi" w:hAnsiTheme="majorBidi" w:cstheme="majorBidi"/>
          <w:b/>
          <w:bCs/>
          <w:lang w:val="es-ES_tradnl"/>
        </w:rPr>
        <w:t>4.4</w:t>
      </w:r>
      <w:r w:rsidRPr="00666D7C">
        <w:rPr>
          <w:rFonts w:asciiTheme="majorBidi" w:hAnsiTheme="majorBidi" w:cstheme="majorBidi"/>
          <w:lang w:val="es-ES_tradnl"/>
        </w:rPr>
        <w:t xml:space="preserve"> por las estaciones de los servicios terrenales en algunas bandas (es decir en bandas no compartidas con servicios espaciales), también puede realizarse mediante acuerdos o mecanismos bilaterales o multilaterales.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rsidRPr="00390252" w14:paraId="0CED1E5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2C3BC5" w14:textId="77777777" w:rsidR="00B42B0F" w:rsidRDefault="00B42B0F" w:rsidP="00390252">
          <w:pPr>
            <w:pStyle w:val="HeaderRegProc"/>
          </w:pPr>
          <w:r>
            <w:t>Parte A</w:t>
          </w:r>
          <w:r w:rsidR="00390252">
            <w:t>1</w:t>
          </w:r>
        </w:p>
      </w:tc>
      <w:tc>
        <w:tcPr>
          <w:tcW w:w="1701" w:type="dxa"/>
          <w:tcBorders>
            <w:top w:val="single" w:sz="6" w:space="0" w:color="auto"/>
            <w:left w:val="single" w:sz="6" w:space="0" w:color="auto"/>
            <w:bottom w:val="single" w:sz="6" w:space="0" w:color="auto"/>
            <w:right w:val="single" w:sz="6" w:space="0" w:color="auto"/>
          </w:tcBorders>
        </w:tcPr>
        <w:p w14:paraId="47FDE063" w14:textId="2FEE11DD" w:rsidR="00B42B0F" w:rsidRDefault="009B03A3">
          <w:pPr>
            <w:pStyle w:val="HeaderRegProc"/>
            <w:rPr>
              <w:lang w:val="fr-FR"/>
            </w:rPr>
          </w:pPr>
          <w:fldSimple w:instr=" DOCPROPERTY &quot;Header&quot; \* MERGEFORMAT ">
            <w:r>
              <w:t>AR</w:t>
            </w:r>
          </w:fldSimple>
          <w:r w:rsidR="00B42B0F">
            <w:fldChar w:fldCharType="begin"/>
          </w:r>
          <w:r w:rsidR="00B42B0F">
            <w:instrText>styleref href2</w:instrText>
          </w:r>
          <w:r w:rsidR="00B42B0F">
            <w:fldChar w:fldCharType="separate"/>
          </w:r>
          <w:r w:rsidR="00981145">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14:paraId="71961E7D" w14:textId="77777777" w:rsidR="00B42B0F" w:rsidRDefault="00B42B0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C8A29" w14:textId="15AE6C26" w:rsidR="00B42B0F" w:rsidRPr="00390252" w:rsidRDefault="00B42B0F" w:rsidP="00390252">
          <w:pPr>
            <w:pStyle w:val="HeaderRegProc"/>
            <w:rPr>
              <w:lang w:val="es-ES_tradnl"/>
            </w:rPr>
          </w:pPr>
          <w:proofErr w:type="spellStart"/>
          <w:r w:rsidRPr="00390252">
            <w:rPr>
              <w:lang w:val="es-ES_tradnl"/>
            </w:rPr>
            <w:t>rev.</w:t>
          </w:r>
          <w:proofErr w:type="spellEnd"/>
          <w:r w:rsidR="00390252" w:rsidRPr="00390252">
            <w:rPr>
              <w:lang w:val="es-ES_tradnl"/>
            </w:rPr>
            <w:t xml:space="preserve"> </w:t>
          </w:r>
          <w:r w:rsidR="009A3050">
            <w:rPr>
              <w:lang w:val="es-ES_tradnl"/>
            </w:rPr>
            <w:t>-</w:t>
          </w:r>
        </w:p>
      </w:tc>
    </w:tr>
  </w:tbl>
  <w:p w14:paraId="7FB1A21B" w14:textId="77777777" w:rsidR="00B42B0F" w:rsidRPr="00390252" w:rsidRDefault="00B42B0F">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14:paraId="35291AA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9CBB8DC" w14:textId="77777777" w:rsidR="00B42B0F" w:rsidRDefault="00B42B0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77FA03E" w14:textId="7E589371" w:rsidR="00B42B0F" w:rsidRDefault="009B03A3">
          <w:pPr>
            <w:pStyle w:val="HeaderRegProc"/>
            <w:rPr>
              <w:lang w:val="es-ES_tradnl"/>
            </w:rPr>
          </w:pPr>
          <w:fldSimple w:instr=" DOCPROPERTY &quot;Header&quot; \* MERGEFORMAT ">
            <w:r>
              <w:t>AR</w:t>
            </w:r>
          </w:fldSimple>
          <w:r w:rsidR="00B42B0F">
            <w:fldChar w:fldCharType="begin"/>
          </w:r>
          <w:r w:rsidR="00B42B0F">
            <w:instrText>styleref href2</w:instrText>
          </w:r>
          <w:r w:rsidR="00B42B0F">
            <w:fldChar w:fldCharType="separate"/>
          </w:r>
          <w:r w:rsidR="00981145">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14:paraId="56335FEF" w14:textId="77777777" w:rsidR="00B42B0F" w:rsidRDefault="00B42B0F">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F445DE" w14:textId="108D4B40" w:rsidR="00B42B0F" w:rsidRDefault="00B42B0F" w:rsidP="00390252">
          <w:pPr>
            <w:pStyle w:val="HeaderRegProc"/>
            <w:rPr>
              <w:lang w:val="fr-CH"/>
            </w:rPr>
          </w:pPr>
          <w:proofErr w:type="spellStart"/>
          <w:proofErr w:type="gramStart"/>
          <w:r>
            <w:rPr>
              <w:lang w:val="fr-CH"/>
            </w:rPr>
            <w:t>rev</w:t>
          </w:r>
          <w:proofErr w:type="spellEnd"/>
          <w:proofErr w:type="gramEnd"/>
          <w:r>
            <w:rPr>
              <w:lang w:val="fr-CH"/>
            </w:rPr>
            <w:t>.</w:t>
          </w:r>
          <w:r w:rsidR="00390252">
            <w:rPr>
              <w:lang w:val="fr-CH"/>
            </w:rPr>
            <w:t xml:space="preserve"> </w:t>
          </w:r>
          <w:r w:rsidR="009A3050">
            <w:rPr>
              <w:lang w:val="fr-CH"/>
            </w:rPr>
            <w:t>-</w:t>
          </w:r>
        </w:p>
      </w:tc>
    </w:tr>
  </w:tbl>
  <w:p w14:paraId="04F0840A" w14:textId="77777777" w:rsidR="00B42B0F" w:rsidRDefault="00B42B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C3E"/>
    <w:rsid w:val="0007153B"/>
    <w:rsid w:val="0031795F"/>
    <w:rsid w:val="00390252"/>
    <w:rsid w:val="00405C11"/>
    <w:rsid w:val="00433DC7"/>
    <w:rsid w:val="00583022"/>
    <w:rsid w:val="005F2B3B"/>
    <w:rsid w:val="005F53E3"/>
    <w:rsid w:val="0064260C"/>
    <w:rsid w:val="006456E2"/>
    <w:rsid w:val="00647E55"/>
    <w:rsid w:val="00652373"/>
    <w:rsid w:val="00666D7C"/>
    <w:rsid w:val="006D7D77"/>
    <w:rsid w:val="006E74A9"/>
    <w:rsid w:val="00735E33"/>
    <w:rsid w:val="00740BF7"/>
    <w:rsid w:val="00786A52"/>
    <w:rsid w:val="007B3C3E"/>
    <w:rsid w:val="007B4010"/>
    <w:rsid w:val="0081328A"/>
    <w:rsid w:val="00981145"/>
    <w:rsid w:val="009A3050"/>
    <w:rsid w:val="009B03A3"/>
    <w:rsid w:val="009F622C"/>
    <w:rsid w:val="00A07A29"/>
    <w:rsid w:val="00A31B6E"/>
    <w:rsid w:val="00A7700C"/>
    <w:rsid w:val="00AF389E"/>
    <w:rsid w:val="00B129AD"/>
    <w:rsid w:val="00B42B0F"/>
    <w:rsid w:val="00BE60EE"/>
    <w:rsid w:val="00C41CA4"/>
    <w:rsid w:val="00DA0F21"/>
    <w:rsid w:val="00E80B24"/>
    <w:rsid w:val="00EF20B4"/>
    <w:rsid w:val="00F344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946EE"/>
  <w15:docId w15:val="{26C921F5-002E-4B26-812B-FBF97DB31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C41CA4"/>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C41C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28</TotalTime>
  <Pages>4</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Manager>
  <Company>ITU</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4</dc:subject>
  <dc:creator>Composition des Publications</dc:creator>
  <cp:keywords>Folios: 1 - 2</cp:keywords>
  <dc:description>Ediition 2009:   11.02.2009/DD (dict. ok)</dc:description>
  <cp:lastModifiedBy>Catalano Moreira, Rossana</cp:lastModifiedBy>
  <cp:revision>22</cp:revision>
  <cp:lastPrinted>2020-12-21T07:42:00Z</cp:lastPrinted>
  <dcterms:created xsi:type="dcterms:W3CDTF">2012-10-02T09:23:00Z</dcterms:created>
  <dcterms:modified xsi:type="dcterms:W3CDTF">2021-05-18T15:01:00Z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