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77777777"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w:t>
      </w:r>
      <w:r w:rsidRPr="001972B1">
        <w:rPr>
          <w:i/>
          <w:iCs/>
        </w:rPr>
        <w:t>“other provisions”</w:t>
      </w:r>
      <w:r w:rsidRPr="004C01D1">
        <w:t xml:space="preserve">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conformity with the Table of Frequency Allocations, including its footnotes and any Resolution or Recommendation which is referred to in such a footnote;</w:t>
      </w:r>
    </w:p>
    <w:p w14:paraId="2A1B8475" w14:textId="77777777" w:rsidR="00BA061E" w:rsidRPr="004C01D1" w:rsidRDefault="00BA061E" w:rsidP="004C01D1">
      <w:pPr>
        <w:pStyle w:val="enumlev1"/>
      </w:pPr>
      <w:r w:rsidRPr="004C01D1">
        <w:t>–</w:t>
      </w:r>
      <w:r w:rsidRPr="004C01D1">
        <w:tab/>
        <w:t xml:space="preserve">all </w:t>
      </w:r>
      <w:r w:rsidRPr="001972B1">
        <w:rPr>
          <w:i/>
          <w:iCs/>
        </w:rPr>
        <w:t>“other”</w:t>
      </w:r>
      <w:r w:rsidRPr="004C01D1">
        <w:t xml:space="preserve">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w:t>
      </w:r>
      <w:r w:rsidRPr="001972B1">
        <w:rPr>
          <w:i/>
          <w:iCs/>
        </w:rPr>
        <w:t>“other provisions”</w:t>
      </w:r>
      <w:r w:rsidRPr="004C01D1">
        <w:t xml:space="preserve">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2"/>
        <w:t>2</w:t>
      </w:r>
      <w:r w:rsidRPr="004C01D1">
        <w:t>;</w:t>
      </w:r>
    </w:p>
    <w:p w14:paraId="6A3460B9" w14:textId="77777777"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r w:rsidR="006E2C7C" w:rsidRPr="00DE57F6">
        <w:rPr>
          <w:lang w:eastAsia="zh-CN"/>
        </w:rPr>
        <w:t>pfd</w:t>
      </w:r>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2C2BD741"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p>
    <w:p w14:paraId="464F73CB" w14:textId="5708656B" w:rsidR="002845B5" w:rsidRPr="004C01D1" w:rsidRDefault="002845B5" w:rsidP="004C01D1">
      <w:r w:rsidRPr="004C01D1">
        <w:t>1</w:t>
      </w:r>
      <w:r w:rsidRPr="004C01D1">
        <w:tab/>
      </w:r>
      <w:r w:rsidR="00B714A6" w:rsidRPr="00F16C2F">
        <w:rPr>
          <w:lang w:val="en-US"/>
        </w:rPr>
        <w:t>(Not used)</w:t>
      </w:r>
    </w:p>
    <w:p w14:paraId="711A0DA2" w14:textId="55318524" w:rsidR="002845B5"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14:paraId="2EAF206B" w14:textId="77777777" w:rsidR="00902333" w:rsidRDefault="00902333" w:rsidP="0046017E">
      <w:r>
        <w:br w:type="page"/>
      </w:r>
    </w:p>
    <w:p w14:paraId="3856F71E" w14:textId="5CB88ABB"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1CB6ED83" w:rsidR="002845B5" w:rsidRPr="004C01D1" w:rsidRDefault="002845B5" w:rsidP="00DA6CC0">
      <w:r w:rsidRPr="004C01D1">
        <w:t>5</w:t>
      </w:r>
      <w:r w:rsidRPr="004C01D1">
        <w:tab/>
        <w:t xml:space="preserve">Interference between assignments to the </w:t>
      </w:r>
      <w:r w:rsidRPr="001972B1">
        <w:rPr>
          <w:i/>
          <w:iCs/>
        </w:rPr>
        <w:t>“existing systems”</w:t>
      </w:r>
      <w:r w:rsidRPr="004C01D1">
        <w:t xml:space="preserve">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t>
      </w:r>
      <w:r w:rsidR="00A53258">
        <w:rPr>
          <w:b/>
          <w:bCs/>
        </w:rPr>
        <w:t>Rev.</w:t>
      </w:r>
      <w:r w:rsidRPr="004C01D1">
        <w:rPr>
          <w:b/>
          <w:bCs/>
        </w:rPr>
        <w:t>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w:t>
      </w:r>
      <w:r w:rsidRPr="001972B1">
        <w:rPr>
          <w:i/>
          <w:iCs/>
        </w:rPr>
        <w:t>“multi-beam networks”</w:t>
      </w:r>
      <w:r w:rsidRPr="004C01D1">
        <w:t xml:space="preserve">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69D7783"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whether or not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39E5F97F" w14:textId="77777777" w:rsidR="00F4364B" w:rsidRDefault="00F4364B" w:rsidP="00F4364B">
      <w:r>
        <w:br w:type="page"/>
      </w:r>
    </w:p>
    <w:p w14:paraId="46A1625D" w14:textId="77777777" w:rsidR="00DE57F6" w:rsidRPr="004C01D1" w:rsidRDefault="00DE57F6" w:rsidP="0046017E">
      <w:pPr>
        <w:pStyle w:val="Heading8"/>
        <w:rPr>
          <w:color w:val="000000"/>
        </w:rPr>
      </w:pPr>
      <w:r w:rsidRPr="004C01D1">
        <w:rPr>
          <w:color w:val="000000"/>
        </w:rPr>
        <w:lastRenderedPageBreak/>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757E1F8" w14:textId="43E8D4AF" w:rsidR="00F103FB" w:rsidRDefault="00F103FB" w:rsidP="00DE57F6"/>
    <w:p w14:paraId="56342187" w14:textId="2D72BFDA" w:rsidR="00902333" w:rsidRDefault="00902333" w:rsidP="00DE57F6">
      <w:r>
        <w:br w:type="page"/>
      </w: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14:paraId="5ED465E1" w14:textId="77777777" w:rsidR="00F4364B" w:rsidRPr="00F4364B" w:rsidRDefault="00F4364B" w:rsidP="00F4364B">
      <w:pPr>
        <w:rPr>
          <w:i/>
          <w:iCs/>
        </w:rPr>
      </w:pPr>
      <w:r w:rsidRPr="00F4364B">
        <w:rPr>
          <w:i/>
          <w:iCs/>
        </w:rPr>
        <w:t xml:space="preserve">WRC-15 considered and confirmed the course of action presented in this section.” </w:t>
      </w:r>
    </w:p>
    <w:p w14:paraId="155560C7" w14:textId="77777777" w:rsidR="00365999" w:rsidRPr="004C01D1" w:rsidRDefault="00365999" w:rsidP="00BA061E">
      <w:pPr>
        <w:pStyle w:val="Heading8"/>
      </w:pPr>
      <w:r w:rsidRPr="004C01D1">
        <w:rPr>
          <w:color w:val="000000"/>
        </w:rPr>
        <w:t>Art</w:t>
      </w:r>
      <w:r w:rsidRPr="004C01D1">
        <w:t>. 7</w:t>
      </w:r>
    </w:p>
    <w:p w14:paraId="076E6553" w14:textId="77777777"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1127878F" w14:textId="77777777" w:rsidR="00DE57F6" w:rsidRDefault="00DE57F6" w:rsidP="004C01D1"/>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The service arc shall then be calculated in order to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sym w:font="Symbol" w:char="F02D"/>
      </w:r>
      <w:r w:rsidRPr="004C01D1">
        <w:tab/>
        <w:t>regenerate the elliptical beam parameters;</w:t>
      </w:r>
    </w:p>
    <w:p w14:paraId="15216F53" w14:textId="77777777" w:rsidR="00DE25FE" w:rsidRPr="004C01D1" w:rsidRDefault="00DE25FE" w:rsidP="004C01D1">
      <w:pPr>
        <w:pStyle w:val="enumlev1"/>
      </w:pPr>
      <w:r w:rsidRPr="004C01D1">
        <w:sym w:font="Symbol" w:char="F02D"/>
      </w:r>
      <w:r w:rsidRPr="004C01D1">
        <w:tab/>
        <w:t>recalculate the required power density values;</w:t>
      </w:r>
    </w:p>
    <w:p w14:paraId="3EB86F36" w14:textId="77777777" w:rsidR="0046017E" w:rsidRDefault="0046017E" w:rsidP="0046017E">
      <w:pPr>
        <w:tabs>
          <w:tab w:val="clear" w:pos="1134"/>
          <w:tab w:val="clear" w:pos="1871"/>
          <w:tab w:val="clear" w:pos="2268"/>
        </w:tabs>
        <w:overflowPunct/>
        <w:autoSpaceDE/>
        <w:autoSpaceDN/>
        <w:adjustRightInd/>
        <w:spacing w:before="0"/>
        <w:jc w:val="left"/>
        <w:textAlignment w:val="auto"/>
        <w:rPr>
          <w:b/>
        </w:rPr>
      </w:pPr>
      <w:r>
        <w:br w:type="page"/>
      </w:r>
    </w:p>
    <w:p w14:paraId="448F3CF7" w14:textId="77777777" w:rsidR="00DE25FE" w:rsidRPr="004C01D1" w:rsidRDefault="00DE25FE" w:rsidP="004C01D1">
      <w:pPr>
        <w:pStyle w:val="enumlev1"/>
      </w:pPr>
      <w:r w:rsidRPr="004C01D1">
        <w:lastRenderedPageBreak/>
        <w:sym w:font="Symbol" w:char="F02D"/>
      </w:r>
      <w:r w:rsidRPr="004C01D1">
        <w:tab/>
        <w:t>using the criteria</w:t>
      </w:r>
      <w:r w:rsidR="004C01D1" w:rsidRPr="002519DB">
        <w:rPr>
          <w:rStyle w:val="FootnoteReference"/>
        </w:rPr>
        <w:footnoteReference w:customMarkFollows="1" w:id="3"/>
        <w:t>3</w:t>
      </w:r>
      <w:r w:rsidRPr="002519DB">
        <w:rPr>
          <w:rStyle w:val="FootnoteReference"/>
        </w:rPr>
        <w:t xml:space="preserve"> </w:t>
      </w:r>
      <w:r w:rsidRPr="004C01D1">
        <w:t xml:space="preserve">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14:paraId="46229B1C" w14:textId="77777777" w:rsidR="001838C3"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77777777"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Planned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77777777" w:rsidR="003E6EEE" w:rsidRDefault="003E6EEE" w:rsidP="003E6EEE">
      <w:r w:rsidRPr="004C01D1">
        <w:t xml:space="preserve">See Rules of Procedure relating to § 6.3 </w:t>
      </w:r>
      <w:r w:rsidRPr="004C01D1">
        <w:rPr>
          <w:i/>
          <w:iCs/>
        </w:rPr>
        <w:t>a)</w:t>
      </w:r>
      <w:r w:rsidRPr="004C01D1">
        <w:t>.</w:t>
      </w:r>
    </w:p>
    <w:p w14:paraId="0E5E065A" w14:textId="77777777" w:rsidR="001838C3" w:rsidRPr="004C01D1" w:rsidRDefault="001838C3" w:rsidP="001838C3">
      <w:pPr>
        <w:pStyle w:val="Heading8"/>
        <w:jc w:val="left"/>
      </w:pPr>
      <w:r w:rsidRPr="00A20DDD">
        <w:t xml:space="preserve">An. 3 </w:t>
      </w:r>
      <w:r w:rsidRPr="00A20DDD">
        <w:rPr>
          <w:bCs/>
        </w:rPr>
        <w:t>and</w:t>
      </w:r>
      <w:r w:rsidRPr="00A20DDD">
        <w:t xml:space="preserve"> </w:t>
      </w:r>
      <w:r w:rsidRPr="00A20DDD">
        <w:br/>
        <w:t>An. 4</w:t>
      </w:r>
    </w:p>
    <w:p w14:paraId="48265C5F" w14:textId="77777777"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02B292C4"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14:paraId="3DCDA648" w14:textId="77777777" w:rsidR="001838C3" w:rsidRPr="00CF7E40" w:rsidRDefault="001838C3" w:rsidP="001838C3">
      <w:r w:rsidRPr="00CF7E40">
        <w:t>is lower than;</w:t>
      </w:r>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information;</w:t>
      </w:r>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Section;</w:t>
      </w:r>
    </w:p>
    <w:p w14:paraId="1FAF8108" w14:textId="2C38B57F" w:rsidR="001838C3" w:rsidRDefault="001838C3" w:rsidP="001838C3">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0ADFB4D1" w14:textId="6D688FB3" w:rsidR="00F16C2F" w:rsidRPr="00F16C2F" w:rsidRDefault="00F16C2F" w:rsidP="0058269D">
      <w:pPr>
        <w:rPr>
          <w:rFonts w:eastAsia="Times New Roman"/>
          <w:color w:val="000000"/>
        </w:rPr>
      </w:pPr>
      <w:r w:rsidRPr="00F16C2F">
        <w:rPr>
          <w:rFonts w:eastAsia="Times New Roman"/>
          <w:b/>
          <w:bCs/>
          <w:color w:val="000000"/>
        </w:rPr>
        <w:t>Note</w:t>
      </w:r>
      <w:r w:rsidRPr="00F16C2F">
        <w:rPr>
          <w:rFonts w:eastAsia="Times New Roman"/>
          <w:color w:val="000000"/>
        </w:rPr>
        <w:t xml:space="preserve">: WRC-19 took the decision related to Annexes 3 and 4 of Appendix </w:t>
      </w:r>
      <w:r w:rsidRPr="00F16C2F">
        <w:rPr>
          <w:rFonts w:eastAsia="Times New Roman"/>
          <w:b/>
          <w:bCs/>
          <w:color w:val="000000"/>
        </w:rPr>
        <w:t>30B</w:t>
      </w:r>
      <w:r w:rsidRPr="00F16C2F">
        <w:rPr>
          <w:rFonts w:eastAsia="Times New Roman"/>
          <w:color w:val="000000"/>
        </w:rPr>
        <w:t>, during the 10</w:t>
      </w:r>
      <w:r w:rsidRPr="00F16C2F">
        <w:rPr>
          <w:rFonts w:eastAsia="Times New Roman"/>
          <w:color w:val="000000"/>
          <w:vertAlign w:val="superscript"/>
        </w:rPr>
        <w:t>th</w:t>
      </w:r>
      <w:r w:rsidRPr="00F16C2F">
        <w:rPr>
          <w:rFonts w:eastAsia="Times New Roman"/>
          <w:color w:val="000000"/>
        </w:rPr>
        <w:t xml:space="preserve"> Plenary, see items 13.7 to 13.9 of Doc. CMR19/571, approval of Doc. CMR19/510 (see also the Rules of Procedure on </w:t>
      </w:r>
      <w:r w:rsidRPr="00F16C2F">
        <w:rPr>
          <w:rFonts w:eastAsia="Times New Roman"/>
          <w:szCs w:val="24"/>
          <w:lang w:val="en-US"/>
        </w:rPr>
        <w:t xml:space="preserve">Resolution </w:t>
      </w:r>
      <w:r w:rsidRPr="00F16C2F">
        <w:rPr>
          <w:rFonts w:eastAsia="Times New Roman"/>
          <w:b/>
          <w:bCs/>
          <w:szCs w:val="24"/>
          <w:lang w:val="en-US"/>
        </w:rPr>
        <w:t>170 (WRC-19)</w:t>
      </w:r>
      <w:r w:rsidRPr="00F16C2F">
        <w:rPr>
          <w:rFonts w:eastAsia="Times New Roman"/>
          <w:color w:val="000000"/>
        </w:rPr>
        <w:t>), as follows:</w:t>
      </w:r>
      <w:r w:rsidR="0058269D">
        <w:rPr>
          <w:rFonts w:eastAsia="Times New Roman"/>
          <w:color w:val="000000"/>
        </w:rPr>
        <w:t xml:space="preserve">     </w:t>
      </w:r>
    </w:p>
    <w:p w14:paraId="43286C53" w14:textId="77777777" w:rsidR="00F16C2F" w:rsidRPr="006C4990" w:rsidRDefault="00F16C2F" w:rsidP="00F16C2F">
      <w:pPr>
        <w:tabs>
          <w:tab w:val="clear" w:pos="1871"/>
          <w:tab w:val="left" w:pos="567"/>
          <w:tab w:val="left" w:pos="1701"/>
          <w:tab w:val="left" w:pos="2835"/>
        </w:tabs>
        <w:spacing w:before="240" w:line="280" w:lineRule="exact"/>
        <w:rPr>
          <w:rFonts w:eastAsia="Times New Roman"/>
          <w:b/>
          <w:i/>
          <w:iCs/>
          <w:szCs w:val="24"/>
          <w:lang w:val="en-US"/>
        </w:rPr>
      </w:pPr>
      <w:r w:rsidRPr="006C4990">
        <w:rPr>
          <w:rFonts w:eastAsia="Times New Roman"/>
          <w:b/>
          <w:i/>
          <w:iCs/>
          <w:color w:val="000000"/>
        </w:rPr>
        <w:t>“</w:t>
      </w:r>
      <w:r w:rsidRPr="006C4990">
        <w:rPr>
          <w:rFonts w:eastAsia="Times New Roman"/>
          <w:b/>
          <w:i/>
          <w:iCs/>
          <w:szCs w:val="24"/>
          <w:lang w:val="en-US"/>
        </w:rPr>
        <w:t>Instructions to the Radiocommunication Bureau in application of Annex 3 and Annex 4 of RR Appendix 30B as well as of criteria referred to in Resolution [A7(E)-AP30B] (WRC-19) in its processing, after 22 November 2019, of submissions received under that Appendix</w:t>
      </w:r>
    </w:p>
    <w:p w14:paraId="00D0810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r w:rsidRPr="006C4990">
        <w:rPr>
          <w:rFonts w:eastAsia="Times New Roman"/>
          <w:i/>
          <w:iCs/>
          <w:szCs w:val="24"/>
          <w:lang w:val="en-US"/>
        </w:rPr>
        <w:t>The Radiocommunication Bureau shall continue to calculate and update already accepted single-entry values in both uplink and downlink for all RR Appendix </w:t>
      </w:r>
      <w:r w:rsidRPr="006C4990">
        <w:rPr>
          <w:rFonts w:eastAsia="Times New Roman"/>
          <w:b/>
          <w:bCs/>
          <w:i/>
          <w:iCs/>
          <w:szCs w:val="24"/>
          <w:lang w:val="en-US"/>
        </w:rPr>
        <w:t>30B</w:t>
      </w:r>
      <w:r w:rsidRPr="006C4990">
        <w:rPr>
          <w:rFonts w:eastAsia="Times New Roman"/>
          <w:i/>
          <w:iCs/>
          <w:szCs w:val="24"/>
          <w:lang w:val="en-US"/>
        </w:rPr>
        <w:t xml:space="preserve"> satellite networks in consistency with footnotes X2 and X3 to item 2.1 of the Annex 4 of RR Appendix </w:t>
      </w:r>
      <w:r w:rsidRPr="006C4990">
        <w:rPr>
          <w:rFonts w:eastAsia="Times New Roman"/>
          <w:b/>
          <w:bCs/>
          <w:i/>
          <w:iCs/>
          <w:szCs w:val="24"/>
          <w:lang w:val="en-US"/>
        </w:rPr>
        <w:t>30B (Rev.WRC-19)</w:t>
      </w:r>
      <w:r w:rsidRPr="006C4990">
        <w:rPr>
          <w:rFonts w:eastAsia="Times New Roman"/>
          <w:i/>
          <w:iCs/>
          <w:szCs w:val="24"/>
          <w:lang w:val="en-US"/>
        </w:rPr>
        <w:t>, so that this information could be used by administrations during coordination of their respective networks. The Radiocommunication Bureau shall apply:</w:t>
      </w:r>
    </w:p>
    <w:p w14:paraId="0B7EE2FC" w14:textId="77777777" w:rsidR="0072463C" w:rsidRDefault="0072463C"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Pr>
          <w:rFonts w:eastAsia="Times New Roman"/>
          <w:i/>
          <w:iCs/>
          <w:szCs w:val="24"/>
          <w:lang w:val="en-US"/>
        </w:rPr>
        <w:br w:type="page"/>
      </w:r>
    </w:p>
    <w:p w14:paraId="59F37B7B" w14:textId="78B9D074"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lastRenderedPageBreak/>
        <w:t>1</w:t>
      </w:r>
      <w:r w:rsidRPr="006C4990">
        <w:rPr>
          <w:rFonts w:eastAsia="Times New Roman"/>
          <w:i/>
          <w:iCs/>
          <w:szCs w:val="24"/>
          <w:lang w:val="en-US"/>
        </w:rPr>
        <w:tab/>
        <w:t>For complete submissions under § 6.1 received by the Bureau before 23 November 2019:</w:t>
      </w:r>
    </w:p>
    <w:p w14:paraId="6CD4FA8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6.3 b);</w:t>
      </w:r>
    </w:p>
    <w:p w14:paraId="419BA7A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6.5.</w:t>
      </w:r>
    </w:p>
    <w:p w14:paraId="0B7B2B0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A.</w:t>
      </w:r>
    </w:p>
    <w:p w14:paraId="0F2D7279" w14:textId="48E8AE4F"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2</w:t>
      </w:r>
      <w:r w:rsidRPr="006C4990">
        <w:rPr>
          <w:rFonts w:eastAsia="Times New Roman"/>
          <w:i/>
          <w:iCs/>
          <w:szCs w:val="24"/>
          <w:lang w:val="en-US"/>
        </w:rPr>
        <w:tab/>
        <w:t>For complete submissions under § 6.17 received by the Bureau before 23 November 2019:</w:t>
      </w:r>
    </w:p>
    <w:p w14:paraId="5D8D4CC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
    <w:p w14:paraId="10C6FFF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6.21;</w:t>
      </w:r>
    </w:p>
    <w:p w14:paraId="3D56EE9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the new footnote to § 6.21 c);</w:t>
      </w:r>
    </w:p>
    <w:p w14:paraId="4B0AF4D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(Rev.WRC-07) in its examination under § 6.22.</w:t>
      </w:r>
    </w:p>
    <w:p w14:paraId="7E6080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B.</w:t>
      </w:r>
    </w:p>
    <w:p w14:paraId="5741B81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3</w:t>
      </w:r>
      <w:r w:rsidRPr="006C4990">
        <w:rPr>
          <w:rFonts w:eastAsia="Times New Roman"/>
          <w:i/>
          <w:iCs/>
          <w:szCs w:val="24"/>
          <w:lang w:val="en-US"/>
        </w:rPr>
        <w:tab/>
        <w:t>For complete submissions under § 6.17 received by the Bureau after 22 November 2019, related to complete submissions under § 6.1 received by the Bureau before 23 November 2019:</w:t>
      </w:r>
    </w:p>
    <w:p w14:paraId="0F41059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
    <w:p w14:paraId="4C7FDED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6.21;</w:t>
      </w:r>
    </w:p>
    <w:p w14:paraId="6094193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footnote YY to § 6.21 c) if the remaining affected assignments are recorded in the List before 23 November 2019;</w:t>
      </w:r>
    </w:p>
    <w:p w14:paraId="2C99628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in its further examination under footnote YY to § 6.21 c) if the remaining affected assignments are recorded in the List after 22 November 2019; </w:t>
      </w:r>
    </w:p>
    <w:p w14:paraId="13648F76"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e)</w:t>
      </w:r>
      <w:r w:rsidRPr="006C4990">
        <w:rPr>
          <w:rFonts w:eastAsia="Times New Roman"/>
          <w:i/>
          <w:iCs/>
          <w:szCs w:val="24"/>
          <w:lang w:val="en-US"/>
        </w:rPr>
        <w:tab/>
        <w:t>Annex 4 (Rev.WRC-19) in its examination under § 6.22.</w:t>
      </w:r>
    </w:p>
    <w:p w14:paraId="13E055D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Parts A and/or B.</w:t>
      </w:r>
    </w:p>
    <w:p w14:paraId="204B01BD" w14:textId="598497C4"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4</w:t>
      </w:r>
      <w:r w:rsidRPr="006C4990">
        <w:rPr>
          <w:rFonts w:eastAsia="Times New Roman"/>
          <w:i/>
          <w:iCs/>
          <w:szCs w:val="24"/>
          <w:lang w:val="en-US"/>
        </w:rPr>
        <w:tab/>
        <w:t>For complete submissions under § 6.1 received by the Bureau after 22 November 2019:</w:t>
      </w:r>
    </w:p>
    <w:p w14:paraId="788E6C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
    <w:p w14:paraId="0AD9D7B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6.5.</w:t>
      </w:r>
    </w:p>
    <w:p w14:paraId="623647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5</w:t>
      </w:r>
      <w:r w:rsidRPr="006C4990">
        <w:rPr>
          <w:rFonts w:eastAsia="Times New Roman"/>
          <w:i/>
          <w:iCs/>
          <w:szCs w:val="24"/>
          <w:lang w:val="en-US"/>
        </w:rPr>
        <w:tab/>
      </w:r>
      <w:r w:rsidRPr="006C4990">
        <w:rPr>
          <w:rFonts w:eastAsia="Times New Roman"/>
          <w:i/>
          <w:iCs/>
          <w:spacing w:val="-2"/>
          <w:szCs w:val="24"/>
          <w:lang w:val="en-US"/>
        </w:rPr>
        <w:t xml:space="preserve">For complete </w:t>
      </w:r>
      <w:r w:rsidRPr="006C4990">
        <w:rPr>
          <w:rFonts w:eastAsia="Times New Roman"/>
          <w:i/>
          <w:iCs/>
          <w:szCs w:val="24"/>
          <w:lang w:val="en-US"/>
        </w:rPr>
        <w:t>submissions</w:t>
      </w:r>
      <w:r w:rsidRPr="006C4990">
        <w:rPr>
          <w:rFonts w:eastAsia="Times New Roman"/>
          <w:i/>
          <w:iCs/>
          <w:spacing w:val="-2"/>
          <w:szCs w:val="24"/>
          <w:lang w:val="en-US"/>
        </w:rPr>
        <w:t xml:space="preserve"> under § 6.17 received by the Bureau after 22 November 2019</w:t>
      </w:r>
      <w:r w:rsidRPr="006C4990">
        <w:rPr>
          <w:rFonts w:eastAsia="Times New Roman"/>
          <w:i/>
          <w:iCs/>
          <w:szCs w:val="24"/>
          <w:lang w:val="en-US"/>
        </w:rPr>
        <w:t>, related to complete submissions under § 6.1 received by the Bureau after 22 November 2019:</w:t>
      </w:r>
    </w:p>
    <w:p w14:paraId="57564BB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
    <w:p w14:paraId="24A288D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6.21;</w:t>
      </w:r>
    </w:p>
    <w:p w14:paraId="0A67604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(Rev.WRC-19) in its examination under § 6.22.</w:t>
      </w:r>
    </w:p>
    <w:p w14:paraId="23A9052C" w14:textId="77777777" w:rsidR="0081784C" w:rsidRDefault="0081784C"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Pr>
          <w:rFonts w:eastAsia="Times New Roman"/>
          <w:i/>
          <w:iCs/>
          <w:szCs w:val="24"/>
          <w:lang w:val="en-US"/>
        </w:rPr>
        <w:br w:type="page"/>
      </w:r>
    </w:p>
    <w:p w14:paraId="3AE5D0B9" w14:textId="21C52855"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lastRenderedPageBreak/>
        <w:t>6</w:t>
      </w:r>
      <w:r w:rsidRPr="006C4990">
        <w:rPr>
          <w:rFonts w:eastAsia="Times New Roman"/>
          <w:i/>
          <w:iCs/>
          <w:szCs w:val="24"/>
          <w:lang w:val="en-US"/>
        </w:rPr>
        <w:tab/>
        <w:t xml:space="preserve">For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w:t>
      </w:r>
    </w:p>
    <w:p w14:paraId="1D851AE2"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
    <w:p w14:paraId="1665032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6.5, as appropriate.</w:t>
      </w:r>
    </w:p>
    <w:p w14:paraId="3C35D73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examination of submissions under Issue E before the examination of the last normal Part A and/or Part B received before 23 November 2019.</w:t>
      </w:r>
    </w:p>
    <w:p w14:paraId="788E24B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7</w:t>
      </w:r>
      <w:r w:rsidRPr="006C4990">
        <w:rPr>
          <w:rFonts w:eastAsia="Times New Roman"/>
          <w:i/>
          <w:iCs/>
          <w:szCs w:val="24"/>
          <w:lang w:val="en-US"/>
        </w:rPr>
        <w:tab/>
        <w:t xml:space="preserve">For complete submissions under § 6.17 in application of Resolution </w:t>
      </w:r>
      <w:r w:rsidRPr="006C4990">
        <w:rPr>
          <w:rFonts w:eastAsia="Times New Roman"/>
          <w:b/>
          <w:bCs/>
          <w:i/>
          <w:iCs/>
          <w:szCs w:val="24"/>
          <w:lang w:val="en-US"/>
        </w:rPr>
        <w:t>[A7(E)-AP30B] (WRC-19)</w:t>
      </w:r>
      <w:r w:rsidRPr="006C4990">
        <w:rPr>
          <w:rFonts w:eastAsia="Times New Roman"/>
          <w:i/>
          <w:iCs/>
          <w:szCs w:val="24"/>
          <w:lang w:val="en-US"/>
        </w:rPr>
        <w:t>, the Bureau shall apply:</w:t>
      </w:r>
    </w:p>
    <w:p w14:paraId="00240C4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
    <w:p w14:paraId="01F7BA7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6.21, as appropriate;</w:t>
      </w:r>
    </w:p>
    <w:p w14:paraId="17B92354"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further examination under footnote YY to § 6.21 c), as appropriate;</w:t>
      </w:r>
    </w:p>
    <w:p w14:paraId="348D02E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examination under § 6.22, as appropriate.</w:t>
      </w:r>
    </w:p>
    <w:p w14:paraId="20B62B9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Application of § 6.16: </w:t>
      </w:r>
    </w:p>
    <w:p w14:paraId="07B3B1EA"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In </w:t>
      </w:r>
      <w:r w:rsidRPr="006C4990">
        <w:rPr>
          <w:i/>
          <w:iCs/>
          <w:lang w:val="en-US"/>
        </w:rPr>
        <w:t>excluding</w:t>
      </w:r>
      <w:r w:rsidRPr="006C4990">
        <w:rPr>
          <w:rFonts w:eastAsia="Times New Roman"/>
          <w:i/>
          <w:iCs/>
          <w:szCs w:val="24"/>
          <w:lang w:val="en-US"/>
        </w:rPr>
        <w:t xml:space="preserve"> the territories of the concerned administration, the Bureau shall apply Annex 4 (Rev.WRC-07) until the last complete submissions under § 6.1 or § 6.17 received by the Bureau before 23 November 2019 has been examined and Annex 4 (Rev.WRC-19) afterward.</w:t>
      </w:r>
    </w:p>
    <w:p w14:paraId="13BD1C9D" w14:textId="45E8EF2A" w:rsidR="00F16C2F" w:rsidRPr="006C4990" w:rsidRDefault="00F16C2F" w:rsidP="00EC6453">
      <w:pPr>
        <w:pStyle w:val="enumlev1"/>
        <w:rPr>
          <w:i/>
          <w:iCs/>
          <w:lang w:val="en-US"/>
        </w:rPr>
      </w:pPr>
      <w:r w:rsidRPr="006C4990">
        <w:rPr>
          <w:i/>
          <w:iCs/>
          <w:lang w:val="en-US"/>
        </w:rPr>
        <w:t>–</w:t>
      </w:r>
      <w:r w:rsidRPr="006C4990">
        <w:rPr>
          <w:i/>
          <w:iCs/>
          <w:lang w:val="en-US"/>
        </w:rPr>
        <w:tab/>
        <w:t>If § 6.16 request is submitted in order to be taken into account for the examination of a complete submissions under § 6.17, in examining those submissions, the Bureau shall apply appropriate Annex 4 used in the examination under § 6.21 and § 6.22 as indicated above.</w:t>
      </w:r>
    </w:p>
    <w:p w14:paraId="58FF7083" w14:textId="5E0875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Application of § 6.27 in updating criteria:</w:t>
      </w:r>
    </w:p>
    <w:p w14:paraId="5A8C3F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The Bureau shall apply Annex 4 (Rev.WRC-07) until the last complete submissions under § 6.1 or § 6.17 received by the Bureau before 23 November 2019 has been examined and Annex 4 (Rev.WRC-19) afterward.</w:t>
      </w:r>
    </w:p>
    <w:p w14:paraId="52DD6468" w14:textId="77777777" w:rsidR="0081784C" w:rsidRDefault="0081784C"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Pr>
          <w:rFonts w:eastAsia="Times New Roman"/>
          <w:i/>
          <w:iCs/>
          <w:szCs w:val="24"/>
          <w:lang w:val="en-US"/>
        </w:rPr>
        <w:br w:type="page"/>
      </w:r>
    </w:p>
    <w:p w14:paraId="517FF918" w14:textId="3CD502E8"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lastRenderedPageBreak/>
        <w:t>Application of § 7.5:</w:t>
      </w:r>
    </w:p>
    <w:p w14:paraId="3583F74B"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before 23 November 2019, the Bureau shall apply Annex 3 (WRC-07) and Annex 4 (Rev.WRC-07).</w:t>
      </w:r>
    </w:p>
    <w:p w14:paraId="22B2CF77"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after 22 November 2019, the Bureau shall apply Annex 3 (Rev.WRC-19) and Annex 4 (Rev.WRC-19). </w:t>
      </w:r>
    </w:p>
    <w:p w14:paraId="40CDCC31" w14:textId="14389C81" w:rsidR="00F16C2F" w:rsidRPr="00F16C2F" w:rsidRDefault="00F16C2F" w:rsidP="00F16C2F">
      <w:pPr>
        <w:tabs>
          <w:tab w:val="clear" w:pos="1134"/>
          <w:tab w:val="clear" w:pos="1871"/>
          <w:tab w:val="clear" w:pos="2268"/>
        </w:tabs>
        <w:overflowPunct/>
        <w:autoSpaceDE/>
        <w:autoSpaceDN/>
        <w:adjustRightInd/>
        <w:spacing w:before="0"/>
        <w:textAlignment w:val="auto"/>
        <w:rPr>
          <w:rFonts w:eastAsia="Times New Roman"/>
          <w:szCs w:val="24"/>
          <w:lang w:val="en-US"/>
        </w:rPr>
      </w:pPr>
      <w:r w:rsidRPr="006C4990">
        <w:rPr>
          <w:rFonts w:eastAsia="Times New Roman"/>
          <w:i/>
          <w:iCs/>
          <w:szCs w:val="24"/>
          <w:lang w:val="en-US"/>
        </w:rPr>
        <w:t xml:space="preserve">In its examination under 6.21 c), the Bureau shall take into account also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 xml:space="preserve"> and Article </w:t>
      </w:r>
      <w:r w:rsidRPr="006C4990">
        <w:rPr>
          <w:rFonts w:eastAsia="Times New Roman"/>
          <w:b/>
          <w:i/>
          <w:iCs/>
          <w:szCs w:val="24"/>
          <w:lang w:val="en-US"/>
        </w:rPr>
        <w:t>7</w:t>
      </w:r>
      <w:r w:rsidRPr="006C4990">
        <w:rPr>
          <w:rFonts w:eastAsia="Times New Roman"/>
          <w:i/>
          <w:iCs/>
          <w:szCs w:val="24"/>
          <w:lang w:val="en-US"/>
        </w:rPr>
        <w:t xml:space="preserve"> request transferred to Article </w:t>
      </w:r>
      <w:r w:rsidRPr="006C4990">
        <w:rPr>
          <w:rFonts w:eastAsia="Times New Roman"/>
          <w:b/>
          <w:i/>
          <w:iCs/>
          <w:szCs w:val="24"/>
          <w:lang w:val="en-US"/>
        </w:rPr>
        <w:t xml:space="preserve">6 </w:t>
      </w:r>
      <w:r w:rsidRPr="006C4990">
        <w:rPr>
          <w:rFonts w:eastAsia="Times New Roman"/>
          <w:i/>
          <w:iCs/>
          <w:szCs w:val="24"/>
          <w:lang w:val="en-US"/>
        </w:rPr>
        <w:t>under § 7.7 that has been examined before the date of receipt of the examined notice submitted under § 6.1.”</w:t>
      </w:r>
      <w:r w:rsidRPr="00F16C2F">
        <w:rPr>
          <w:rFonts w:eastAsia="Times New Roman"/>
          <w:szCs w:val="24"/>
          <w:lang w:val="en-US"/>
        </w:rPr>
        <w:t>*</w:t>
      </w:r>
    </w:p>
    <w:p w14:paraId="22D2F63D" w14:textId="58F35970" w:rsidR="00F16C2F" w:rsidRDefault="00F16C2F" w:rsidP="00F16C2F">
      <w:pPr>
        <w:rPr>
          <w:rFonts w:eastAsia="Times New Roman"/>
          <w:b/>
          <w:bCs/>
          <w:color w:val="000000"/>
        </w:rPr>
      </w:pPr>
      <w:r w:rsidRPr="00F16C2F">
        <w:rPr>
          <w:rFonts w:eastAsia="Times New Roman"/>
          <w:szCs w:val="24"/>
          <w:lang w:val="en-US"/>
        </w:rPr>
        <w:t xml:space="preserve">* </w:t>
      </w:r>
      <w:r w:rsidRPr="00F16C2F">
        <w:rPr>
          <w:rFonts w:eastAsia="Times New Roman"/>
          <w:i/>
          <w:iCs/>
          <w:szCs w:val="24"/>
          <w:lang w:val="en-US"/>
        </w:rPr>
        <w:t>Note by the Secretariat</w:t>
      </w:r>
      <w:r w:rsidRPr="00F16C2F">
        <w:rPr>
          <w:rFonts w:eastAsia="Times New Roman"/>
          <w:szCs w:val="24"/>
          <w:lang w:val="en-US"/>
        </w:rPr>
        <w:t xml:space="preserve">: </w:t>
      </w:r>
      <w:r w:rsidRPr="00F16C2F">
        <w:rPr>
          <w:rFonts w:eastAsia="Times New Roman"/>
          <w:color w:val="000000"/>
        </w:rPr>
        <w:t xml:space="preserve">The definitive number of Resolution </w:t>
      </w:r>
      <w:r w:rsidRPr="00F16C2F">
        <w:rPr>
          <w:rFonts w:eastAsia="Times New Roman"/>
          <w:b/>
          <w:bCs/>
          <w:color w:val="000000"/>
        </w:rPr>
        <w:t>[A7(E)-AP30B] WRC-19 (WRC-19)]</w:t>
      </w:r>
      <w:r w:rsidRPr="00F16C2F">
        <w:rPr>
          <w:rFonts w:eastAsia="Times New Roman"/>
          <w:color w:val="000000"/>
        </w:rPr>
        <w:t xml:space="preserve"> is Resolution </w:t>
      </w:r>
      <w:r w:rsidRPr="00F16C2F">
        <w:rPr>
          <w:rFonts w:eastAsia="Times New Roman"/>
          <w:b/>
          <w:bCs/>
          <w:color w:val="000000"/>
        </w:rPr>
        <w:t>170 (WRC-19)</w:t>
      </w:r>
      <w:r w:rsidRPr="00F16C2F">
        <w:rPr>
          <w:rFonts w:eastAsia="Times New Roman"/>
          <w:color w:val="000000"/>
        </w:rPr>
        <w:t xml:space="preserve">.  Furthermore, the definitive numbers of footnotes X1, X2 and YY in Appendix </w:t>
      </w:r>
      <w:r w:rsidRPr="00F16C2F">
        <w:rPr>
          <w:rFonts w:eastAsia="Times New Roman"/>
          <w:b/>
          <w:bCs/>
          <w:color w:val="000000"/>
        </w:rPr>
        <w:t>30B</w:t>
      </w:r>
      <w:r w:rsidRPr="00F16C2F">
        <w:rPr>
          <w:rFonts w:eastAsia="Times New Roman"/>
          <w:color w:val="000000"/>
        </w:rPr>
        <w:t xml:space="preserve"> are 17</w:t>
      </w:r>
      <w:r w:rsidRPr="00F16C2F">
        <w:rPr>
          <w:rFonts w:eastAsia="Times New Roman"/>
          <w:color w:val="000000"/>
          <w:vertAlign w:val="superscript"/>
        </w:rPr>
        <w:t>bis</w:t>
      </w:r>
      <w:r w:rsidRPr="00F16C2F">
        <w:rPr>
          <w:rFonts w:eastAsia="Times New Roman"/>
          <w:color w:val="000000"/>
        </w:rPr>
        <w:t>, 20</w:t>
      </w:r>
      <w:r w:rsidRPr="00F16C2F">
        <w:rPr>
          <w:rFonts w:eastAsia="Times New Roman"/>
          <w:color w:val="000000"/>
          <w:vertAlign w:val="superscript"/>
        </w:rPr>
        <w:t>bis</w:t>
      </w:r>
      <w:r w:rsidRPr="00F16C2F">
        <w:rPr>
          <w:rFonts w:eastAsia="Times New Roman"/>
          <w:color w:val="000000"/>
        </w:rPr>
        <w:t xml:space="preserve"> and 7</w:t>
      </w:r>
      <w:r w:rsidRPr="00F16C2F">
        <w:rPr>
          <w:rFonts w:eastAsia="Times New Roman"/>
          <w:color w:val="000000"/>
          <w:vertAlign w:val="superscript"/>
        </w:rPr>
        <w:t>bis</w:t>
      </w:r>
      <w:r w:rsidRPr="00F16C2F">
        <w:rPr>
          <w:rFonts w:eastAsia="Times New Roman"/>
          <w:color w:val="000000"/>
        </w:rPr>
        <w:t xml:space="preserve"> respectively.  Finally, </w:t>
      </w:r>
      <w:r w:rsidRPr="001972B1">
        <w:rPr>
          <w:rFonts w:eastAsia="Times New Roman"/>
          <w:i/>
          <w:iCs/>
          <w:color w:val="000000"/>
        </w:rPr>
        <w:t>“submissions under issue E”</w:t>
      </w:r>
      <w:r w:rsidRPr="00F16C2F">
        <w:rPr>
          <w:rFonts w:eastAsia="Times New Roman"/>
          <w:color w:val="000000"/>
        </w:rPr>
        <w:t xml:space="preserve"> referred to submissions under the special procedure described in Attachment 1 to Resolution </w:t>
      </w:r>
      <w:r w:rsidRPr="00F16C2F">
        <w:rPr>
          <w:rFonts w:eastAsia="Times New Roman"/>
          <w:b/>
          <w:bCs/>
          <w:color w:val="000000"/>
        </w:rPr>
        <w:t>170 (WRC-19).</w:t>
      </w:r>
    </w:p>
    <w:p w14:paraId="0ABB0312" w14:textId="5A68224C" w:rsidR="00F16C2F" w:rsidRDefault="00F16C2F" w:rsidP="00F16C2F"/>
    <w:p w14:paraId="67F896C6" w14:textId="77777777" w:rsidR="0081784C" w:rsidRDefault="0081784C" w:rsidP="00F16C2F"/>
    <w:p w14:paraId="31BFB37D" w14:textId="058D5F91" w:rsidR="007D5348" w:rsidRPr="007D5348" w:rsidRDefault="007D5348" w:rsidP="0046017E">
      <w:pPr>
        <w:pStyle w:val="Heading8"/>
        <w:spacing w:before="0"/>
        <w:jc w:val="left"/>
        <w:rPr>
          <w:lang w:val="en-US"/>
        </w:rPr>
      </w:pPr>
      <w:r w:rsidRPr="00A20DDD">
        <w:t>An</w:t>
      </w:r>
      <w:r w:rsidR="00E64CB2">
        <w:t>nex</w:t>
      </w:r>
      <w:r w:rsidRPr="00A20DDD">
        <w:t xml:space="preserve"> 4</w:t>
      </w:r>
    </w:p>
    <w:p w14:paraId="22559CC7" w14:textId="77777777"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14:paraId="496C3404" w14:textId="4CE635B3"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0" w:name="_Hlk46505773"/>
      <w:r w:rsidR="00926738">
        <w:tab/>
      </w:r>
      <w:bookmarkEnd w:id="0"/>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4"/>
        <w:t>4</w:t>
      </w:r>
      <w:r w:rsidRPr="00B8336F">
        <w:rPr>
          <w:color w:val="000000"/>
        </w:rPr>
        <w:t xml:space="preserve"> within the downlink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5pt;height:61.4pt" o:ole="">
                  <v:imagedata r:id="rId8" o:title=""/>
                </v:shape>
                <o:OLEObject Type="Embed" ProgID="Equation.3" ShapeID="_x0000_i1025" DrawAspect="Content" ObjectID="_1682318188" r:id="rId9"/>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643CC7CB" w14:textId="77777777" w:rsidR="0081784C" w:rsidRDefault="0081784C" w:rsidP="007D5348">
      <w:pPr>
        <w:rPr>
          <w:rFonts w:eastAsia="SimSun"/>
        </w:rPr>
      </w:pPr>
      <w:r>
        <w:rPr>
          <w:rFonts w:eastAsia="SimSun"/>
        </w:rPr>
        <w:br w:type="page"/>
      </w:r>
    </w:p>
    <w:p w14:paraId="6CCB9B05" w14:textId="319CB79D" w:rsidR="007D5348" w:rsidRPr="00326947" w:rsidRDefault="007D5348" w:rsidP="007D5348">
      <w:pPr>
        <w:rPr>
          <w:rFonts w:eastAsia="SimSun"/>
        </w:rPr>
      </w:pPr>
      <w:r w:rsidRPr="00326947">
        <w:rPr>
          <w:rFonts w:eastAsia="SimSun"/>
        </w:rPr>
        <w:lastRenderedPageBreak/>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test point number h of the wanted downlink service area;</w:t>
      </w:r>
    </w:p>
    <w:p w14:paraId="5765B7C6"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 xml:space="preserve">point number g of the grid of examination points on the wanted downlink service </w:t>
      </w:r>
      <w:r w:rsidR="007D5348" w:rsidRPr="0055585E">
        <w:rPr>
          <w:rFonts w:eastAsia="SimSun"/>
        </w:rPr>
        <w:t>area</w:t>
      </w:r>
      <w:r w:rsidR="007D5348" w:rsidRPr="00326947">
        <w:rPr>
          <w:rFonts w:eastAsia="SimSun"/>
        </w:rPr>
        <w:t>;</w:t>
      </w:r>
    </w:p>
    <w:p w14:paraId="74481BF7"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Nt</w:t>
      </w:r>
      <w:r w:rsidR="007D5348" w:rsidRPr="00326947">
        <w:rPr>
          <w:rFonts w:eastAsia="SimSun"/>
        </w:rPr>
        <w:t>:</w:t>
      </w:r>
      <w:r w:rsidR="007D5348" w:rsidRPr="00326947">
        <w:rPr>
          <w:rFonts w:eastAsia="SimSun"/>
        </w:rPr>
        <w:tab/>
        <w:t>total number of test points;</w:t>
      </w:r>
    </w:p>
    <w:p w14:paraId="0D65C84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d</w:t>
      </w:r>
      <w:r w:rsidR="007D5348" w:rsidRPr="00326947">
        <w:rPr>
          <w:rFonts w:eastAsia="SimSun"/>
          <w:i/>
          <w:iCs/>
          <w:vertAlign w:val="subscript"/>
        </w:rPr>
        <w:t>Th</w:t>
      </w:r>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r w:rsidR="007D5348" w:rsidRPr="00326947">
        <w:rPr>
          <w:rFonts w:eastAsia="SimSun"/>
          <w:i/>
          <w:iCs/>
        </w:rPr>
        <w:t>Eg</w:t>
      </w:r>
      <w:r w:rsidR="007D5348" w:rsidRPr="00326947">
        <w:rPr>
          <w:rFonts w:eastAsia="SimSun"/>
        </w:rPr>
        <w:t>;</w:t>
      </w:r>
    </w:p>
    <w:p w14:paraId="14C1BEF0" w14:textId="729042F2" w:rsidR="007D5348" w:rsidRPr="00326947" w:rsidRDefault="00902D5B" w:rsidP="00902D5B">
      <w:pPr>
        <w:pStyle w:val="Equationlegend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C/N</w:t>
      </w:r>
      <w:r w:rsidR="006E7ECD" w:rsidRPr="006E7ECD">
        <w:rPr>
          <w:rFonts w:eastAsia="SimSun"/>
          <w:lang w:val="en-US"/>
        </w:rPr>
        <w:t>)</w:t>
      </w:r>
      <w:r w:rsidR="006E7ECD" w:rsidRPr="00382F73">
        <w:rPr>
          <w:rFonts w:eastAsia="SimSun"/>
          <w:i/>
          <w:iCs/>
          <w:vertAlign w:val="subscript"/>
          <w:lang w:val="en-US"/>
        </w:rPr>
        <w:t>d</w:t>
      </w:r>
      <w:r w:rsidR="006E7ECD" w:rsidRPr="006E7ECD">
        <w:rPr>
          <w:rFonts w:eastAsia="SimSun"/>
          <w:lang w:val="en-US"/>
        </w:rPr>
        <w:t xml:space="preserve"> + 11.65 dB, whichever is the lowest)</w:t>
      </w:r>
      <w:r w:rsidR="007D5348" w:rsidRPr="00326947">
        <w:rPr>
          <w:rFonts w:eastAsia="SimSun"/>
        </w:rPr>
        <w:t>;</w:t>
      </w:r>
    </w:p>
    <w:p w14:paraId="67C6C0E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V</w:t>
      </w:r>
      <w:r w:rsidR="007D5348" w:rsidRPr="00326947">
        <w:rPr>
          <w:rFonts w:eastAsia="SimSun"/>
          <w:i/>
          <w:iCs/>
          <w:vertAlign w:val="subscript"/>
        </w:rPr>
        <w:t>Eg</w:t>
      </w:r>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r w:rsidR="007D5348" w:rsidRPr="00326947">
        <w:rPr>
          <w:rFonts w:eastAsia="SimSun"/>
          <w:i/>
          <w:iCs/>
        </w:rPr>
        <w:t>Eg</w:t>
      </w:r>
      <w:r w:rsidR="007D5348" w:rsidRPr="00326947">
        <w:rPr>
          <w:rFonts w:eastAsia="SimSun"/>
        </w:rPr>
        <w:t>.</w:t>
      </w:r>
    </w:p>
    <w:p w14:paraId="4EE3FF5E" w14:textId="225CB1FE"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d,Th</w:t>
      </w:r>
      <w:r w:rsidRPr="00326947">
        <w:rPr>
          <w:rFonts w:eastAsia="SimSun"/>
          <w:i/>
          <w:iCs/>
        </w:rPr>
        <w:t xml:space="preserve"> – (C/N)</w:t>
      </w:r>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lang w:eastAsia="zh-CN"/>
        </w:rPr>
        <w:t>is lower than</w:t>
      </w:r>
      <w:r w:rsidRPr="00326947">
        <w:rPr>
          <w:rFonts w:eastAsia="SimSun"/>
          <w:i/>
          <w:iCs/>
        </w:rPr>
        <w:t xml:space="preserve">  R</w:t>
      </w:r>
      <w:r w:rsidRPr="00326947">
        <w:rPr>
          <w:rFonts w:eastAsia="SimSun"/>
          <w:i/>
          <w:iCs/>
          <w:vertAlign w:val="subscript"/>
        </w:rPr>
        <w:t>Th</w:t>
      </w:r>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d,Th</w:t>
      </w:r>
      <w:r w:rsidRPr="00326947">
        <w:rPr>
          <w:rFonts w:eastAsia="SimSun"/>
          <w:i/>
          <w:iCs/>
        </w:rPr>
        <w:t xml:space="preserve"> – (C/N)</w:t>
      </w:r>
      <w:r w:rsidRPr="00326947">
        <w:rPr>
          <w:rFonts w:eastAsia="SimSun"/>
          <w:i/>
          <w:iCs/>
          <w:vertAlign w:val="subscript"/>
        </w:rPr>
        <w:t xml:space="preserve"> 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(C/N)</w:t>
      </w:r>
      <w:r w:rsidRPr="00326947">
        <w:rPr>
          <w:rFonts w:eastAsia="SimSun"/>
          <w:i/>
          <w:iCs/>
          <w:vertAlign w:val="subscript"/>
        </w:rPr>
        <w:t>d,Th</w:t>
      </w:r>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0055585E" w:rsidRPr="0055585E">
        <w:rPr>
          <w:rFonts w:eastAsia="SimSun"/>
          <w:lang w:eastAsia="zh-CN"/>
        </w:rPr>
        <w:t>;</w:t>
      </w:r>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(C/N)</w:t>
      </w:r>
      <w:r w:rsidRPr="00326947">
        <w:rPr>
          <w:rFonts w:eastAsia="SimSun"/>
          <w:i/>
          <w:iCs/>
          <w:vertAlign w:val="subscript"/>
        </w:rPr>
        <w:t>d</w:t>
      </w:r>
      <w:r w:rsidRPr="00326947">
        <w:rPr>
          <w:rFonts w:eastAsia="SimSun"/>
          <w:i/>
          <w:iCs/>
          <w:vertAlign w:val="subscript"/>
          <w:lang w:eastAsia="zh-CN"/>
        </w:rPr>
        <w:t>,Eg</w:t>
      </w:r>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r w:rsidRPr="00326947">
        <w:rPr>
          <w:rFonts w:eastAsia="SimSun"/>
          <w:i/>
          <w:iCs/>
        </w:rPr>
        <w:t>Eg</w:t>
      </w:r>
      <w:r w:rsidR="0055585E">
        <w:rPr>
          <w:rFonts w:eastAsia="SimSun"/>
          <w:i/>
          <w:iCs/>
          <w:lang w:eastAsia="zh-CN"/>
        </w:rPr>
        <w:t>.</w:t>
      </w:r>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r w:rsidRPr="00326947">
        <w:rPr>
          <w:rFonts w:eastAsia="SimSun"/>
          <w:i/>
          <w:iCs/>
        </w:rPr>
        <w:t>V</w:t>
      </w:r>
      <w:r w:rsidRPr="00326947">
        <w:rPr>
          <w:rFonts w:eastAsia="SimSun"/>
          <w:i/>
          <w:iCs/>
          <w:vertAlign w:val="subscript"/>
        </w:rPr>
        <w:t>Eg</w:t>
      </w:r>
      <w:r w:rsidRPr="00326947">
        <w:rPr>
          <w:rFonts w:eastAsia="SimSun"/>
        </w:rPr>
        <w:t xml:space="preserve"> is higher than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r w:rsidRPr="00326947">
        <w:rPr>
          <w:rFonts w:eastAsia="SimSun"/>
          <w:i/>
          <w:iCs/>
        </w:rPr>
        <w:t>Eg</w:t>
      </w:r>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19FF81C8" w14:textId="29A347F3" w:rsidR="00A151A4" w:rsidRPr="00B8336F" w:rsidRDefault="00A151A4" w:rsidP="00A151A4">
      <w:r w:rsidRPr="00B8336F">
        <w:t>4</w:t>
      </w:r>
      <w:r w:rsidRPr="00B8336F">
        <w:tab/>
        <w:t xml:space="preserve">Footnote 10 to § 2.1 of Appendix 1 to Attachment 1 to Resolution </w:t>
      </w:r>
      <w:r w:rsidRPr="00A151A4">
        <w:rPr>
          <w:b/>
          <w:bCs/>
        </w:rPr>
        <w:t>170 (WRC-19)</w:t>
      </w:r>
      <w:r w:rsidRPr="00A151A4">
        <w:t xml:space="preserve"> r</w:t>
      </w:r>
      <w:r w:rsidRPr="00B8336F">
        <w:t>efers to the same interpolation method as above. Therefore, when applying § 2.1 of Appendix</w:t>
      </w:r>
      <w:r w:rsidR="00620D0D">
        <w:t> </w:t>
      </w:r>
      <w:r w:rsidRPr="00B8336F">
        <w:t xml:space="preserve">1 to Attachment 1 to Resolution </w:t>
      </w:r>
      <w:r w:rsidRPr="00B8336F">
        <w:rPr>
          <w:b/>
          <w:bCs/>
        </w:rPr>
        <w:t>170 (WRC-19)</w:t>
      </w:r>
      <w:r w:rsidRPr="00B8336F">
        <w:t xml:space="preserve">, the method contained in §§ 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r w:rsidRPr="00A151A4">
        <w:rPr>
          <w:i/>
          <w:iCs/>
        </w:rPr>
        <w:t>R</w:t>
      </w:r>
      <w:r w:rsidRPr="00A151A4">
        <w:rPr>
          <w:i/>
          <w:iCs/>
          <w:vertAlign w:val="subscript"/>
        </w:rPr>
        <w:t>Th</w:t>
      </w:r>
      <w:r w:rsidRPr="00A151A4">
        <w:t xml:space="preserve"> shall be defined as the single entry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r w:rsidRPr="00A151A4">
        <w:rPr>
          <w:i/>
          <w:iCs/>
          <w:szCs w:val="24"/>
          <w:lang w:eastAsia="zh-CN"/>
        </w:rPr>
        <w:t>N</w:t>
      </w:r>
      <w:r w:rsidRPr="00A151A4">
        <w:rPr>
          <w:szCs w:val="24"/>
          <w:lang w:eastAsia="zh-CN"/>
        </w:rPr>
        <w:t>)</w:t>
      </w:r>
      <w:r w:rsidRPr="00A151A4">
        <w:rPr>
          <w:i/>
          <w:iCs/>
          <w:sz w:val="16"/>
          <w:szCs w:val="16"/>
          <w:lang w:eastAsia="zh-CN"/>
        </w:rPr>
        <w:t xml:space="preserve">d </w:t>
      </w:r>
      <w:r w:rsidRPr="00A151A4">
        <w:rPr>
          <w:i/>
          <w:iCs/>
          <w:szCs w:val="24"/>
          <w:lang w:eastAsia="zh-CN"/>
        </w:rPr>
        <w:t xml:space="preserve">+ </w:t>
      </w:r>
      <w:r w:rsidRPr="00A151A4">
        <w:rPr>
          <w:szCs w:val="24"/>
          <w:lang w:eastAsia="zh-CN"/>
        </w:rPr>
        <w:t>8.65 dB, or any already accepted value, whichever is the lowest)</w:t>
      </w:r>
      <w:r w:rsidRPr="00A151A4">
        <w:t>;</w:t>
      </w:r>
    </w:p>
    <w:p w14:paraId="199D72E8" w14:textId="07804657" w:rsidR="00A151A4" w:rsidRDefault="00A151A4" w:rsidP="00A151A4">
      <w:pPr>
        <w:tabs>
          <w:tab w:val="left" w:pos="0"/>
          <w:tab w:val="left" w:pos="709"/>
        </w:tabs>
        <w:spacing w:before="240"/>
      </w:pPr>
      <w:r w:rsidRPr="00A151A4">
        <w:tab/>
        <w:t>a value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+11.65 dB.</w:t>
      </w:r>
    </w:p>
    <w:p w14:paraId="5F173AF7" w14:textId="77777777" w:rsidR="005B28B0" w:rsidRDefault="005B28B0" w:rsidP="00A151A4">
      <w:pPr>
        <w:tabs>
          <w:tab w:val="left" w:pos="0"/>
          <w:tab w:val="left" w:pos="709"/>
        </w:tabs>
        <w:spacing w:before="240"/>
      </w:pPr>
    </w:p>
    <w:p w14:paraId="59ED0A83" w14:textId="5159103F" w:rsidR="0081784C" w:rsidRDefault="0081784C" w:rsidP="00A151A4">
      <w:pPr>
        <w:tabs>
          <w:tab w:val="left" w:pos="0"/>
          <w:tab w:val="left" w:pos="709"/>
        </w:tabs>
        <w:spacing w:before="240"/>
      </w:pPr>
      <w:r>
        <w:br w:type="page"/>
      </w:r>
    </w:p>
    <w:p w14:paraId="7F0B6CBD" w14:textId="313E2CB0" w:rsidR="0069356C" w:rsidRPr="006A5FD8" w:rsidRDefault="0069356C" w:rsidP="0069356C">
      <w:pPr>
        <w:pStyle w:val="Heading8"/>
        <w:pBdr>
          <w:top w:val="double" w:sz="4" w:space="1" w:color="auto"/>
          <w:left w:val="double" w:sz="4" w:space="1" w:color="auto"/>
          <w:bottom w:val="double" w:sz="4" w:space="1" w:color="auto"/>
          <w:right w:val="double" w:sz="4" w:space="1" w:color="auto"/>
        </w:pBdr>
      </w:pPr>
      <w:r>
        <w:lastRenderedPageBreak/>
        <w:t>2.2</w:t>
      </w:r>
      <w:r>
        <w:tab/>
      </w:r>
    </w:p>
    <w:p w14:paraId="7CA5DBCF" w14:textId="77777777" w:rsidR="0069356C" w:rsidRPr="0069356C" w:rsidRDefault="0069356C" w:rsidP="0069356C">
      <w:pPr>
        <w:tabs>
          <w:tab w:val="clear" w:pos="1134"/>
          <w:tab w:val="clear" w:pos="1871"/>
          <w:tab w:val="clear" w:pos="2268"/>
          <w:tab w:val="left" w:pos="794"/>
          <w:tab w:val="left" w:pos="1191"/>
          <w:tab w:val="left" w:pos="1588"/>
          <w:tab w:val="left" w:pos="1985"/>
        </w:tabs>
        <w:jc w:val="left"/>
        <w:rPr>
          <w:rFonts w:eastAsia="SimSun"/>
        </w:rPr>
      </w:pPr>
      <w:r w:rsidRPr="0069356C">
        <w:rPr>
          <w:rFonts w:eastAsia="SimSun"/>
          <w:b/>
          <w:bCs/>
        </w:rPr>
        <w:t>Note</w:t>
      </w:r>
      <w:r w:rsidRPr="0069356C">
        <w:rPr>
          <w:rFonts w:eastAsia="SimSun"/>
        </w:rPr>
        <w:t>: WRC-19 took the decision related to grid points and test points at sea, during the 8</w:t>
      </w:r>
      <w:r w:rsidRPr="0069356C">
        <w:rPr>
          <w:rFonts w:eastAsia="SimSun"/>
          <w:vertAlign w:val="superscript"/>
        </w:rPr>
        <w:t>th</w:t>
      </w:r>
      <w:r w:rsidRPr="0069356C">
        <w:rPr>
          <w:rFonts w:eastAsia="SimSun"/>
        </w:rPr>
        <w:t xml:space="preserve"> Plenary, see items 3.11 to 3.15 of Doc. CMR19/569, approval of Doc. CMR19/451, in relation to section 3.2.5.6 of Doc. CMR19/4 (Add.2), as follows: </w:t>
      </w:r>
    </w:p>
    <w:p w14:paraId="1F934F10" w14:textId="095B9F42" w:rsidR="0069356C" w:rsidRPr="00267B9C" w:rsidRDefault="0069356C" w:rsidP="0069356C">
      <w:pPr>
        <w:tabs>
          <w:tab w:val="clear" w:pos="1134"/>
          <w:tab w:val="clear" w:pos="1871"/>
          <w:tab w:val="clear" w:pos="2268"/>
          <w:tab w:val="left" w:pos="794"/>
          <w:tab w:val="left" w:pos="1191"/>
          <w:tab w:val="left" w:pos="1588"/>
          <w:tab w:val="left" w:pos="1985"/>
        </w:tabs>
        <w:jc w:val="left"/>
        <w:rPr>
          <w:rFonts w:eastAsia="SimSun"/>
          <w:i/>
          <w:iCs/>
          <w:lang w:val="en-US"/>
        </w:rPr>
      </w:pPr>
      <w:r w:rsidRPr="00267B9C">
        <w:rPr>
          <w:rFonts w:eastAsia="SimSun"/>
          <w:i/>
          <w:iCs/>
        </w:rPr>
        <w:t>“</w:t>
      </w:r>
      <w:r w:rsidRPr="00267B9C">
        <w:rPr>
          <w:rFonts w:eastAsia="SimSun"/>
          <w:i/>
          <w:iCs/>
          <w:lang w:val="en-CA"/>
        </w:rPr>
        <w:t>In considering section 3.2.5.6 on ‘Grid points at sea in the examination using the methods of Annex 4 of RR Appendix </w:t>
      </w:r>
      <w:r w:rsidRPr="00267B9C">
        <w:rPr>
          <w:rFonts w:eastAsia="SimSun"/>
          <w:b/>
          <w:i/>
          <w:iCs/>
          <w:lang w:val="en-CA"/>
        </w:rPr>
        <w:t>30B</w:t>
      </w:r>
      <w:r w:rsidRPr="00267B9C">
        <w:rPr>
          <w:rFonts w:eastAsia="SimSun"/>
          <w:i/>
          <w:iCs/>
          <w:lang w:val="en-CA"/>
        </w:rPr>
        <w:t xml:space="preserve">’, WRC-19 decided that only grid points that are located on land and inside the service area should be considered in addition to test-points in application of paragraph 2.2 of Annex 4 to Appendix </w:t>
      </w:r>
      <w:r w:rsidRPr="00267B9C">
        <w:rPr>
          <w:rFonts w:eastAsia="SimSun"/>
          <w:b/>
          <w:bCs/>
          <w:i/>
          <w:iCs/>
          <w:lang w:val="en-CA"/>
        </w:rPr>
        <w:t>30B</w:t>
      </w:r>
      <w:r w:rsidRPr="00267B9C">
        <w:rPr>
          <w:rFonts w:eastAsia="SimSun"/>
          <w:i/>
          <w:iCs/>
          <w:lang w:val="en-CA"/>
        </w:rPr>
        <w:t xml:space="preserve">. In taking this decision WRC-19 acknowledged that, should the use of Appendix </w:t>
      </w:r>
      <w:r w:rsidRPr="00267B9C">
        <w:rPr>
          <w:rFonts w:eastAsia="SimSun"/>
          <w:b/>
          <w:bCs/>
          <w:i/>
          <w:iCs/>
          <w:lang w:val="en-CA"/>
        </w:rPr>
        <w:t>30B</w:t>
      </w:r>
      <w:r w:rsidRPr="00267B9C">
        <w:rPr>
          <w:rFonts w:eastAsia="SimSun"/>
          <w:i/>
          <w:iCs/>
          <w:lang w:val="en-CA"/>
        </w:rPr>
        <w:t xml:space="preserve"> expand beyond its current use, it may be necessary to reconsider this decision in the future. WRC-19 also decided that test-points at sea shall not be taken into account by the Radiocommunication Bureau in its technical and regulatory examination of the relevant submissions received by the Bureau.”</w:t>
      </w:r>
    </w:p>
    <w:p w14:paraId="10D225C8" w14:textId="0524488A" w:rsidR="00EC6453" w:rsidRPr="00EC6453" w:rsidRDefault="00EC6453" w:rsidP="00E84C34">
      <w:pPr>
        <w:pStyle w:val="Heading8"/>
        <w:pBdr>
          <w:right w:val="double" w:sz="6" w:space="31" w:color="auto"/>
        </w:pBdr>
        <w:tabs>
          <w:tab w:val="clear" w:pos="1134"/>
          <w:tab w:val="clear" w:pos="1871"/>
          <w:tab w:val="left" w:pos="2835"/>
          <w:tab w:val="left" w:pos="3119"/>
        </w:tabs>
        <w:ind w:right="7229"/>
        <w:jc w:val="left"/>
        <w:rPr>
          <w:lang w:val="en-US"/>
        </w:rPr>
      </w:pPr>
      <w:r w:rsidRPr="00EC6453">
        <w:rPr>
          <w:lang w:val="en-US"/>
        </w:rPr>
        <w:t>Appendix 1 to Annex 4</w:t>
      </w:r>
      <w:r w:rsidR="0058269D">
        <w:rPr>
          <w:lang w:val="en-US"/>
        </w:rPr>
        <w:tab/>
      </w:r>
    </w:p>
    <w:p w14:paraId="690021A0" w14:textId="77777777" w:rsidR="00EC6453" w:rsidRPr="00EC6453" w:rsidRDefault="00EC6453" w:rsidP="0058269D">
      <w:pPr>
        <w:pStyle w:val="AppendixTitle"/>
        <w:tabs>
          <w:tab w:val="left" w:pos="2835"/>
        </w:tabs>
        <w:rPr>
          <w:lang w:eastAsia="zh-CN"/>
        </w:rPr>
      </w:pPr>
      <w:r w:rsidRPr="00EC6453">
        <w:rPr>
          <w:lang w:eastAsia="zh-CN"/>
        </w:rPr>
        <w:t>Method for determination of the overall single-entry and aggregate carrier-to-interference value averaged over the necessary bandwidth of the modulated carrier</w:t>
      </w:r>
    </w:p>
    <w:p w14:paraId="4516EB44" w14:textId="77777777" w:rsidR="00EC6453" w:rsidRPr="00EC6453" w:rsidRDefault="00EC6453" w:rsidP="00EC6453">
      <w:pPr>
        <w:pStyle w:val="Heading8"/>
        <w:pBdr>
          <w:right w:val="double" w:sz="6" w:space="31" w:color="auto"/>
        </w:pBdr>
        <w:tabs>
          <w:tab w:val="clear" w:pos="1134"/>
          <w:tab w:val="clear" w:pos="1871"/>
        </w:tabs>
        <w:ind w:right="7228"/>
        <w:jc w:val="left"/>
        <w:rPr>
          <w:rFonts w:eastAsia="Times New Roman"/>
          <w:szCs w:val="24"/>
          <w:lang w:val="en-US"/>
        </w:rPr>
      </w:pPr>
      <w:r w:rsidRPr="00EC6453">
        <w:rPr>
          <w:rFonts w:eastAsia="Times New Roman"/>
          <w:szCs w:val="24"/>
          <w:lang w:val="en-US"/>
        </w:rPr>
        <w:t xml:space="preserve">2. Aggregate </w:t>
      </w:r>
      <w:r w:rsidRPr="00EC6453">
        <w:rPr>
          <w:rFonts w:eastAsia="Times New Roman"/>
          <w:i/>
          <w:iCs/>
          <w:szCs w:val="24"/>
          <w:lang w:val="en-US"/>
        </w:rPr>
        <w:t>C</w:t>
      </w:r>
      <w:r w:rsidRPr="00EC6453">
        <w:rPr>
          <w:rFonts w:eastAsia="Times New Roman"/>
          <w:szCs w:val="24"/>
          <w:lang w:val="en-US"/>
        </w:rPr>
        <w:t>/</w:t>
      </w:r>
      <w:r w:rsidRPr="00EC6453">
        <w:rPr>
          <w:rFonts w:eastAsia="Times New Roman"/>
          <w:i/>
          <w:iCs/>
          <w:szCs w:val="24"/>
          <w:lang w:val="en-US"/>
        </w:rPr>
        <w:t>I</w:t>
      </w:r>
    </w:p>
    <w:p w14:paraId="1B4C5803" w14:textId="77777777" w:rsidR="00EC6453" w:rsidRPr="00EC6453" w:rsidRDefault="00EC6453" w:rsidP="00EC6453">
      <w:pPr>
        <w:tabs>
          <w:tab w:val="left" w:pos="0"/>
          <w:tab w:val="left" w:pos="284"/>
        </w:tabs>
        <w:rPr>
          <w:rFonts w:eastAsia="Times New Roman"/>
          <w:szCs w:val="28"/>
          <w:lang w:val="en-US" w:eastAsia="zh-CN"/>
        </w:rPr>
      </w:pPr>
      <w:r w:rsidRPr="00EC6453">
        <w:rPr>
          <w:rFonts w:eastAsia="Times New Roman"/>
          <w:szCs w:val="28"/>
          <w:lang w:val="en-US" w:eastAsia="zh-CN"/>
        </w:rPr>
        <w:t xml:space="preserve">Taking into account the orbital spacing values contained in §§ 1.1 and 1.2 of Annex 4 to Appendix </w:t>
      </w:r>
      <w:r w:rsidRPr="00EC6453">
        <w:rPr>
          <w:rFonts w:eastAsia="Times New Roman"/>
          <w:b/>
          <w:bCs/>
          <w:szCs w:val="28"/>
          <w:lang w:val="en-US" w:eastAsia="zh-CN"/>
        </w:rPr>
        <w:t>30B (Rev.WRC-19)</w:t>
      </w:r>
      <w:r w:rsidRPr="00EC6453">
        <w:rPr>
          <w:rFonts w:eastAsia="Times New Roman"/>
          <w:szCs w:val="28"/>
          <w:lang w:val="en-US" w:eastAsia="zh-CN"/>
        </w:rPr>
        <w:t>, the Board decided that, in calculating the aggregate (</w:t>
      </w:r>
      <w:r w:rsidRPr="00EC6453">
        <w:rPr>
          <w:rFonts w:eastAsia="Times New Roman"/>
          <w:i/>
          <w:iCs/>
          <w:szCs w:val="28"/>
          <w:lang w:val="en-US" w:eastAsia="zh-CN"/>
        </w:rPr>
        <w:t>C</w:t>
      </w:r>
      <w:r w:rsidRPr="00EC6453">
        <w:rPr>
          <w:rFonts w:eastAsia="Times New Roman"/>
          <w:szCs w:val="28"/>
          <w:lang w:val="en-US" w:eastAsia="zh-CN"/>
        </w:rPr>
        <w:t>/</w:t>
      </w:r>
      <w:r w:rsidRPr="00EC6453">
        <w:rPr>
          <w:rFonts w:eastAsia="Times New Roman"/>
          <w:i/>
          <w:iCs/>
          <w:szCs w:val="28"/>
          <w:lang w:val="en-US" w:eastAsia="zh-CN"/>
        </w:rPr>
        <w:t>I</w:t>
      </w:r>
      <w:r w:rsidRPr="00EC6453">
        <w:rPr>
          <w:rFonts w:eastAsia="Times New Roman"/>
          <w:szCs w:val="28"/>
          <w:lang w:val="en-US" w:eastAsia="zh-CN"/>
        </w:rPr>
        <w:t>)</w:t>
      </w:r>
      <w:r w:rsidRPr="00EC6453">
        <w:rPr>
          <w:rFonts w:eastAsia="Times New Roman"/>
          <w:i/>
          <w:iCs/>
          <w:szCs w:val="28"/>
          <w:lang w:val="en-US" w:eastAsia="zh-CN"/>
        </w:rPr>
        <w:t>agg</w:t>
      </w:r>
      <w:r w:rsidRPr="00EC6453">
        <w:rPr>
          <w:rFonts w:eastAsia="Times New Roman"/>
          <w:szCs w:val="28"/>
          <w:lang w:val="en-US" w:eastAsia="zh-CN"/>
        </w:rPr>
        <w:t xml:space="preserve"> at a given downlink test point, the Bureau shall take into account only the interfering allotments or assignments for which the orbital separation with the desired satellite is less than or equal to 7° in the case of the 6/4 GHz bands and less than or equal to 6° in the case of the 13/10-11 GHz bands.</w:t>
      </w: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55585E">
      <w:pPr>
        <w:spacing w:before="120"/>
        <w:jc w:val="center"/>
        <w:rPr>
          <w:color w:val="000000"/>
        </w:rPr>
      </w:pPr>
    </w:p>
    <w:p w14:paraId="40019A60" w14:textId="6632D288" w:rsidR="0081784C" w:rsidRDefault="0081784C" w:rsidP="0055585E">
      <w:pPr>
        <w:spacing w:before="120"/>
        <w:jc w:val="center"/>
        <w:rPr>
          <w:color w:val="000000"/>
        </w:rPr>
      </w:pPr>
    </w:p>
    <w:p w14:paraId="46C3A6AA" w14:textId="28333B9B" w:rsidR="0081784C" w:rsidRDefault="0081784C" w:rsidP="0055585E">
      <w:pPr>
        <w:spacing w:before="120"/>
        <w:jc w:val="center"/>
        <w:rPr>
          <w:color w:val="000000"/>
        </w:rPr>
      </w:pPr>
    </w:p>
    <w:p w14:paraId="50827895" w14:textId="77777777" w:rsidR="0081784C" w:rsidRDefault="0081784C" w:rsidP="0055585E">
      <w:pPr>
        <w:spacing w:before="120"/>
        <w:jc w:val="center"/>
      </w:pPr>
    </w:p>
    <w:p w14:paraId="0041DB1B" w14:textId="77777777" w:rsidR="00620D0D" w:rsidRDefault="00620D0D" w:rsidP="004C01D1"/>
    <w:p w14:paraId="5D0AB5D0" w14:textId="3766DD3A" w:rsidR="00620D0D" w:rsidRPr="004C01D1" w:rsidRDefault="00620D0D" w:rsidP="004C01D1">
      <w:pPr>
        <w:sectPr w:rsidR="00620D0D" w:rsidRPr="004C01D1" w:rsidSect="00902333">
          <w:headerReference w:type="even" r:id="rId10"/>
          <w:headerReference w:type="default" r:id="rId11"/>
          <w:footnotePr>
            <w:pos w:val="beneathText"/>
          </w:footnotePr>
          <w:pgSz w:w="11907" w:h="16840" w:code="9"/>
          <w:pgMar w:top="1701" w:right="851" w:bottom="1134" w:left="1985" w:header="720" w:footer="482" w:gutter="0"/>
          <w:pgNumType w:start="1"/>
          <w:cols w:space="720"/>
          <w:vAlign w:val="both"/>
        </w:sectPr>
      </w:pPr>
    </w:p>
    <w:p w14:paraId="7EEDD934" w14:textId="77777777" w:rsidR="00770297" w:rsidRPr="004C01D1" w:rsidRDefault="00770297" w:rsidP="004C01D1"/>
    <w:sectPr w:rsidR="00770297" w:rsidRPr="004C01D1" w:rsidSect="004C01D1">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B5672" w14:textId="77777777" w:rsidR="009F2BE3" w:rsidRDefault="009F2BE3">
      <w:r>
        <w:separator/>
      </w:r>
    </w:p>
  </w:endnote>
  <w:endnote w:type="continuationSeparator" w:id="0">
    <w:p w14:paraId="33B20E91" w14:textId="77777777"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23161" w14:textId="77777777" w:rsidR="009F2BE3" w:rsidRDefault="009F2BE3">
      <w:r>
        <w:rPr>
          <w:b/>
        </w:rPr>
        <w:t>_______________</w:t>
      </w:r>
    </w:p>
  </w:footnote>
  <w:footnote w:type="continuationSeparator" w:id="0">
    <w:p w14:paraId="01A04D4D" w14:textId="77777777" w:rsidR="009F2BE3" w:rsidRDefault="009F2BE3">
      <w:r>
        <w:continuationSeparator/>
      </w:r>
    </w:p>
  </w:footnote>
  <w:footnote w:id="1">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14:paraId="3525B7B8" w14:textId="77777777"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14:paraId="0830FE97" w14:textId="2A5FAAD0" w:rsidR="00EC6453" w:rsidRPr="006E7ECD" w:rsidRDefault="006E7ECD" w:rsidP="0069356C">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5476C401" w:rsidR="00620D0D" w:rsidRDefault="00620D0D">
          <w:pPr>
            <w:pStyle w:val="HeaderRegProc"/>
          </w:pPr>
          <w:r>
            <w:t>Part A</w:t>
          </w:r>
          <w:r>
            <w:fldChar w:fldCharType="begin"/>
          </w:r>
          <w:r>
            <w:instrText>styleref href</w:instrText>
          </w:r>
          <w:r>
            <w:fldChar w:fldCharType="separate"/>
          </w:r>
          <w:r w:rsidR="00C57E8C">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1B56A2D2" w:rsidR="00620D0D" w:rsidRDefault="00C57E8C">
          <w:pPr>
            <w:pStyle w:val="HeaderRegProc"/>
            <w:rPr>
              <w:lang w:val="fr-FR"/>
            </w:rPr>
          </w:pPr>
          <w:r>
            <w:fldChar w:fldCharType="begin"/>
          </w:r>
          <w:r>
            <w:instrText xml:space="preserve"> DOCPROPERTY "Header1" \* MERGEFORMAT </w:instrText>
          </w:r>
          <w:r>
            <w:fldChar w:fldCharType="separate"/>
          </w:r>
          <w:r>
            <w:t>AP</w:t>
          </w:r>
          <w:r>
            <w:fldChar w:fldCharType="end"/>
          </w:r>
          <w:r w:rsidR="00620D0D">
            <w:fldChar w:fldCharType="begin"/>
          </w:r>
          <w:r w:rsidR="00620D0D">
            <w:instrText>styleref href2</w:instrText>
          </w:r>
          <w:r w:rsidR="00620D0D">
            <w:fldChar w:fldCharType="separate"/>
          </w:r>
          <w:r>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19F85293" w:rsidR="00620D0D" w:rsidRDefault="00620D0D" w:rsidP="00682249">
          <w:pPr>
            <w:pStyle w:val="HeaderRegProc"/>
            <w:rPr>
              <w:lang w:val="fr-CH"/>
            </w:rPr>
          </w:pPr>
          <w:r>
            <w:rPr>
              <w:lang w:val="fr-CH"/>
            </w:rPr>
            <w:t>rev.</w:t>
          </w:r>
          <w:r w:rsidR="0058269D">
            <w:rPr>
              <w:lang w:val="fr-CH"/>
            </w:rPr>
            <w:t xml:space="preserve"> </w:t>
          </w:r>
          <w:r w:rsidR="00902333">
            <w:rPr>
              <w:lang w:val="fr-CH"/>
            </w:rPr>
            <w:t>-</w:t>
          </w:r>
        </w:p>
      </w:tc>
    </w:tr>
  </w:tbl>
  <w:p w14:paraId="2EB86C82" w14:textId="77777777" w:rsidR="00620D0D" w:rsidRDefault="00620D0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54D4EF40" w:rsidR="00620D0D" w:rsidRDefault="00620D0D">
          <w:pPr>
            <w:pStyle w:val="HeaderRegProc"/>
          </w:pPr>
          <w:r>
            <w:t>Part A</w:t>
          </w:r>
          <w:r>
            <w:fldChar w:fldCharType="begin"/>
          </w:r>
          <w:r>
            <w:instrText>styleref href</w:instrText>
          </w:r>
          <w:r>
            <w:fldChar w:fldCharType="separate"/>
          </w:r>
          <w:r w:rsidR="00C57E8C">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6A9C95A0" w:rsidR="00620D0D" w:rsidRDefault="00C57E8C">
          <w:pPr>
            <w:pStyle w:val="HeaderRegProc"/>
            <w:rPr>
              <w:lang w:val="fr-FR"/>
            </w:rPr>
          </w:pPr>
          <w:r>
            <w:fldChar w:fldCharType="begin"/>
          </w:r>
          <w:r>
            <w:instrText xml:space="preserve"> DOCPROPERTY "Header1" \* MERGEFORMAT </w:instrText>
          </w:r>
          <w:r>
            <w:fldChar w:fldCharType="separate"/>
          </w:r>
          <w:r>
            <w:t>AP</w:t>
          </w:r>
          <w:r>
            <w:fldChar w:fldCharType="end"/>
          </w:r>
          <w:r w:rsidR="00620D0D">
            <w:fldChar w:fldCharType="begin"/>
          </w:r>
          <w:r w:rsidR="00620D0D">
            <w:instrText>styleref href2</w:instrText>
          </w:r>
          <w:r w:rsidR="00620D0D">
            <w:fldChar w:fldCharType="separate"/>
          </w:r>
          <w:r>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6613B0FC" w:rsidR="00620D0D" w:rsidRDefault="00620D0D" w:rsidP="0046017E">
          <w:pPr>
            <w:pStyle w:val="HeaderRegProc"/>
            <w:rPr>
              <w:lang w:val="fr-CH"/>
            </w:rPr>
          </w:pPr>
          <w:r>
            <w:rPr>
              <w:lang w:val="fr-CH"/>
            </w:rPr>
            <w:t>rev.</w:t>
          </w:r>
          <w:r w:rsidR="0058269D">
            <w:rPr>
              <w:lang w:val="fr-CH"/>
            </w:rPr>
            <w:t xml:space="preserve"> </w:t>
          </w:r>
          <w:r w:rsidR="00902333">
            <w:rPr>
              <w:lang w:val="fr-CH"/>
            </w:rPr>
            <w:t>-</w:t>
          </w:r>
        </w:p>
      </w:tc>
    </w:tr>
  </w:tbl>
  <w:p w14:paraId="50C82286" w14:textId="77777777" w:rsidR="00620D0D" w:rsidRDefault="00620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AC733" w14:textId="77777777" w:rsidR="00781F68" w:rsidRDefault="00781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1"/>
  <w:printFractionalCharacterWidth/>
  <w:embedSystemFonts/>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7102"/>
    <w:rsid w:val="0001013B"/>
    <w:rsid w:val="00025941"/>
    <w:rsid w:val="0004075A"/>
    <w:rsid w:val="0005129B"/>
    <w:rsid w:val="00051441"/>
    <w:rsid w:val="000572F6"/>
    <w:rsid w:val="0013713A"/>
    <w:rsid w:val="00150B18"/>
    <w:rsid w:val="00151081"/>
    <w:rsid w:val="00163FCE"/>
    <w:rsid w:val="00182C8F"/>
    <w:rsid w:val="001838C3"/>
    <w:rsid w:val="001972B1"/>
    <w:rsid w:val="001D5FE1"/>
    <w:rsid w:val="002519DB"/>
    <w:rsid w:val="00263DCC"/>
    <w:rsid w:val="00267B9C"/>
    <w:rsid w:val="002845B5"/>
    <w:rsid w:val="002D3821"/>
    <w:rsid w:val="002F0850"/>
    <w:rsid w:val="00311037"/>
    <w:rsid w:val="003358AB"/>
    <w:rsid w:val="003521B2"/>
    <w:rsid w:val="0036477F"/>
    <w:rsid w:val="00365999"/>
    <w:rsid w:val="00382F73"/>
    <w:rsid w:val="003831E8"/>
    <w:rsid w:val="003A477C"/>
    <w:rsid w:val="003A48F3"/>
    <w:rsid w:val="003B4528"/>
    <w:rsid w:val="003E0B92"/>
    <w:rsid w:val="003E4995"/>
    <w:rsid w:val="003E6EEE"/>
    <w:rsid w:val="00421D23"/>
    <w:rsid w:val="00450365"/>
    <w:rsid w:val="004567FB"/>
    <w:rsid w:val="0046017E"/>
    <w:rsid w:val="004A3996"/>
    <w:rsid w:val="004B3663"/>
    <w:rsid w:val="004C01D1"/>
    <w:rsid w:val="0050065C"/>
    <w:rsid w:val="00523779"/>
    <w:rsid w:val="0054680C"/>
    <w:rsid w:val="0055585E"/>
    <w:rsid w:val="00572339"/>
    <w:rsid w:val="005740A3"/>
    <w:rsid w:val="0058269D"/>
    <w:rsid w:val="00583970"/>
    <w:rsid w:val="005905DA"/>
    <w:rsid w:val="0059216D"/>
    <w:rsid w:val="005A4646"/>
    <w:rsid w:val="005B28B0"/>
    <w:rsid w:val="005B4CC7"/>
    <w:rsid w:val="005C4805"/>
    <w:rsid w:val="005C5F37"/>
    <w:rsid w:val="005F135F"/>
    <w:rsid w:val="005F2BE0"/>
    <w:rsid w:val="005F4A3B"/>
    <w:rsid w:val="00602F8C"/>
    <w:rsid w:val="00617BBF"/>
    <w:rsid w:val="00620D0D"/>
    <w:rsid w:val="00632623"/>
    <w:rsid w:val="006544EA"/>
    <w:rsid w:val="0065654E"/>
    <w:rsid w:val="00682249"/>
    <w:rsid w:val="006878D4"/>
    <w:rsid w:val="0069356C"/>
    <w:rsid w:val="006966D0"/>
    <w:rsid w:val="006A5400"/>
    <w:rsid w:val="006A5FD8"/>
    <w:rsid w:val="006C4990"/>
    <w:rsid w:val="006E2C7C"/>
    <w:rsid w:val="006E7ECD"/>
    <w:rsid w:val="006F31B3"/>
    <w:rsid w:val="006F5BF9"/>
    <w:rsid w:val="007003F8"/>
    <w:rsid w:val="0072463C"/>
    <w:rsid w:val="00756796"/>
    <w:rsid w:val="007603A2"/>
    <w:rsid w:val="00770297"/>
    <w:rsid w:val="00781F68"/>
    <w:rsid w:val="00796226"/>
    <w:rsid w:val="00797EF2"/>
    <w:rsid w:val="007B5DFF"/>
    <w:rsid w:val="007C5B6A"/>
    <w:rsid w:val="007D5348"/>
    <w:rsid w:val="007D7071"/>
    <w:rsid w:val="007E411A"/>
    <w:rsid w:val="007F7798"/>
    <w:rsid w:val="0081784C"/>
    <w:rsid w:val="00860DC9"/>
    <w:rsid w:val="00883BB6"/>
    <w:rsid w:val="00891820"/>
    <w:rsid w:val="008923CD"/>
    <w:rsid w:val="008A4CBB"/>
    <w:rsid w:val="008A6CD6"/>
    <w:rsid w:val="008B5FFC"/>
    <w:rsid w:val="008C165F"/>
    <w:rsid w:val="008D45D7"/>
    <w:rsid w:val="008E2C91"/>
    <w:rsid w:val="00902333"/>
    <w:rsid w:val="00902D5B"/>
    <w:rsid w:val="00926738"/>
    <w:rsid w:val="009335D4"/>
    <w:rsid w:val="0098040E"/>
    <w:rsid w:val="009961E4"/>
    <w:rsid w:val="00997078"/>
    <w:rsid w:val="009E2551"/>
    <w:rsid w:val="009F272C"/>
    <w:rsid w:val="009F2BE3"/>
    <w:rsid w:val="009F2C7A"/>
    <w:rsid w:val="00A06C3A"/>
    <w:rsid w:val="00A151A4"/>
    <w:rsid w:val="00A20DDD"/>
    <w:rsid w:val="00A31C60"/>
    <w:rsid w:val="00A53258"/>
    <w:rsid w:val="00A66A9A"/>
    <w:rsid w:val="00A73986"/>
    <w:rsid w:val="00A96492"/>
    <w:rsid w:val="00AC5624"/>
    <w:rsid w:val="00AD0698"/>
    <w:rsid w:val="00AD275E"/>
    <w:rsid w:val="00AD5FF2"/>
    <w:rsid w:val="00B0024F"/>
    <w:rsid w:val="00B019CD"/>
    <w:rsid w:val="00B05B0B"/>
    <w:rsid w:val="00B2379C"/>
    <w:rsid w:val="00B657F0"/>
    <w:rsid w:val="00B714A6"/>
    <w:rsid w:val="00B71E2C"/>
    <w:rsid w:val="00B80CD7"/>
    <w:rsid w:val="00BA061E"/>
    <w:rsid w:val="00BA5758"/>
    <w:rsid w:val="00BC3373"/>
    <w:rsid w:val="00BC5D27"/>
    <w:rsid w:val="00BE487E"/>
    <w:rsid w:val="00C550A7"/>
    <w:rsid w:val="00C57E8C"/>
    <w:rsid w:val="00C60716"/>
    <w:rsid w:val="00C7013D"/>
    <w:rsid w:val="00C76183"/>
    <w:rsid w:val="00C813BE"/>
    <w:rsid w:val="00CA762B"/>
    <w:rsid w:val="00CB70A1"/>
    <w:rsid w:val="00CF1065"/>
    <w:rsid w:val="00D34692"/>
    <w:rsid w:val="00D7040B"/>
    <w:rsid w:val="00D779B1"/>
    <w:rsid w:val="00DA6CC0"/>
    <w:rsid w:val="00DB17E2"/>
    <w:rsid w:val="00DC79E8"/>
    <w:rsid w:val="00DE25FE"/>
    <w:rsid w:val="00DE57F6"/>
    <w:rsid w:val="00E64CB2"/>
    <w:rsid w:val="00E70E73"/>
    <w:rsid w:val="00E74DD2"/>
    <w:rsid w:val="00E82238"/>
    <w:rsid w:val="00E84C34"/>
    <w:rsid w:val="00EC2B1F"/>
    <w:rsid w:val="00EC6453"/>
    <w:rsid w:val="00ED0421"/>
    <w:rsid w:val="00F062CD"/>
    <w:rsid w:val="00F06F97"/>
    <w:rsid w:val="00F103FB"/>
    <w:rsid w:val="00F16C2F"/>
    <w:rsid w:val="00F4364B"/>
    <w:rsid w:val="00F6383B"/>
    <w:rsid w:val="00F6639F"/>
    <w:rsid w:val="00F77A30"/>
    <w:rsid w:val="00FB5639"/>
    <w:rsid w:val="00FC293A"/>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4:docId w14:val="3B9122CA"/>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198</TotalTime>
  <Pages>14</Pages>
  <Words>3756</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Al-Yammouni, Hala</cp:lastModifiedBy>
  <cp:revision>83</cp:revision>
  <cp:lastPrinted>2021-05-12T07:42:00Z</cp:lastPrinted>
  <dcterms:created xsi:type="dcterms:W3CDTF">2016-11-10T16:42:00Z</dcterms:created>
  <dcterms:modified xsi:type="dcterms:W3CDTF">2021-05-12T07:48:00Z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