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17857" w14:textId="77777777" w:rsidR="002150F8" w:rsidRPr="008E5ED7" w:rsidRDefault="002150F8" w:rsidP="00552405">
      <w:pPr>
        <w:pStyle w:val="Heading1"/>
        <w:spacing w:before="300"/>
        <w:ind w:left="0" w:firstLine="0"/>
        <w:jc w:val="center"/>
      </w:pPr>
      <w:r w:rsidRPr="008E5ED7">
        <w:t>Rules concerning</w:t>
      </w:r>
    </w:p>
    <w:p w14:paraId="41924C51" w14:textId="77777777" w:rsidR="002150F8" w:rsidRPr="008E5ED7" w:rsidRDefault="002150F8">
      <w:pPr>
        <w:pStyle w:val="Heading2"/>
        <w:jc w:val="center"/>
      </w:pPr>
      <w:r w:rsidRPr="008E5ED7">
        <w:t xml:space="preserve">APPENDIX  </w:t>
      </w:r>
      <w:r w:rsidRPr="008E5ED7">
        <w:rPr>
          <w:rStyle w:val="href2"/>
        </w:rPr>
        <w:t>30A</w:t>
      </w:r>
      <w:r w:rsidRPr="008E5ED7">
        <w:t xml:space="preserve"> to the RR</w:t>
      </w:r>
    </w:p>
    <w:p w14:paraId="2486876F" w14:textId="77777777"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14:paraId="58067627" w14:textId="77777777" w:rsidR="00D416CC" w:rsidRPr="00D416CC" w:rsidRDefault="00D416CC" w:rsidP="007F63CA">
      <w:pPr>
        <w:pStyle w:val="Heading8"/>
        <w:spacing w:before="240"/>
      </w:pPr>
      <w:r w:rsidRPr="00D416CC">
        <w:t>Art. 2A</w:t>
      </w:r>
    </w:p>
    <w:p w14:paraId="0AEFA54A" w14:textId="77777777" w:rsidR="00D416CC" w:rsidRPr="00236B7B" w:rsidRDefault="00D416CC" w:rsidP="00D416CC">
      <w:pPr>
        <w:pStyle w:val="Heading2"/>
        <w:ind w:left="0" w:firstLine="0"/>
        <w:jc w:val="center"/>
        <w:rPr>
          <w:rFonts w:asciiTheme="minorHAnsi" w:hAnsiTheme="minorHAnsi"/>
          <w:b w:val="0"/>
        </w:rPr>
      </w:pPr>
      <w:r w:rsidRPr="00D416CC">
        <w:t>Use of the guardbands</w:t>
      </w:r>
    </w:p>
    <w:p w14:paraId="5648E475" w14:textId="77777777" w:rsidR="007F63CA" w:rsidRDefault="007F63CA"/>
    <w:p w14:paraId="349E4D13" w14:textId="77777777" w:rsidR="002150F8" w:rsidRPr="008E5ED7" w:rsidRDefault="002150F8">
      <w:pPr>
        <w:pStyle w:val="Heading8"/>
        <w:spacing w:before="240"/>
      </w:pPr>
      <w:bookmarkStart w:id="0" w:name="_Toc510511260"/>
      <w:r w:rsidRPr="008E5ED7">
        <w:t>Art. 4</w:t>
      </w:r>
      <w:bookmarkEnd w:id="0"/>
    </w:p>
    <w:p w14:paraId="37FFAE24" w14:textId="77777777"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14:paraId="66C8658E" w14:textId="77777777"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14:paraId="30ECE78E" w14:textId="77777777"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14:paraId="0B7C0CCE" w14:textId="77777777"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14:paraId="3103E2A0" w14:textId="77777777"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55A83D43" w14:textId="77777777" w:rsidR="00E50A04" w:rsidRDefault="00E50A04" w:rsidP="005D60D8">
      <w:r>
        <w:br w:type="page"/>
      </w:r>
    </w:p>
    <w:p w14:paraId="06DE839C" w14:textId="4A4F2758" w:rsidR="002150F8" w:rsidRPr="008E5ED7" w:rsidRDefault="002150F8" w:rsidP="00E50A04">
      <w:r w:rsidRPr="008E5ED7">
        <w:lastRenderedPageBreak/>
        <w:t>4</w:t>
      </w:r>
      <w:r w:rsidRPr="008E5ED7">
        <w:tab/>
        <w:t xml:space="preserve">According to </w:t>
      </w:r>
      <w:r w:rsidRPr="008E5ED7">
        <w:rPr>
          <w:i/>
          <w:iCs/>
        </w:rPr>
        <w:t>resolves</w:t>
      </w:r>
      <w:r w:rsidRPr="008E5ED7">
        <w:t xml:space="preserve"> 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r w:rsidRPr="008E5ED7">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14:paraId="216BB052" w14:textId="77777777"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the Board concluded that the following method should be used.</w:t>
      </w:r>
    </w:p>
    <w:p w14:paraId="3B57F98E" w14:textId="77777777"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14:paraId="390D862B" w14:textId="77777777"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14:paraId="56E0E155" w14:textId="77777777"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14:paraId="0C315F2F" w14:textId="77777777"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14:paraId="5D1D57BA" w14:textId="77777777"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14:paraId="49BB699D" w14:textId="77777777"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712FF03" w14:textId="77777777" w:rsidR="00E50A04" w:rsidRDefault="00E50A04" w:rsidP="00552405">
      <w:r>
        <w:br w:type="page"/>
      </w:r>
    </w:p>
    <w:p w14:paraId="35CF8D38" w14:textId="5EA6262A" w:rsidR="002150F8" w:rsidRPr="008E5ED7" w:rsidRDefault="002150F8" w:rsidP="00552405">
      <w:r w:rsidRPr="008E5ED7">
        <w:lastRenderedPageBreak/>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14:paraId="7669675F" w14:textId="1C5EF6E0" w:rsidR="002150F8" w:rsidRPr="008E5ED7" w:rsidRDefault="002150F8">
      <w:pPr>
        <w:pStyle w:val="Heading9"/>
      </w:pPr>
      <w:r w:rsidRPr="008E5ED7">
        <w:t xml:space="preserve">4.1.1 </w:t>
      </w:r>
      <w:r w:rsidRPr="008E5ED7">
        <w:rPr>
          <w:i/>
          <w:iCs/>
        </w:rPr>
        <w:t>c)</w:t>
      </w:r>
    </w:p>
    <w:p w14:paraId="44AF9309" w14:textId="77777777"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1"/>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1EA88CEC" w14:textId="77777777" w:rsidR="002150F8" w:rsidRPr="008E5ED7" w:rsidRDefault="002150F8">
      <w:pPr>
        <w:pStyle w:val="Heading9"/>
      </w:pPr>
      <w:r w:rsidRPr="008E5ED7">
        <w:t>4.1.3</w:t>
      </w:r>
    </w:p>
    <w:p w14:paraId="43330C9B" w14:textId="77777777"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14:paraId="18776C1B" w14:textId="77777777" w:rsidR="002150F8" w:rsidRPr="008E5ED7" w:rsidRDefault="002150F8">
      <w:r w:rsidRPr="008E5ED7">
        <w:t>2</w:t>
      </w:r>
      <w:r w:rsidRPr="008E5ED7">
        <w:tab/>
        <w:t>See also Rules of Procedure concerning Receivability of the Forms of Notice.</w:t>
      </w:r>
    </w:p>
    <w:p w14:paraId="387AFA76" w14:textId="77777777" w:rsidR="002150F8" w:rsidRPr="008E5ED7" w:rsidRDefault="002150F8" w:rsidP="00552405">
      <w:pPr>
        <w:pStyle w:val="Heading9"/>
      </w:pPr>
      <w:r w:rsidRPr="008E5ED7">
        <w:t>4.1.7</w:t>
      </w:r>
    </w:p>
    <w:p w14:paraId="60E7529D" w14:textId="55C2ACE0" w:rsidR="002150F8"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14:paraId="286EE38B" w14:textId="2949C034" w:rsidR="000F1A13" w:rsidRDefault="000F1A13">
      <w:r>
        <w:br w:type="page"/>
      </w:r>
    </w:p>
    <w:p w14:paraId="25593165" w14:textId="77777777" w:rsidR="002150F8" w:rsidRPr="008E5ED7" w:rsidRDefault="002150F8">
      <w:pPr>
        <w:pStyle w:val="Heading9"/>
      </w:pPr>
      <w:r w:rsidRPr="008E5ED7">
        <w:lastRenderedPageBreak/>
        <w:t>4.1.7</w:t>
      </w:r>
      <w:r w:rsidRPr="008E5ED7">
        <w:rPr>
          <w:i/>
          <w:iCs/>
        </w:rPr>
        <w:t>bis</w:t>
      </w:r>
    </w:p>
    <w:p w14:paraId="69C8B9CB" w14:textId="77777777" w:rsidR="002150F8" w:rsidRPr="008E5ED7" w:rsidRDefault="002150F8">
      <w:r w:rsidRPr="008E5ED7">
        <w:t>The agreement referred to in § </w:t>
      </w:r>
      <w:r w:rsidRPr="00C927FD">
        <w:t>4.1.7</w:t>
      </w:r>
      <w:r w:rsidRPr="00C927FD">
        <w:rPr>
          <w:i/>
          <w:iCs/>
        </w:rPr>
        <w:t>bis</w:t>
      </w:r>
      <w:r w:rsidRPr="008E5ED7">
        <w:t xml:space="preserve"> is the agreement of the administrations identified under § 4.1.1 and of those under § 4.1.7 which have been confirmed by the Bureau using the appropriate criteria.</w:t>
      </w:r>
    </w:p>
    <w:p w14:paraId="2FF9539E" w14:textId="77777777" w:rsidR="002150F8" w:rsidRPr="008E5ED7" w:rsidRDefault="002150F8">
      <w:pPr>
        <w:pStyle w:val="Heading9"/>
      </w:pPr>
      <w:r w:rsidRPr="008E5ED7">
        <w:t>4.1.8</w:t>
      </w:r>
    </w:p>
    <w:p w14:paraId="0B09A0AE" w14:textId="77777777"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14:paraId="0B65E33E" w14:textId="77777777" w:rsidR="002150F8" w:rsidRPr="008E5ED7" w:rsidRDefault="002150F8">
      <w:pPr>
        <w:pStyle w:val="Heading9"/>
      </w:pPr>
      <w:r w:rsidRPr="008E5ED7">
        <w:t>4.1.11</w:t>
      </w:r>
    </w:p>
    <w:p w14:paraId="5ECB858F" w14:textId="77777777" w:rsidR="002150F8" w:rsidRDefault="002150F8" w:rsidP="00552405">
      <w:r w:rsidRPr="008E5ED7">
        <w:t>See also comments under §</w:t>
      </w:r>
      <w:r w:rsidR="00552405" w:rsidRPr="008E5ED7">
        <w:t> </w:t>
      </w:r>
      <w:r w:rsidRPr="008E5ED7">
        <w:t>4.1.3 and 4.2.6 and Rules of Procedure relating to the Receivability of the Forms of Notice.</w:t>
      </w:r>
    </w:p>
    <w:p w14:paraId="40CF9617" w14:textId="77777777" w:rsidR="007F63CA" w:rsidRPr="007F63CA" w:rsidRDefault="007F63CA" w:rsidP="007F63CA">
      <w:r w:rsidRPr="007F63CA">
        <w:rPr>
          <w:b/>
          <w:bCs/>
        </w:rPr>
        <w:t>Note</w:t>
      </w:r>
      <w:r w:rsidRPr="007F63CA">
        <w:t xml:space="preserve">:  WRC-15 took the decision related to the RoP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14:paraId="76BDD3B5" w14:textId="77777777"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14:paraId="6B6FC169" w14:textId="77777777"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14:paraId="395BC052" w14:textId="77777777"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14:paraId="0FEDE847" w14:textId="77777777"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14:paraId="34F4A125" w14:textId="77777777" w:rsidR="007F63CA" w:rsidRPr="008E5ED7" w:rsidRDefault="007F63CA" w:rsidP="00AE076A">
      <w:pPr>
        <w:spacing w:before="120"/>
      </w:pPr>
      <w:r w:rsidRPr="007F63CA">
        <w:rPr>
          <w:i/>
          <w:iCs/>
        </w:rPr>
        <w:t>WRC-15 endorsed the current BR practice outlined in this section.”</w:t>
      </w:r>
    </w:p>
    <w:p w14:paraId="27D6C882" w14:textId="77777777" w:rsidR="002150F8" w:rsidRPr="008E5ED7" w:rsidRDefault="002150F8">
      <w:pPr>
        <w:pStyle w:val="Heading9"/>
      </w:pPr>
      <w:r w:rsidRPr="008E5ED7">
        <w:t>4.1.15</w:t>
      </w:r>
    </w:p>
    <w:p w14:paraId="75D6E250" w14:textId="77777777"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14:paraId="4FB51504" w14:textId="77777777" w:rsidR="00AE076A" w:rsidRDefault="00AE076A" w:rsidP="00552405">
      <w:r>
        <w:br w:type="page"/>
      </w:r>
    </w:p>
    <w:p w14:paraId="70F42154" w14:textId="77777777"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14:paraId="60AF7C6A" w14:textId="77777777" w:rsidR="002150F8" w:rsidRPr="008E5ED7" w:rsidRDefault="002150F8">
      <w:pPr>
        <w:pStyle w:val="Heading9"/>
      </w:pPr>
      <w:r w:rsidRPr="008E5ED7">
        <w:t>4.1.23</w:t>
      </w:r>
    </w:p>
    <w:p w14:paraId="4744D3BC" w14:textId="77777777" w:rsidR="002150F8" w:rsidRPr="008E5ED7"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14:paraId="367BBC59" w14:textId="77777777" w:rsidR="002150F8" w:rsidRPr="008E5ED7" w:rsidRDefault="002150F8">
      <w:pPr>
        <w:pStyle w:val="Heading9"/>
      </w:pPr>
      <w:r w:rsidRPr="008E5ED7">
        <w:t xml:space="preserve">4.2.1 </w:t>
      </w:r>
      <w:r w:rsidRPr="008E5ED7">
        <w:rPr>
          <w:i/>
          <w:iCs/>
        </w:rPr>
        <w:t>a)</w:t>
      </w:r>
    </w:p>
    <w:p w14:paraId="43F56F22" w14:textId="77777777" w:rsidR="002150F8" w:rsidRDefault="002150F8" w:rsidP="00552405">
      <w:r w:rsidRPr="008E5ED7">
        <w:t xml:space="preserve">This paragraph refers to the modification in the sense of a change to </w:t>
      </w:r>
      <w:r w:rsidRPr="00020A8C">
        <w:rPr>
          <w:i/>
          <w:iCs/>
        </w:rPr>
        <w:t>“the characteristics of any of its frequency assignments in the FSS which are shown in the Region</w:t>
      </w:r>
      <w:r w:rsidR="00552405" w:rsidRPr="00020A8C">
        <w:rPr>
          <w:i/>
          <w:iCs/>
        </w:rPr>
        <w:t xml:space="preserve"> </w:t>
      </w:r>
      <w:r w:rsidRPr="00020A8C">
        <w:rPr>
          <w:i/>
          <w:iCs/>
        </w:rPr>
        <w:t>2 feeder-link Plan”</w:t>
      </w:r>
      <w:r w:rsidRPr="008E5ED7">
        <w:t>.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14:paraId="39B54C29" w14:textId="77777777" w:rsidR="002150F8" w:rsidRPr="008E5ED7" w:rsidRDefault="002150F8">
      <w:r w:rsidRPr="008E5ED7">
        <w:t>See also Rules of Procedure relating to § 4.2.6.</w:t>
      </w:r>
    </w:p>
    <w:p w14:paraId="7B378E71" w14:textId="77777777" w:rsidR="002150F8" w:rsidRPr="008E5ED7" w:rsidRDefault="002150F8">
      <w:pPr>
        <w:pStyle w:val="Heading9"/>
      </w:pPr>
      <w:bookmarkStart w:id="2" w:name="_Toc510511263"/>
      <w:r w:rsidRPr="008E5ED7">
        <w:t xml:space="preserve">4.2.1 </w:t>
      </w:r>
      <w:r w:rsidRPr="008E5ED7">
        <w:rPr>
          <w:i/>
        </w:rPr>
        <w:t>b)</w:t>
      </w:r>
      <w:bookmarkEnd w:id="2"/>
    </w:p>
    <w:p w14:paraId="1D60852E" w14:textId="77777777" w:rsidR="002150F8" w:rsidRPr="008E5ED7" w:rsidRDefault="002150F8">
      <w:r w:rsidRPr="008E5ED7">
        <w:t xml:space="preserve">See Rules of Procedure relating to § 4.2.1 </w:t>
      </w:r>
      <w:r w:rsidRPr="008E5ED7">
        <w:rPr>
          <w:i/>
        </w:rPr>
        <w:t>a)</w:t>
      </w:r>
      <w:r w:rsidRPr="008E5ED7">
        <w:t xml:space="preserve"> above.</w:t>
      </w:r>
    </w:p>
    <w:p w14:paraId="1AE20091" w14:textId="77777777" w:rsidR="002150F8" w:rsidRPr="008E5ED7" w:rsidRDefault="002150F8">
      <w:r w:rsidRPr="008E5ED7">
        <w:t>See also Rules of Procedure relating to § 4.2.6.</w:t>
      </w:r>
    </w:p>
    <w:p w14:paraId="6B3C7FC2" w14:textId="77777777" w:rsidR="002150F8" w:rsidRPr="008E5ED7" w:rsidRDefault="002150F8">
      <w:pPr>
        <w:pStyle w:val="Heading9"/>
      </w:pPr>
      <w:bookmarkStart w:id="3" w:name="_Toc510511264"/>
      <w:r w:rsidRPr="008E5ED7">
        <w:t xml:space="preserve">4.2.1 </w:t>
      </w:r>
      <w:r w:rsidRPr="008E5ED7">
        <w:rPr>
          <w:i/>
        </w:rPr>
        <w:t>c)</w:t>
      </w:r>
      <w:bookmarkEnd w:id="3"/>
    </w:p>
    <w:p w14:paraId="0AFE2174" w14:textId="77777777" w:rsidR="002150F8" w:rsidRPr="008E5ED7" w:rsidRDefault="002150F8">
      <w:pPr>
        <w:rPr>
          <w:u w:val="single"/>
        </w:rPr>
      </w:pPr>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14:paraId="525608E0" w14:textId="77777777" w:rsidR="00C96159" w:rsidRDefault="00C96159" w:rsidP="00C96159">
      <w:pPr>
        <w:tabs>
          <w:tab w:val="clear" w:pos="1134"/>
          <w:tab w:val="clear" w:pos="1871"/>
          <w:tab w:val="clear" w:pos="2268"/>
        </w:tabs>
        <w:overflowPunct/>
        <w:autoSpaceDE/>
        <w:autoSpaceDN/>
        <w:adjustRightInd/>
        <w:spacing w:before="0"/>
        <w:jc w:val="left"/>
        <w:textAlignment w:val="auto"/>
      </w:pPr>
      <w:r>
        <w:br w:type="page"/>
      </w:r>
    </w:p>
    <w:p w14:paraId="499F59E2" w14:textId="77777777"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r w:rsidRPr="008E5ED7">
        <w:rPr>
          <w:i/>
          <w:iCs/>
        </w:rPr>
        <w:br/>
      </w:r>
      <w:r w:rsidRPr="008E5ED7">
        <w:t xml:space="preserve">and 4.2.2 </w:t>
      </w:r>
      <w:r w:rsidRPr="008E5ED7">
        <w:rPr>
          <w:i/>
          <w:iCs/>
        </w:rPr>
        <w:t>b)</w:t>
      </w:r>
    </w:p>
    <w:p w14:paraId="01480B25" w14:textId="77777777"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2"/>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43E04E54" w14:textId="77777777" w:rsidR="002150F8" w:rsidRPr="008E5ED7" w:rsidRDefault="002150F8">
      <w:pPr>
        <w:pStyle w:val="Heading9"/>
      </w:pPr>
      <w:r w:rsidRPr="008E5ED7">
        <w:t xml:space="preserve">4.2.2 </w:t>
      </w:r>
      <w:r w:rsidRPr="008E5ED7">
        <w:rPr>
          <w:i/>
          <w:iCs/>
        </w:rPr>
        <w:t>c)</w:t>
      </w:r>
    </w:p>
    <w:p w14:paraId="0F29B5BA" w14:textId="77777777"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14:paraId="4E2D4AE7" w14:textId="4D7FB4D8"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w:t>
      </w:r>
      <w:r w:rsidR="00DB70CE">
        <w:rPr>
          <w:rStyle w:val="Resref"/>
          <w:b/>
          <w:bCs/>
          <w:color w:val="000000"/>
        </w:rPr>
        <w:t>9</w:t>
      </w:r>
      <w:r w:rsidRPr="008E5ED7">
        <w:rPr>
          <w:rStyle w:val="Resref"/>
          <w:b/>
          <w:bCs/>
          <w:color w:val="000000"/>
        </w:rPr>
        <w:t>)</w:t>
      </w:r>
      <w:r w:rsidRPr="008E5ED7">
        <w:t>, the Board decided that, when apply</w:t>
      </w:r>
      <w:r w:rsidRPr="008E5ED7">
        <w:softHyphen/>
        <w:t>ing this paragraph, the Bureau shall not take account of the interim systems.</w:t>
      </w:r>
    </w:p>
    <w:p w14:paraId="3A9F71CF" w14:textId="77777777"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14:paraId="11DDEFA3" w14:textId="77777777" w:rsidR="002150F8" w:rsidRPr="008E5ED7" w:rsidRDefault="002150F8">
      <w:pPr>
        <w:pStyle w:val="Heading9"/>
      </w:pPr>
      <w:r w:rsidRPr="008E5ED7">
        <w:t>4.2.6</w:t>
      </w:r>
    </w:p>
    <w:p w14:paraId="0A3F071A" w14:textId="77777777" w:rsidR="002150F8" w:rsidRPr="008E5ED7" w:rsidRDefault="002150F8">
      <w:r w:rsidRPr="008E5ED7">
        <w:t>See Rules of Procedure relating to § 4.1.3.</w:t>
      </w:r>
    </w:p>
    <w:p w14:paraId="2F001D7B" w14:textId="77777777" w:rsidR="002150F8" w:rsidRPr="008E5ED7" w:rsidRDefault="002150F8">
      <w:pPr>
        <w:pStyle w:val="Heading9"/>
      </w:pPr>
      <w:r w:rsidRPr="008E5ED7">
        <w:t>4.2.10</w:t>
      </w:r>
    </w:p>
    <w:p w14:paraId="3277B188" w14:textId="77777777" w:rsidR="002150F8" w:rsidRPr="008E5ED7" w:rsidRDefault="002150F8">
      <w:r w:rsidRPr="008E5ED7">
        <w:t>See Rules of Procedure relating to § 4.1.7.</w:t>
      </w:r>
    </w:p>
    <w:p w14:paraId="34E26A93" w14:textId="77777777"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14:paraId="6D1F5DC5" w14:textId="77777777" w:rsidR="002150F8" w:rsidRPr="008E5ED7" w:rsidRDefault="002150F8">
      <w:pPr>
        <w:pStyle w:val="Heading9"/>
      </w:pPr>
      <w:r w:rsidRPr="008E5ED7">
        <w:lastRenderedPageBreak/>
        <w:t>4.2.11</w:t>
      </w:r>
    </w:p>
    <w:p w14:paraId="675D3CA2" w14:textId="77777777"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14:paraId="7EEC0C9B" w14:textId="77777777" w:rsidR="002150F8" w:rsidRPr="008E5ED7" w:rsidRDefault="002150F8">
      <w:pPr>
        <w:pStyle w:val="Heading9"/>
      </w:pPr>
      <w:r w:rsidRPr="008E5ED7">
        <w:t>4.2.12</w:t>
      </w:r>
    </w:p>
    <w:p w14:paraId="40AC9CE1" w14:textId="77777777" w:rsidR="002150F8" w:rsidRPr="008E5ED7" w:rsidRDefault="002150F8">
      <w:r w:rsidRPr="008E5ED7">
        <w:t>See Rules of Procedure relating to § 4.1.8.</w:t>
      </w:r>
    </w:p>
    <w:p w14:paraId="390B4645" w14:textId="77777777" w:rsidR="002150F8" w:rsidRPr="008E5ED7" w:rsidRDefault="002150F8">
      <w:pPr>
        <w:pStyle w:val="Heading9"/>
      </w:pPr>
      <w:r w:rsidRPr="008E5ED7">
        <w:t>4.2.15</w:t>
      </w:r>
    </w:p>
    <w:p w14:paraId="00939971" w14:textId="77777777" w:rsidR="002150F8" w:rsidRPr="008E5ED7" w:rsidRDefault="002150F8">
      <w:r w:rsidRPr="008E5ED7">
        <w:t>See Rules of Procedure relating to § 4.1.11.</w:t>
      </w:r>
    </w:p>
    <w:p w14:paraId="39722565" w14:textId="77777777" w:rsidR="002150F8" w:rsidRPr="008E5ED7" w:rsidRDefault="002150F8">
      <w:pPr>
        <w:pStyle w:val="Heading9"/>
      </w:pPr>
      <w:r w:rsidRPr="008E5ED7">
        <w:t>4.2.19</w:t>
      </w:r>
    </w:p>
    <w:p w14:paraId="6B116703" w14:textId="77777777" w:rsidR="002150F8" w:rsidRPr="008E5ED7" w:rsidRDefault="002150F8">
      <w:r w:rsidRPr="008E5ED7">
        <w:t>See Rules of Procedure relating to § 4.1.15.</w:t>
      </w:r>
    </w:p>
    <w:p w14:paraId="15A9C2CC" w14:textId="77777777" w:rsidR="002150F8" w:rsidRPr="008E5ED7" w:rsidRDefault="002150F8">
      <w:pPr>
        <w:pStyle w:val="Heading9"/>
      </w:pPr>
      <w:r w:rsidRPr="008E5ED7">
        <w:t>4.2.24</w:t>
      </w:r>
    </w:p>
    <w:p w14:paraId="2CA2C462" w14:textId="77777777" w:rsidR="002150F8" w:rsidRPr="008E5ED7" w:rsidRDefault="002150F8">
      <w:r w:rsidRPr="008E5ED7">
        <w:t>See Rules of Procedure relating to § 4.1.23.</w:t>
      </w:r>
    </w:p>
    <w:p w14:paraId="7B54A6E2" w14:textId="77777777" w:rsidR="002150F8" w:rsidRPr="008E5ED7" w:rsidRDefault="002150F8">
      <w:pPr>
        <w:pStyle w:val="Heading8"/>
      </w:pPr>
      <w:bookmarkStart w:id="4" w:name="_Toc510511283"/>
      <w:r w:rsidRPr="008E5ED7">
        <w:t>Art. 5</w:t>
      </w:r>
      <w:bookmarkEnd w:id="4"/>
    </w:p>
    <w:p w14:paraId="799330A6" w14:textId="77777777" w:rsidR="002150F8" w:rsidRPr="008E5ED7" w:rsidRDefault="002150F8">
      <w:pPr>
        <w:pStyle w:val="Heading2"/>
        <w:spacing w:before="240"/>
        <w:ind w:left="0" w:firstLine="0"/>
        <w:jc w:val="center"/>
      </w:pPr>
      <w:bookmarkStart w:id="5" w:name="_Toc510511284"/>
      <w:r w:rsidRPr="008E5ED7">
        <w:t>Notification, examination and recording</w:t>
      </w:r>
      <w:bookmarkEnd w:id="5"/>
    </w:p>
    <w:p w14:paraId="1EBE3696" w14:textId="77777777" w:rsidR="002150F8" w:rsidRPr="008E5ED7" w:rsidRDefault="002150F8">
      <w:pPr>
        <w:pStyle w:val="Heading9"/>
      </w:pPr>
      <w:bookmarkStart w:id="6" w:name="_Toc510511285"/>
      <w:r w:rsidRPr="008E5ED7">
        <w:t xml:space="preserve">5.2.1 </w:t>
      </w:r>
      <w:r w:rsidRPr="008E5ED7">
        <w:rPr>
          <w:i/>
        </w:rPr>
        <w:t>b)</w:t>
      </w:r>
      <w:bookmarkEnd w:id="6"/>
    </w:p>
    <w:p w14:paraId="0240C9B9" w14:textId="77777777"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3"/>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14:paraId="0A877EA6" w14:textId="77777777"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14:paraId="0B1261E1" w14:textId="77777777"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14:paraId="5B41A85A" w14:textId="77777777" w:rsidR="002150F8" w:rsidRPr="008E5ED7" w:rsidRDefault="002150F8" w:rsidP="00AD1A4A">
      <w:pPr>
        <w:pStyle w:val="enumlev1"/>
      </w:pPr>
      <w:r w:rsidRPr="008E5ED7">
        <w:rPr>
          <w:i/>
        </w:rPr>
        <w:lastRenderedPageBreak/>
        <w:t>b)</w:t>
      </w:r>
      <w:r w:rsidRPr="008E5ED7">
        <w:tab/>
        <w:t>to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14:paraId="00E47B6A" w14:textId="77777777" w:rsidR="002150F8" w:rsidRPr="008E5ED7" w:rsidRDefault="002150F8">
      <w:pPr>
        <w:pStyle w:val="enumlev2"/>
      </w:pPr>
      <w:r w:rsidRPr="008E5ED7">
        <w:t>i)</w:t>
      </w:r>
      <w:r w:rsidRPr="008E5ED7">
        <w:tab/>
        <w:t>For a receiving space station:</w:t>
      </w:r>
    </w:p>
    <w:p w14:paraId="585F419C" w14:textId="77777777"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14:paraId="5964EF0A" w14:textId="77777777"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14:paraId="1033311F" w14:textId="77777777" w:rsidR="002150F8" w:rsidRPr="008E5ED7" w:rsidRDefault="002150F8" w:rsidP="00552405">
      <w:pPr>
        <w:pStyle w:val="enumlev3"/>
      </w:pPr>
      <w:r w:rsidRPr="008E5ED7">
        <w:t>–</w:t>
      </w:r>
      <w:r w:rsidRPr="008E5ED7">
        <w:tab/>
        <w:t xml:space="preserve">channel number/frequency (as indicated in Column 3 of Article 9 and in Column 5 of the Tables entitled </w:t>
      </w:r>
      <w:r w:rsidRPr="00020A8C">
        <w:rPr>
          <w:i/>
          <w:iCs/>
        </w:rPr>
        <w:t>“Minimum equivalent protection margin in the Regions 1 and</w:t>
      </w:r>
      <w:r w:rsidR="00552405" w:rsidRPr="00020A8C">
        <w:rPr>
          <w:i/>
          <w:iCs/>
        </w:rPr>
        <w:t xml:space="preserve"> </w:t>
      </w:r>
      <w:r w:rsidRPr="00020A8C">
        <w:rPr>
          <w:i/>
          <w:iCs/>
        </w:rPr>
        <w:t>3 feeder-link Plan in the frequency band 14.5-14.8 GHz (sorted by orbital position)”</w:t>
      </w:r>
      <w:r w:rsidRPr="008E5ED7">
        <w:t xml:space="preserve"> and </w:t>
      </w:r>
      <w:r w:rsidRPr="00020A8C">
        <w:rPr>
          <w:i/>
          <w:iCs/>
        </w:rPr>
        <w:t>“Minimum equivalent protection margin in the Regions 1 and 3 feeder-link Plan in the frequency band 17.3-18.1 GHz (sorted by orbital position)”</w:t>
      </w:r>
      <w:r w:rsidRPr="008E5ED7">
        <w:t xml:space="preserve"> of Article</w:t>
      </w:r>
      <w:r w:rsidR="00552405" w:rsidRPr="008E5ED7">
        <w:t> </w:t>
      </w:r>
      <w:r w:rsidRPr="008E5ED7">
        <w:t>9A of Appendix </w:t>
      </w:r>
      <w:r w:rsidRPr="008E5ED7">
        <w:rPr>
          <w:rStyle w:val="Appref"/>
          <w:b/>
          <w:color w:val="000000"/>
        </w:rPr>
        <w:t>30A</w:t>
      </w:r>
      <w:r w:rsidRPr="008E5ED7">
        <w:t>);</w:t>
      </w:r>
    </w:p>
    <w:p w14:paraId="16F0279D" w14:textId="77777777"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r w:rsidRPr="008E5ED7">
        <w:t>);</w:t>
      </w:r>
    </w:p>
    <w:p w14:paraId="162C721A" w14:textId="77777777" w:rsidR="002150F8" w:rsidRPr="008E5ED7" w:rsidRDefault="002150F8">
      <w:pPr>
        <w:pStyle w:val="enumlev3"/>
      </w:pPr>
      <w:r w:rsidRPr="008E5ED7">
        <w:t>–</w:t>
      </w:r>
      <w:r w:rsidRPr="008E5ED7">
        <w:tab/>
        <w:t>in the case of elliptical beam:</w:t>
      </w:r>
    </w:p>
    <w:p w14:paraId="42220E89" w14:textId="77777777" w:rsidR="002150F8" w:rsidRPr="008E5ED7" w:rsidRDefault="002150F8">
      <w:pPr>
        <w:pStyle w:val="enumlev4"/>
        <w:rPr>
          <w:lang w:val="en-GB"/>
        </w:rPr>
      </w:pPr>
      <w:r w:rsidRPr="008E5ED7">
        <w:rPr>
          <w:lang w:val="en-GB"/>
        </w:rPr>
        <w:t>–</w:t>
      </w:r>
      <w:r w:rsidRPr="008E5ED7">
        <w:rPr>
          <w:lang w:val="en-GB"/>
        </w:rPr>
        <w:tab/>
        <w:t>antenna beamwidth (as indicated in Column 5 of Articles 9 and 9A of Appendix </w:t>
      </w:r>
      <w:r w:rsidRPr="008E5ED7">
        <w:rPr>
          <w:rStyle w:val="Appref"/>
          <w:b/>
          <w:color w:val="000000"/>
          <w:lang w:val="en-GB"/>
        </w:rPr>
        <w:t>30A</w:t>
      </w:r>
      <w:r w:rsidRPr="008E5ED7">
        <w:rPr>
          <w:lang w:val="en-GB"/>
        </w:rPr>
        <w:t>);</w:t>
      </w:r>
    </w:p>
    <w:p w14:paraId="2F94755D" w14:textId="77777777"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14:paraId="6D673139" w14:textId="77777777"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14:paraId="2AD839A4" w14:textId="77777777"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r w:rsidRPr="008E5ED7">
        <w:t>);</w:t>
      </w:r>
    </w:p>
    <w:p w14:paraId="44280BA4" w14:textId="77777777" w:rsidR="002150F8" w:rsidRPr="008E5ED7" w:rsidRDefault="002150F8">
      <w:pPr>
        <w:pStyle w:val="enumlev3"/>
      </w:pPr>
      <w:r w:rsidRPr="008E5ED7">
        <w:t>–</w:t>
      </w:r>
      <w:r w:rsidRPr="008E5ED7">
        <w:tab/>
        <w:t>service area (test points shall be located within the service area);</w:t>
      </w:r>
    </w:p>
    <w:p w14:paraId="4F535BDB" w14:textId="77777777"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14:paraId="4BF7D320" w14:textId="77777777"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r w:rsidR="002150F8" w:rsidRPr="008E5ED7">
        <w:t>);</w:t>
      </w:r>
    </w:p>
    <w:p w14:paraId="7D6B420C" w14:textId="77777777"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14:paraId="16D1B4E2" w14:textId="77777777"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14:paraId="0614F296" w14:textId="77777777"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r w:rsidRPr="008E5ED7">
        <w:t xml:space="preserve">); </w:t>
      </w:r>
    </w:p>
    <w:p w14:paraId="6CAB059C" w14:textId="77777777"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14:paraId="78031673" w14:textId="77777777"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14:paraId="29811F75" w14:textId="77777777" w:rsidR="002150F8" w:rsidRPr="008E5ED7" w:rsidRDefault="002150F8">
      <w:pPr>
        <w:pStyle w:val="enumlev2"/>
      </w:pPr>
      <w:r w:rsidRPr="008E5ED7">
        <w:t>ii)</w:t>
      </w:r>
      <w:r w:rsidRPr="008E5ED7">
        <w:tab/>
        <w:t>For an associated transmitting earth station:</w:t>
      </w:r>
    </w:p>
    <w:p w14:paraId="59A091B6" w14:textId="77777777" w:rsidR="002150F8" w:rsidRPr="008E5ED7" w:rsidRDefault="002150F8">
      <w:pPr>
        <w:pStyle w:val="enumlev3"/>
      </w:pPr>
      <w:r w:rsidRPr="008E5ED7">
        <w:t>–</w:t>
      </w:r>
      <w:r w:rsidRPr="008E5ED7">
        <w:tab/>
        <w:t>e.i.r.p.: Columns 8 and 11 of Articles 9 and 9A, respectively of Appendix </w:t>
      </w:r>
      <w:r w:rsidRPr="008E5ED7">
        <w:rPr>
          <w:rStyle w:val="Appref"/>
          <w:b/>
          <w:color w:val="000000"/>
        </w:rPr>
        <w:t>30A</w:t>
      </w:r>
      <w:r w:rsidRPr="008E5ED7">
        <w:t>;</w:t>
      </w:r>
    </w:p>
    <w:p w14:paraId="0002D487" w14:textId="77777777" w:rsidR="002150F8" w:rsidRPr="008E5ED7" w:rsidRDefault="002150F8">
      <w:pPr>
        <w:pStyle w:val="enumlev3"/>
      </w:pPr>
      <w:r w:rsidRPr="008E5ED7">
        <w:t>–</w:t>
      </w:r>
      <w:r w:rsidRPr="008E5ED7">
        <w:tab/>
        <w:t>antenna diameter: § 3.5.1 or 4.4.1 of Annex 3 to Appendix </w:t>
      </w:r>
      <w:r w:rsidRPr="008E5ED7">
        <w:rPr>
          <w:rStyle w:val="Appref"/>
          <w:b/>
          <w:color w:val="000000"/>
        </w:rPr>
        <w:t>30A</w:t>
      </w:r>
      <w:r w:rsidRPr="008E5ED7">
        <w:t>;</w:t>
      </w:r>
    </w:p>
    <w:p w14:paraId="079FF79E" w14:textId="77777777"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14:paraId="1EEB2133" w14:textId="77777777"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14:paraId="3D6556B3" w14:textId="77777777" w:rsidR="002150F8" w:rsidRPr="008E5ED7" w:rsidRDefault="002150F8">
      <w:pPr>
        <w:pStyle w:val="enumlev3"/>
      </w:pPr>
      <w:r w:rsidRPr="008E5ED7">
        <w:t>–</w:t>
      </w:r>
      <w:r w:rsidRPr="008E5ED7">
        <w:tab/>
        <w:t>the location of the associated earth station to be associated with test points within the service area;</w:t>
      </w:r>
    </w:p>
    <w:p w14:paraId="73BBE219" w14:textId="77777777"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14:paraId="09DDC774" w14:textId="77777777"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14:paraId="1C39760C" w14:textId="77777777"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4"/>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14:paraId="63727A15" w14:textId="77777777"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14:paraId="39C25BA9" w14:textId="77777777"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14:paraId="704328AD" w14:textId="77777777"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14:paraId="5B7C5D39" w14:textId="77777777" w:rsidR="002150F8" w:rsidRPr="008E5ED7" w:rsidRDefault="002150F8">
      <w:pPr>
        <w:pStyle w:val="Heading9"/>
      </w:pPr>
      <w:bookmarkStart w:id="7" w:name="_Toc510511286"/>
      <w:r w:rsidRPr="008E5ED7">
        <w:t xml:space="preserve">5.2.1 </w:t>
      </w:r>
      <w:r w:rsidRPr="008E5ED7">
        <w:rPr>
          <w:i/>
        </w:rPr>
        <w:t>d)</w:t>
      </w:r>
      <w:bookmarkEnd w:id="7"/>
    </w:p>
    <w:p w14:paraId="4D112E98" w14:textId="77777777"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14:paraId="273563B9" w14:textId="77777777"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5"/>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14:paraId="463F7644" w14:textId="77777777"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14:paraId="3226F766" w14:textId="77777777" w:rsidR="00E50A04" w:rsidRDefault="00E50A04" w:rsidP="00AD1A4A">
      <w:pPr>
        <w:spacing w:before="240" w:line="270" w:lineRule="exact"/>
      </w:pPr>
      <w:r>
        <w:br w:type="page"/>
      </w:r>
    </w:p>
    <w:p w14:paraId="4A75984E" w14:textId="7586097D" w:rsidR="002150F8" w:rsidRPr="008E5ED7" w:rsidRDefault="002150F8" w:rsidP="00AD1A4A">
      <w:pPr>
        <w:spacing w:before="240" w:line="270" w:lineRule="exact"/>
      </w:pPr>
      <w:r w:rsidRPr="008E5ED7">
        <w:lastRenderedPageBreak/>
        <w:t>1.2</w:t>
      </w:r>
      <w:r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Pr="008E5ED7">
        <w:rPr>
          <w:rFonts w:ascii="Symbol" w:hAnsi="Symbol"/>
        </w:rPr>
        <w:sym w:font="Symbol" w:char="F044"/>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hAnsi="Symbol"/>
        </w:rPr>
        <w:sym w:font="Symbol" w:char="F044"/>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14:paraId="1C60BD15" w14:textId="77777777"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14:paraId="464292D0" w14:textId="77777777"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14:paraId="03071AA5" w14:textId="77777777" w:rsidR="002150F8" w:rsidRPr="008E5ED7" w:rsidRDefault="002150F8">
      <w:pPr>
        <w:pStyle w:val="enumlev1"/>
      </w:pPr>
      <w:r w:rsidRPr="008E5ED7">
        <w:t>–</w:t>
      </w:r>
      <w:r w:rsidRPr="008E5ED7">
        <w:tab/>
        <w:t>if the orbital position is identical with that shown in the Plan, no further agreements are necessary;</w:t>
      </w:r>
    </w:p>
    <w:p w14:paraId="4295E0B1" w14:textId="77777777"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14:paraId="0AD9BB5A" w14:textId="77777777" w:rsidR="002150F8" w:rsidRPr="008E5ED7" w:rsidRDefault="002150F8">
      <w:pPr>
        <w:pStyle w:val="Heading9"/>
      </w:pPr>
      <w:bookmarkStart w:id="8" w:name="_Toc510511287"/>
      <w:r w:rsidRPr="008E5ED7">
        <w:t>5.2.2.1</w:t>
      </w:r>
      <w:bookmarkEnd w:id="8"/>
    </w:p>
    <w:p w14:paraId="5DF51607" w14:textId="77777777"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r w:rsidRPr="008E5ED7">
        <w:rPr>
          <w:i/>
        </w:rPr>
        <w:t>f</w:t>
      </w:r>
      <w:r w:rsidR="00552405" w:rsidRPr="008E5ED7">
        <w:rPr>
          <w:iCs/>
          <w:sz w:val="20"/>
        </w:rPr>
        <w:t> </w:t>
      </w:r>
      <w:r w:rsidRPr="008E5ED7">
        <w:rPr>
          <w:i/>
        </w:rPr>
        <w:t>)</w:t>
      </w:r>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14:paraId="1E5AFC70" w14:textId="77777777"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14:paraId="23930BC3" w14:textId="77777777" w:rsidR="002150F8" w:rsidRDefault="002150F8">
      <w:r w:rsidRPr="008E5ED7">
        <w:t>In this event the frequency assignment shall be recorded in the Master Register.</w:t>
      </w:r>
    </w:p>
    <w:p w14:paraId="5B36FEB8" w14:textId="77777777" w:rsidR="00CB4C25" w:rsidRDefault="00CB4C25">
      <w:r>
        <w:br w:type="page"/>
      </w:r>
    </w:p>
    <w:p w14:paraId="67D6D29A" w14:textId="77777777" w:rsidR="002150F8" w:rsidRPr="008E5ED7" w:rsidRDefault="002150F8" w:rsidP="00552405">
      <w:pPr>
        <w:pStyle w:val="Heading8"/>
      </w:pPr>
      <w:bookmarkStart w:id="9" w:name="_Toc510511290"/>
      <w:r w:rsidRPr="008E5ED7">
        <w:lastRenderedPageBreak/>
        <w:t>Art. 6</w:t>
      </w:r>
      <w:bookmarkEnd w:id="9"/>
    </w:p>
    <w:p w14:paraId="375A3E27" w14:textId="77777777" w:rsidR="002150F8" w:rsidRPr="008E5ED7" w:rsidRDefault="002150F8" w:rsidP="00552405">
      <w:pPr>
        <w:pStyle w:val="Heading2"/>
        <w:spacing w:before="360"/>
        <w:ind w:left="0" w:firstLine="0"/>
        <w:jc w:val="center"/>
      </w:pPr>
      <w:bookmarkStart w:id="10"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0"/>
    </w:p>
    <w:p w14:paraId="1C0F40B4" w14:textId="77777777" w:rsidR="002150F8" w:rsidRPr="008E5ED7" w:rsidRDefault="002150F8">
      <w:pPr>
        <w:pStyle w:val="Heading9"/>
      </w:pPr>
      <w:bookmarkStart w:id="11" w:name="_Toc510511292"/>
      <w:r w:rsidRPr="008E5ED7">
        <w:t>6.1</w:t>
      </w:r>
      <w:bookmarkEnd w:id="11"/>
    </w:p>
    <w:p w14:paraId="1031E766" w14:textId="430805C3"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w:t>
      </w:r>
      <w:r w:rsidR="004F3B0F">
        <w:rPr>
          <w:rStyle w:val="Resref"/>
          <w:b/>
          <w:bCs/>
          <w:color w:val="000000"/>
        </w:rPr>
        <w:t>19</w:t>
      </w:r>
      <w:r w:rsidRPr="008E5ED7">
        <w:rPr>
          <w:rStyle w:val="Resref"/>
          <w:b/>
          <w:bCs/>
          <w:color w:val="000000"/>
        </w:rPr>
        <w:t>)</w:t>
      </w:r>
      <w:r w:rsidRPr="008E5ED7">
        <w:t>. Such systems may be implemented in the frequency band 17.7-17.8 GHz for Region 2 shared with equal rights with terrestrial services:</w:t>
      </w:r>
    </w:p>
    <w:p w14:paraId="6586FBC2" w14:textId="77777777" w:rsidR="002150F8" w:rsidRPr="008E5ED7" w:rsidRDefault="002150F8">
      <w:r w:rsidRPr="008E5ED7">
        <w:t>Such usage may affect terrestrial stations.</w:t>
      </w:r>
    </w:p>
    <w:p w14:paraId="06753B2A" w14:textId="77777777" w:rsidR="002150F8" w:rsidRPr="008E5ED7" w:rsidRDefault="002150F8" w:rsidP="00552405">
      <w:r w:rsidRPr="008E5ED7">
        <w:t>2</w:t>
      </w:r>
      <w:r w:rsidRPr="008E5ED7">
        <w:tab/>
        <w:t xml:space="preserve">This paragraph refers to </w:t>
      </w:r>
      <w:r w:rsidRPr="00020A8C">
        <w:rPr>
          <w:i/>
          <w:iCs/>
        </w:rPr>
        <w:t>“a feeder-link earth station located on the territory of another administration and included in the service area of an assignment to a broadcasting-satellite service feeder-link space station which is in conformity with the appropriate regional feeder-link Plan”</w:t>
      </w:r>
      <w:r w:rsidRPr="008E5ED7">
        <w:t>. This earth station is to be considered a typical earth station located at the worst location.</w:t>
      </w:r>
    </w:p>
    <w:p w14:paraId="5A6B6D22" w14:textId="77777777" w:rsidR="002150F8" w:rsidRPr="008E5ED7" w:rsidRDefault="002150F8" w:rsidP="00552405">
      <w:r w:rsidRPr="008E5ED7">
        <w:t>3</w:t>
      </w:r>
      <w:r w:rsidRPr="008E5ED7">
        <w:tab/>
        <w:t>In order to evaluate the interference, an Administration A,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14:paraId="66469800" w14:textId="77777777" w:rsidR="002150F8" w:rsidRPr="008E5ED7" w:rsidRDefault="002150F8">
      <w:pPr>
        <w:pStyle w:val="Heading9"/>
      </w:pPr>
      <w:bookmarkStart w:id="12" w:name="_Toc510511293"/>
      <w:r w:rsidRPr="008E5ED7">
        <w:t>6.2</w:t>
      </w:r>
      <w:bookmarkEnd w:id="12"/>
    </w:p>
    <w:p w14:paraId="3D42325C" w14:textId="77777777"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14:paraId="2F92BEA7" w14:textId="77777777"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14:paraId="2BA8CE3B" w14:textId="0B25AD6A" w:rsidR="00CB4C25" w:rsidRDefault="002150F8" w:rsidP="00CB4C25">
      <w:pPr>
        <w:pStyle w:val="enumlev1"/>
      </w:pPr>
      <w:r w:rsidRPr="008E5ED7">
        <w:t>–</w:t>
      </w:r>
      <w:r w:rsidRPr="008E5ED7">
        <w:tab/>
        <w:t>earth stations which conform to the above characteristics will be entered in the Plan without applying the Article 4 procedure, and Administration A will be informed accordingly;</w:t>
      </w:r>
    </w:p>
    <w:p w14:paraId="5B5C583F" w14:textId="77777777" w:rsidR="00E50A04" w:rsidRDefault="00E50A04" w:rsidP="00552405">
      <w:pPr>
        <w:pStyle w:val="enumlev1"/>
      </w:pPr>
      <w:r>
        <w:br w:type="page"/>
      </w:r>
    </w:p>
    <w:p w14:paraId="437F7E5F" w14:textId="70C547B1"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14:paraId="0D1FCA72" w14:textId="77777777"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14:paraId="17A63947" w14:textId="77777777" w:rsidR="002150F8" w:rsidRPr="008E5ED7" w:rsidRDefault="002150F8">
      <w:pPr>
        <w:pStyle w:val="Heading9"/>
      </w:pPr>
      <w:bookmarkStart w:id="13" w:name="_Toc510511294"/>
      <w:r w:rsidRPr="008E5ED7">
        <w:t>6.5</w:t>
      </w:r>
      <w:bookmarkEnd w:id="13"/>
    </w:p>
    <w:p w14:paraId="5EF025AB" w14:textId="77777777" w:rsidR="002150F8" w:rsidRPr="008E5ED7" w:rsidRDefault="002150F8" w:rsidP="00FA065E">
      <w:r w:rsidRPr="008E5ED7">
        <w:t>This paragraph implies that these feeder-link earth stations will not be entered in the Plan. For this reason the Bureau shall in such cases recommend to the administration that it appl</w:t>
      </w:r>
      <w:r w:rsidR="00FA065E">
        <w:t>ies</w:t>
      </w:r>
      <w:r w:rsidRPr="008E5ED7">
        <w:t xml:space="preserve"> the procedure of Article 4 in order to permit its earth stations to be entered in the Plan.</w:t>
      </w:r>
    </w:p>
    <w:p w14:paraId="3DE1F8E6" w14:textId="77777777" w:rsidR="002150F8" w:rsidRPr="008E5ED7" w:rsidRDefault="002150F8"/>
    <w:p w14:paraId="211658FD" w14:textId="77777777" w:rsidR="002150F8" w:rsidRPr="008E5ED7" w:rsidRDefault="002150F8">
      <w:pPr>
        <w:pStyle w:val="Heading8"/>
        <w:spacing w:before="600"/>
      </w:pPr>
      <w:bookmarkStart w:id="14" w:name="_Toc510511295"/>
      <w:r w:rsidRPr="008E5ED7">
        <w:t>Art. 7</w:t>
      </w:r>
      <w:bookmarkEnd w:id="14"/>
    </w:p>
    <w:p w14:paraId="716095AF" w14:textId="77777777" w:rsidR="002150F8" w:rsidRPr="008E5ED7" w:rsidRDefault="002150F8">
      <w:pPr>
        <w:pStyle w:val="Heading2"/>
        <w:spacing w:before="240"/>
        <w:ind w:left="0" w:firstLine="0"/>
        <w:jc w:val="center"/>
      </w:pPr>
      <w:bookmarkStart w:id="15" w:name="_Toc510511296"/>
      <w:r w:rsidRPr="008E5ED7">
        <w:t>Coordination, notification and recording of FSS assignments</w:t>
      </w:r>
      <w:r w:rsidRPr="008E5ED7">
        <w:br/>
        <w:t>when feeder-links to BSS assignments are involved</w:t>
      </w:r>
      <w:bookmarkEnd w:id="15"/>
    </w:p>
    <w:p w14:paraId="215B481F" w14:textId="77777777" w:rsidR="002150F8" w:rsidRPr="008E5ED7" w:rsidRDefault="002150F8">
      <w:pPr>
        <w:pStyle w:val="Heading9"/>
      </w:pPr>
      <w:bookmarkStart w:id="16" w:name="_Toc510511297"/>
      <w:r w:rsidRPr="008E5ED7">
        <w:t>7.</w:t>
      </w:r>
      <w:bookmarkEnd w:id="16"/>
      <w:r w:rsidRPr="008E5ED7">
        <w:t>7</w:t>
      </w:r>
    </w:p>
    <w:p w14:paraId="45EA9651" w14:textId="77777777" w:rsidR="002150F8" w:rsidRPr="008E5ED7" w:rsidRDefault="002150F8">
      <w:r w:rsidRPr="008E5ED7">
        <w:t>The comments under § 6.5 apply.</w:t>
      </w:r>
    </w:p>
    <w:p w14:paraId="53957F16" w14:textId="77777777" w:rsidR="002150F8" w:rsidRPr="008E5ED7" w:rsidRDefault="002150F8">
      <w:pPr>
        <w:pStyle w:val="Heading8"/>
      </w:pPr>
      <w:bookmarkStart w:id="17" w:name="_Toc510511298"/>
      <w:r w:rsidRPr="008E5ED7">
        <w:t>An. 1</w:t>
      </w:r>
      <w:bookmarkEnd w:id="17"/>
    </w:p>
    <w:p w14:paraId="29394AC8" w14:textId="77777777"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14:paraId="15F6A1B1" w14:textId="77777777" w:rsidR="002150F8" w:rsidRPr="008E5ED7" w:rsidRDefault="002150F8">
      <w:pPr>
        <w:pStyle w:val="Heading9"/>
      </w:pPr>
      <w:bookmarkStart w:id="18" w:name="_Toc510511300"/>
      <w:r w:rsidRPr="008E5ED7">
        <w:t>3</w:t>
      </w:r>
      <w:bookmarkEnd w:id="18"/>
    </w:p>
    <w:p w14:paraId="31A5BE45" w14:textId="77777777"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14:paraId="3E813508" w14:textId="77777777" w:rsidR="002150F8" w:rsidRPr="008E5ED7" w:rsidRDefault="002150F8">
      <w:pPr>
        <w:pStyle w:val="Heading9"/>
      </w:pPr>
      <w:bookmarkStart w:id="19" w:name="_Toc510511301"/>
      <w:r w:rsidRPr="008E5ED7">
        <w:t>4</w:t>
      </w:r>
      <w:bookmarkEnd w:id="19"/>
    </w:p>
    <w:p w14:paraId="7DDC572F" w14:textId="77777777" w:rsidR="002150F8" w:rsidRPr="008E5ED7" w:rsidRDefault="002150F8" w:rsidP="00552405">
      <w:pPr>
        <w:pStyle w:val="Headingi0"/>
        <w:spacing w:before="240"/>
        <w:rPr>
          <w:lang w:val="en-GB"/>
        </w:rPr>
      </w:pPr>
      <w:r w:rsidRPr="008E5ED7">
        <w:rPr>
          <w:lang w:val="en-GB"/>
        </w:rPr>
        <w:t>a)</w:t>
      </w:r>
      <w:r w:rsidRPr="008E5ED7">
        <w:rPr>
          <w:lang w:val="en-GB"/>
        </w:rPr>
        <w:tab/>
        <w:t>Test points</w:t>
      </w:r>
    </w:p>
    <w:p w14:paraId="090999C4" w14:textId="77777777"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14:paraId="505CB910" w14:textId="77777777"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14:paraId="103471E2" w14:textId="77777777"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14:paraId="4701A120" w14:textId="77777777" w:rsidR="002150F8" w:rsidRPr="008E5ED7" w:rsidRDefault="002150F8" w:rsidP="00650CA3">
      <w:r w:rsidRPr="008E5ED7">
        <w:t xml:space="preserve">The power flux-density limit of </w:t>
      </w:r>
      <w:r w:rsidRPr="008E5ED7">
        <w:rPr>
          <w:position w:val="9"/>
        </w:rPr>
        <w:t>_</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14:paraId="248F210B" w14:textId="77777777"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14:paraId="21F3635D" w14:textId="77777777"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14:paraId="11379B63" w14:textId="77777777" w:rsidR="002150F8" w:rsidRPr="008E5ED7" w:rsidRDefault="002150F8">
      <w:pPr>
        <w:pStyle w:val="enumlev1"/>
      </w:pPr>
      <w:r w:rsidRPr="008E5ED7">
        <w:t>–</w:t>
      </w:r>
      <w:r w:rsidRPr="008E5ED7">
        <w:tab/>
        <w:t>the orbital spacing between both assignments is less than 9°, under worst-case station-keeping conditions; and</w:t>
      </w:r>
    </w:p>
    <w:p w14:paraId="1D50EC13" w14:textId="77777777" w:rsidR="00742BFD" w:rsidRPr="008E5ED7" w:rsidRDefault="002150F8" w:rsidP="00742BFD">
      <w:pPr>
        <w:pStyle w:val="enumlev1"/>
      </w:pPr>
      <w:r w:rsidRPr="008E5ED7">
        <w:t>–</w:t>
      </w:r>
      <w:r w:rsidRPr="008E5ED7">
        <w:tab/>
        <w:t>there is a frequency overlap between the bandwidths assigned to each assignment; and</w:t>
      </w:r>
    </w:p>
    <w:p w14:paraId="447D56D7" w14:textId="77777777"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6"/>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14:paraId="177949F4" w14:textId="77777777" w:rsidR="002150F8" w:rsidRPr="008E5ED7" w:rsidRDefault="002150F8">
      <w:pPr>
        <w:pStyle w:val="Headingi"/>
      </w:pPr>
      <w:r w:rsidRPr="008E5ED7">
        <w:t>d)</w:t>
      </w:r>
      <w:r w:rsidRPr="008E5ED7">
        <w:tab/>
        <w:t>Reference protection margin</w:t>
      </w:r>
    </w:p>
    <w:p w14:paraId="2316D2EF" w14:textId="77777777"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14:paraId="3DA6E4A1" w14:textId="77777777" w:rsidR="00C96159" w:rsidRDefault="00C96159">
      <w:pPr>
        <w:tabs>
          <w:tab w:val="clear" w:pos="1134"/>
          <w:tab w:val="clear" w:pos="1871"/>
          <w:tab w:val="clear" w:pos="2268"/>
        </w:tabs>
        <w:overflowPunct/>
        <w:autoSpaceDE/>
        <w:autoSpaceDN/>
        <w:adjustRightInd/>
        <w:spacing w:before="0"/>
        <w:jc w:val="left"/>
        <w:textAlignment w:val="auto"/>
        <w:rPr>
          <w:b/>
        </w:rPr>
      </w:pPr>
      <w:bookmarkStart w:id="20" w:name="_Toc510511302"/>
      <w:r>
        <w:br w:type="page"/>
      </w:r>
    </w:p>
    <w:p w14:paraId="469DCB1B" w14:textId="77777777" w:rsidR="002150F8" w:rsidRPr="008E5ED7" w:rsidRDefault="002150F8" w:rsidP="00552405">
      <w:pPr>
        <w:pStyle w:val="Heading8"/>
      </w:pPr>
      <w:r w:rsidRPr="008E5ED7">
        <w:lastRenderedPageBreak/>
        <w:t>An. 3</w:t>
      </w:r>
      <w:bookmarkEnd w:id="20"/>
    </w:p>
    <w:p w14:paraId="2E85A3C0" w14:textId="77777777" w:rsidR="002150F8" w:rsidRPr="008E5ED7" w:rsidRDefault="002150F8" w:rsidP="00552405">
      <w:pPr>
        <w:pStyle w:val="Heading2"/>
        <w:ind w:left="0" w:firstLine="0"/>
        <w:jc w:val="center"/>
      </w:pPr>
      <w:bookmarkStart w:id="21"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1"/>
    </w:p>
    <w:p w14:paraId="57E7C787" w14:textId="77777777" w:rsidR="002150F8" w:rsidRPr="008E5ED7" w:rsidRDefault="002150F8" w:rsidP="007C5018">
      <w:pPr>
        <w:pStyle w:val="Heading9"/>
      </w:pPr>
      <w:bookmarkStart w:id="22" w:name="_Toc510511304"/>
      <w:r w:rsidRPr="008E5ED7">
        <w:t>1.7</w:t>
      </w:r>
      <w:bookmarkEnd w:id="22"/>
    </w:p>
    <w:p w14:paraId="71DE6A85" w14:textId="77777777" w:rsidR="00D72051" w:rsidRPr="00D72051" w:rsidRDefault="00D72051" w:rsidP="00BD08EB">
      <w:r w:rsidRPr="00D72051">
        <w:t xml:space="preserve">The footnote to this provision states that </w:t>
      </w:r>
      <w:r w:rsidRPr="00020A8C">
        <w:rPr>
          <w:i/>
          <w:iCs/>
        </w:rPr>
        <w:t>“in certain cases (e.g. when the channel spacing and/or bandwidth are different from the values given in § 3.5 and 3.8 of Annex 5 to Appendix </w:t>
      </w:r>
      <w:r w:rsidRPr="00020A8C">
        <w:rPr>
          <w:b/>
          <w:i/>
          <w:iCs/>
        </w:rPr>
        <w:t>30</w:t>
      </w:r>
      <w:r w:rsidRPr="00020A8C">
        <w:rPr>
          <w:i/>
          <w:iCs/>
        </w:rPr>
        <w:t>), the Bureau will use the worst-case approach until a relevant ITU</w:t>
      </w:r>
      <w:r w:rsidRPr="00020A8C">
        <w:rPr>
          <w:i/>
          <w:iCs/>
        </w:rPr>
        <w:noBreakHyphen/>
        <w:t>R Recommendation is incorporated in this Annex by reference”</w:t>
      </w:r>
      <w:r w:rsidR="001B0114" w:rsidRPr="00D72051">
        <w:t>.</w:t>
      </w:r>
    </w:p>
    <w:p w14:paraId="7CA96068" w14:textId="77777777"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14:paraId="08E46BCC" w14:textId="77777777" w:rsidR="00D72051" w:rsidRPr="00C52342" w:rsidRDefault="00D72051" w:rsidP="007C5018">
      <w:pPr>
        <w:pStyle w:val="Table"/>
      </w:pPr>
      <w:r w:rsidRPr="00D72051">
        <w:t>TABLE</w:t>
      </w:r>
      <w:r w:rsidRPr="00C52342">
        <w:t xml:space="preserv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14:paraId="29AAEB74" w14:textId="77777777" w:rsidTr="00D72051">
        <w:trPr>
          <w:gridAfter w:val="1"/>
          <w:wAfter w:w="8" w:type="dxa"/>
        </w:trPr>
        <w:tc>
          <w:tcPr>
            <w:tcW w:w="2835" w:type="dxa"/>
            <w:tcBorders>
              <w:top w:val="single" w:sz="6" w:space="0" w:color="auto"/>
            </w:tcBorders>
          </w:tcPr>
          <w:p w14:paraId="3E0827E2" w14:textId="77777777" w:rsidR="00D72051" w:rsidRPr="00C52342" w:rsidRDefault="00D72051" w:rsidP="00D72051">
            <w:pPr>
              <w:pStyle w:val="Tablehead0"/>
              <w:framePr w:hSpace="180" w:wrap="around" w:vAnchor="text" w:hAnchor="text" w:y="1"/>
            </w:pPr>
            <w:r w:rsidRPr="00C52342">
              <w:t>Wanted assignment</w:t>
            </w:r>
          </w:p>
        </w:tc>
        <w:tc>
          <w:tcPr>
            <w:tcW w:w="2835" w:type="dxa"/>
            <w:tcBorders>
              <w:top w:val="single" w:sz="6" w:space="0" w:color="auto"/>
            </w:tcBorders>
          </w:tcPr>
          <w:p w14:paraId="59EEDA79" w14:textId="77777777" w:rsidR="00D72051" w:rsidRPr="00C52342" w:rsidRDefault="00D72051" w:rsidP="00D72051">
            <w:pPr>
              <w:pStyle w:val="Tablehead0"/>
              <w:framePr w:hSpace="180" w:wrap="around" w:vAnchor="text" w:hAnchor="text" w:y="1"/>
            </w:pPr>
            <w:r w:rsidRPr="00C52342">
              <w:t>Interfering assignment</w:t>
            </w:r>
          </w:p>
        </w:tc>
        <w:tc>
          <w:tcPr>
            <w:tcW w:w="3402" w:type="dxa"/>
            <w:tcBorders>
              <w:top w:val="single" w:sz="6" w:space="0" w:color="auto"/>
            </w:tcBorders>
          </w:tcPr>
          <w:p w14:paraId="3B4037D6" w14:textId="77777777" w:rsidR="00D72051" w:rsidRPr="00C52342" w:rsidRDefault="00D72051" w:rsidP="00D72051">
            <w:pPr>
              <w:pStyle w:val="Tablehead0"/>
              <w:framePr w:hSpace="180" w:wrap="around" w:vAnchor="text" w:hAnchor="text" w:y="1"/>
            </w:pPr>
            <w:r w:rsidRPr="00C52342">
              <w:t>Method to be applied</w:t>
            </w:r>
          </w:p>
        </w:tc>
      </w:tr>
      <w:tr w:rsidR="00D72051" w:rsidRPr="00C52342" w14:paraId="2B973054" w14:textId="77777777" w:rsidTr="00D72051">
        <w:trPr>
          <w:gridAfter w:val="1"/>
          <w:wAfter w:w="8" w:type="dxa"/>
        </w:trPr>
        <w:tc>
          <w:tcPr>
            <w:tcW w:w="2835" w:type="dxa"/>
          </w:tcPr>
          <w:p w14:paraId="1D178B66" w14:textId="77777777"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14:paraId="2B4B7BC2"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09D781B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14:paraId="3976D8FE" w14:textId="77777777" w:rsidTr="00D72051">
        <w:trPr>
          <w:gridAfter w:val="1"/>
          <w:wAfter w:w="8" w:type="dxa"/>
        </w:trPr>
        <w:tc>
          <w:tcPr>
            <w:tcW w:w="2835" w:type="dxa"/>
          </w:tcPr>
          <w:p w14:paraId="6225D5DD"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608A66D6"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3897FAA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4B3518A3" w14:textId="77777777" w:rsidTr="00D72051">
        <w:trPr>
          <w:gridAfter w:val="1"/>
          <w:wAfter w:w="8" w:type="dxa"/>
        </w:trPr>
        <w:tc>
          <w:tcPr>
            <w:tcW w:w="2835" w:type="dxa"/>
          </w:tcPr>
          <w:p w14:paraId="1F6F4E55"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14:paraId="0C1CE65A"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4BBDCB8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18AFD917" w14:textId="77777777" w:rsidTr="00D72051">
        <w:trPr>
          <w:gridAfter w:val="1"/>
          <w:wAfter w:w="8" w:type="dxa"/>
        </w:trPr>
        <w:tc>
          <w:tcPr>
            <w:tcW w:w="2835" w:type="dxa"/>
          </w:tcPr>
          <w:p w14:paraId="4EFEF9F5"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26C8168E"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6516044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5A667CDB" w14:textId="77777777" w:rsidTr="00D72051">
        <w:trPr>
          <w:gridAfter w:val="1"/>
          <w:wAfter w:w="8" w:type="dxa"/>
        </w:trPr>
        <w:tc>
          <w:tcPr>
            <w:tcW w:w="2835" w:type="dxa"/>
          </w:tcPr>
          <w:p w14:paraId="2D27F60A"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14:paraId="71169753"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14:paraId="0AB8461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2ED51852" w14:textId="77777777" w:rsidTr="00D72051">
        <w:trPr>
          <w:gridAfter w:val="1"/>
          <w:wAfter w:w="8" w:type="dxa"/>
        </w:trPr>
        <w:tc>
          <w:tcPr>
            <w:tcW w:w="2835" w:type="dxa"/>
          </w:tcPr>
          <w:p w14:paraId="28D0D1D9"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14:paraId="6E0F4812"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14:paraId="5B4CDD5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3286D35E" w14:textId="77777777" w:rsidTr="00D72051">
        <w:trPr>
          <w:gridAfter w:val="1"/>
          <w:wAfter w:w="8" w:type="dxa"/>
        </w:trPr>
        <w:tc>
          <w:tcPr>
            <w:tcW w:w="2835" w:type="dxa"/>
            <w:tcBorders>
              <w:bottom w:val="single" w:sz="6" w:space="0" w:color="auto"/>
            </w:tcBorders>
          </w:tcPr>
          <w:p w14:paraId="4012CBF8"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14:paraId="2C27BC31"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14:paraId="0B6B6824"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2AD16AC3" w14:textId="77777777" w:rsidTr="00D72051">
        <w:tc>
          <w:tcPr>
            <w:tcW w:w="9072" w:type="dxa"/>
            <w:gridSpan w:val="4"/>
            <w:tcBorders>
              <w:left w:val="nil"/>
              <w:bottom w:val="nil"/>
              <w:right w:val="nil"/>
            </w:tcBorders>
          </w:tcPr>
          <w:p w14:paraId="79679004"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14:paraId="150CE59D"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14:paraId="3EF9938E" w14:textId="77777777" w:rsidR="002150F8" w:rsidRPr="008E5ED7" w:rsidRDefault="002150F8" w:rsidP="00552405">
      <w:pPr>
        <w:pStyle w:val="TableFin"/>
      </w:pPr>
    </w:p>
    <w:p w14:paraId="079E8AD4" w14:textId="77777777"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14:paraId="68408B21" w14:textId="77777777" w:rsidR="002150F8" w:rsidRPr="008E5ED7" w:rsidRDefault="002150F8">
      <w:pPr>
        <w:pStyle w:val="Heading9"/>
      </w:pPr>
      <w:r w:rsidRPr="008E5ED7">
        <w:lastRenderedPageBreak/>
        <w:t>3</w:t>
      </w:r>
    </w:p>
    <w:p w14:paraId="0F265FF6" w14:textId="77777777" w:rsidR="002150F8" w:rsidRPr="008E5ED7" w:rsidRDefault="002150F8" w:rsidP="005A1D51">
      <w:pPr>
        <w:pStyle w:val="Headingb"/>
        <w:spacing w:before="240"/>
      </w:pPr>
      <w:r w:rsidRPr="008E5ED7">
        <w:t>Power-control</w:t>
      </w:r>
    </w:p>
    <w:p w14:paraId="4E3C1438" w14:textId="77777777"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14:paraId="71E0767E" w14:textId="77777777"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entering into the List. At the same time, the Bureau shall identify any other administrations whose feeder-link Equivalent Protection Margin is reduced due to the use of power control by the subject assignment.  </w:t>
      </w:r>
    </w:p>
    <w:p w14:paraId="4B2EAAEC" w14:textId="77777777"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14:paraId="585FEFFB" w14:textId="77777777"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14:paraId="73865EA0" w14:textId="77777777"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14:paraId="04E9164A" w14:textId="77777777" w:rsidR="00A83D2F" w:rsidRPr="00A83D2F" w:rsidRDefault="00A83D2F" w:rsidP="006C297C">
      <w:pPr>
        <w:rPr>
          <w:bCs/>
        </w:rPr>
      </w:pPr>
      <w:r w:rsidRPr="00A83D2F">
        <w:rPr>
          <w:b/>
        </w:rPr>
        <w:t>Note</w:t>
      </w:r>
      <w:r w:rsidRPr="007C5018">
        <w:rPr>
          <w:bCs/>
        </w:rPr>
        <w:t>:</w:t>
      </w:r>
      <w:r w:rsidRPr="00A83D2F">
        <w:rPr>
          <w:bCs/>
        </w:rPr>
        <w:t xml:space="preserve"> WRC-15 took the decision related to the RoP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14:paraId="7D08D997" w14:textId="77777777"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ed to assignments in the Region </w:t>
      </w:r>
      <w:r w:rsidRPr="006C297C">
        <w:rPr>
          <w:i/>
          <w:iCs/>
          <w:spacing w:val="-4"/>
        </w:rPr>
        <w:t>1 and 3 List and the corresponding RoP should be modified accordingly.”</w:t>
      </w:r>
    </w:p>
    <w:p w14:paraId="06CC8A73" w14:textId="77777777" w:rsidR="003754D1" w:rsidRDefault="002150F8" w:rsidP="005A1D51">
      <w:pPr>
        <w:spacing w:before="120"/>
        <w:jc w:val="center"/>
      </w:pPr>
      <w:r w:rsidRPr="008E5ED7">
        <w:t>____________________</w:t>
      </w:r>
    </w:p>
    <w:p w14:paraId="6FE80021" w14:textId="77777777" w:rsidR="00154FD9" w:rsidRDefault="00154FD9" w:rsidP="003754D1">
      <w:pPr>
        <w:jc w:val="center"/>
      </w:pPr>
    </w:p>
    <w:p w14:paraId="1381EF44" w14:textId="77777777" w:rsidR="002C5C48" w:rsidRDefault="002C5C48" w:rsidP="003754D1">
      <w:pPr>
        <w:jc w:val="center"/>
      </w:pPr>
    </w:p>
    <w:p w14:paraId="7AC4B993" w14:textId="77777777" w:rsidR="002C5C48" w:rsidRDefault="002C5C48" w:rsidP="003754D1">
      <w:pPr>
        <w:jc w:val="center"/>
      </w:pPr>
    </w:p>
    <w:p w14:paraId="68102D3E" w14:textId="77777777" w:rsidR="002C5C48" w:rsidRDefault="002C5C48" w:rsidP="003754D1">
      <w:pPr>
        <w:jc w:val="center"/>
      </w:pPr>
    </w:p>
    <w:p w14:paraId="40A0DF5D" w14:textId="4ACF2BD1" w:rsidR="00154FD9" w:rsidRPr="008E5ED7" w:rsidRDefault="00154FD9" w:rsidP="003754D1">
      <w:pPr>
        <w:jc w:val="center"/>
        <w:sectPr w:rsidR="00154FD9" w:rsidRPr="008E5ED7">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6A5D34A" w14:textId="19F44386" w:rsidR="002150F8" w:rsidRPr="008E5ED7" w:rsidRDefault="002150F8" w:rsidP="002E5617"/>
    <w:sectPr w:rsidR="002150F8" w:rsidRPr="008E5ED7" w:rsidSect="008E5ED7">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97814" w14:textId="77777777" w:rsidR="00FF6ECB" w:rsidRDefault="00FF6ECB">
      <w:r>
        <w:separator/>
      </w:r>
    </w:p>
  </w:endnote>
  <w:endnote w:type="continuationSeparator" w:id="0">
    <w:p w14:paraId="7ECF217B" w14:textId="77777777"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7BC49" w14:textId="77777777" w:rsidR="00FF6ECB" w:rsidRDefault="00FF6ECB">
      <w:r>
        <w:rPr>
          <w:b/>
        </w:rPr>
        <w:t>_______________</w:t>
      </w:r>
    </w:p>
  </w:footnote>
  <w:footnote w:type="continuationSeparator" w:id="0">
    <w:p w14:paraId="7CB1FCA3" w14:textId="77777777" w:rsidR="00FF6ECB" w:rsidRDefault="00FF6ECB">
      <w:r>
        <w:continuationSeparator/>
      </w:r>
    </w:p>
  </w:footnote>
  <w:footnote w:id="1">
    <w:p w14:paraId="40D07315" w14:textId="77777777"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2">
    <w:p w14:paraId="17DBC5CC" w14:textId="77777777"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3">
    <w:p w14:paraId="653FDC6D" w14:textId="77777777"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4">
    <w:p w14:paraId="5DF84013" w14:textId="77777777"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5">
    <w:p w14:paraId="17BF0A1F" w14:textId="77777777" w:rsidR="008E5ED7" w:rsidRDefault="008E5ED7">
      <w:pPr>
        <w:pStyle w:val="FootnoteText"/>
      </w:pPr>
      <w:r>
        <w:rPr>
          <w:rStyle w:val="FootnoteReference"/>
        </w:rPr>
        <w:t>4</w:t>
      </w:r>
      <w:r>
        <w:t xml:space="preserve"> </w:t>
      </w:r>
      <w:r>
        <w:tab/>
        <w:t>As appearing in the appropriate Plan or List, according to the case.</w:t>
      </w:r>
    </w:p>
  </w:footnote>
  <w:footnote w:id="6">
    <w:p w14:paraId="2B8A77F1" w14:textId="77777777"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26AC86A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7880B8" w14:textId="6847FFBA" w:rsidR="00CB4C25" w:rsidRDefault="00CB4C25">
          <w:pPr>
            <w:pStyle w:val="HeaderRegProc"/>
          </w:pPr>
          <w:r>
            <w:t>Part A</w:t>
          </w:r>
          <w:r>
            <w:fldChar w:fldCharType="begin"/>
          </w:r>
          <w:r>
            <w:instrText>styleref href</w:instrText>
          </w:r>
          <w:r>
            <w:fldChar w:fldCharType="separate"/>
          </w:r>
          <w:r w:rsidR="00FC551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EFC1E" w14:textId="4FEB1A00" w:rsidR="00CB4C25" w:rsidRDefault="00C927FD">
          <w:pPr>
            <w:pStyle w:val="HeaderRegProc"/>
            <w:rPr>
              <w:lang w:val="fr-FR"/>
            </w:rPr>
          </w:pPr>
          <w:fldSimple w:instr=" DOCPROPERTY &quot;Header1&quot; \* MERGEFORMAT ">
            <w:r w:rsidR="00FC5511">
              <w:t>AP</w:t>
            </w:r>
          </w:fldSimple>
          <w:r w:rsidR="00CB4C25">
            <w:fldChar w:fldCharType="begin"/>
          </w:r>
          <w:r w:rsidR="00CB4C25">
            <w:instrText>styleref href2</w:instrText>
          </w:r>
          <w:r w:rsidR="00CB4C25">
            <w:fldChar w:fldCharType="separate"/>
          </w:r>
          <w:r w:rsidR="00FC5511">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AECAF"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6AAA0" w14:textId="409E69E0" w:rsidR="00CB4C25" w:rsidRDefault="00CB4C25" w:rsidP="005C0D0E">
          <w:pPr>
            <w:pStyle w:val="HeaderRegProc"/>
            <w:rPr>
              <w:lang w:val="fr-CH"/>
            </w:rPr>
          </w:pPr>
          <w:r>
            <w:rPr>
              <w:lang w:val="fr-CH"/>
            </w:rPr>
            <w:t>rev.</w:t>
          </w:r>
          <w:r w:rsidR="00E50A04">
            <w:rPr>
              <w:lang w:val="fr-CH"/>
            </w:rPr>
            <w:t xml:space="preserve"> </w:t>
          </w:r>
          <w:r>
            <w:t>-</w:t>
          </w:r>
        </w:p>
      </w:tc>
    </w:tr>
  </w:tbl>
  <w:p w14:paraId="43B790C9" w14:textId="77777777" w:rsidR="00CB4C25" w:rsidRDefault="00CB4C2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70A8513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A7A380F" w14:textId="12132389" w:rsidR="00CB4C25" w:rsidRDefault="00CB4C25">
          <w:pPr>
            <w:pStyle w:val="HeaderRegProc"/>
          </w:pPr>
          <w:r>
            <w:t>Part A</w:t>
          </w:r>
          <w:r>
            <w:fldChar w:fldCharType="begin"/>
          </w:r>
          <w:r>
            <w:instrText>styleref href</w:instrText>
          </w:r>
          <w:r>
            <w:fldChar w:fldCharType="separate"/>
          </w:r>
          <w:r w:rsidR="00FC551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57F13" w14:textId="5412E932" w:rsidR="00CB4C25" w:rsidRDefault="00C927FD">
          <w:pPr>
            <w:pStyle w:val="HeaderRegProc"/>
            <w:rPr>
              <w:lang w:val="fr-FR"/>
            </w:rPr>
          </w:pPr>
          <w:fldSimple w:instr=" DOCPROPERTY &quot;Header1&quot; \* MERGEFORMAT ">
            <w:r w:rsidR="00FC5511">
              <w:t>AP</w:t>
            </w:r>
          </w:fldSimple>
          <w:r w:rsidR="00CB4C25">
            <w:fldChar w:fldCharType="begin"/>
          </w:r>
          <w:r w:rsidR="00CB4C25">
            <w:instrText>styleref href2</w:instrText>
          </w:r>
          <w:r w:rsidR="00CB4C25">
            <w:fldChar w:fldCharType="separate"/>
          </w:r>
          <w:r w:rsidR="00FC5511">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8DDD5"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31DBA" w14:textId="7D288A4D" w:rsidR="00CB4C25" w:rsidRDefault="00CB4C25" w:rsidP="007C5018">
          <w:pPr>
            <w:pStyle w:val="HeaderRegProc"/>
            <w:rPr>
              <w:lang w:val="fr-CH"/>
            </w:rPr>
          </w:pPr>
          <w:r>
            <w:rPr>
              <w:lang w:val="fr-CH"/>
            </w:rPr>
            <w:t>rev.</w:t>
          </w:r>
          <w:r w:rsidR="00E50A04">
            <w:rPr>
              <w:lang w:val="fr-CH"/>
            </w:rPr>
            <w:t xml:space="preserve"> </w:t>
          </w:r>
          <w:r>
            <w:rPr>
              <w:lang w:val="fr-CH"/>
            </w:rPr>
            <w:t>-</w:t>
          </w:r>
        </w:p>
      </w:tc>
    </w:tr>
  </w:tbl>
  <w:p w14:paraId="0441AE37" w14:textId="77777777" w:rsidR="00CB4C25" w:rsidRDefault="00CB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97CD" w14:textId="77777777" w:rsidR="008E5ED7" w:rsidRDefault="008E5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F206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605E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AF3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9013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A24D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5615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D6C0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FE92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3AC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4A93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1"/>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405"/>
    <w:rsid w:val="00020A8C"/>
    <w:rsid w:val="000629B0"/>
    <w:rsid w:val="000757BF"/>
    <w:rsid w:val="000E7EED"/>
    <w:rsid w:val="000F1A13"/>
    <w:rsid w:val="00154FD9"/>
    <w:rsid w:val="001665A5"/>
    <w:rsid w:val="001B0114"/>
    <w:rsid w:val="001C5CAA"/>
    <w:rsid w:val="002002C7"/>
    <w:rsid w:val="00202C23"/>
    <w:rsid w:val="002150F8"/>
    <w:rsid w:val="00225CAD"/>
    <w:rsid w:val="002417C1"/>
    <w:rsid w:val="002A5B3E"/>
    <w:rsid w:val="002C5179"/>
    <w:rsid w:val="002C5C48"/>
    <w:rsid w:val="002C7F4E"/>
    <w:rsid w:val="002E5617"/>
    <w:rsid w:val="003010BE"/>
    <w:rsid w:val="00312ABF"/>
    <w:rsid w:val="00333F47"/>
    <w:rsid w:val="003754D1"/>
    <w:rsid w:val="0041080B"/>
    <w:rsid w:val="00413A39"/>
    <w:rsid w:val="00447573"/>
    <w:rsid w:val="00452E91"/>
    <w:rsid w:val="00483C8F"/>
    <w:rsid w:val="004C5F41"/>
    <w:rsid w:val="004F3B0F"/>
    <w:rsid w:val="005004AA"/>
    <w:rsid w:val="00534D56"/>
    <w:rsid w:val="00552405"/>
    <w:rsid w:val="00587D88"/>
    <w:rsid w:val="005A1D51"/>
    <w:rsid w:val="005C0D0E"/>
    <w:rsid w:val="005D60D8"/>
    <w:rsid w:val="005D654D"/>
    <w:rsid w:val="005F0B1E"/>
    <w:rsid w:val="005F5BEC"/>
    <w:rsid w:val="00610025"/>
    <w:rsid w:val="0063387C"/>
    <w:rsid w:val="00650CA3"/>
    <w:rsid w:val="0065661F"/>
    <w:rsid w:val="00664725"/>
    <w:rsid w:val="00695ECC"/>
    <w:rsid w:val="00696A07"/>
    <w:rsid w:val="006C297C"/>
    <w:rsid w:val="006C381B"/>
    <w:rsid w:val="006D6F97"/>
    <w:rsid w:val="00742BFD"/>
    <w:rsid w:val="0079463E"/>
    <w:rsid w:val="007C5018"/>
    <w:rsid w:val="007D1AF1"/>
    <w:rsid w:val="007F63CA"/>
    <w:rsid w:val="00825A33"/>
    <w:rsid w:val="0084000E"/>
    <w:rsid w:val="00863923"/>
    <w:rsid w:val="008806A1"/>
    <w:rsid w:val="008D5D69"/>
    <w:rsid w:val="008E08D1"/>
    <w:rsid w:val="008E5ED7"/>
    <w:rsid w:val="008F4A3B"/>
    <w:rsid w:val="00906B96"/>
    <w:rsid w:val="00992CBF"/>
    <w:rsid w:val="009A575F"/>
    <w:rsid w:val="009C7F87"/>
    <w:rsid w:val="00A37191"/>
    <w:rsid w:val="00A6155C"/>
    <w:rsid w:val="00A83D2F"/>
    <w:rsid w:val="00AD1A4A"/>
    <w:rsid w:val="00AE076A"/>
    <w:rsid w:val="00AE395E"/>
    <w:rsid w:val="00B42744"/>
    <w:rsid w:val="00B64B45"/>
    <w:rsid w:val="00B82B4C"/>
    <w:rsid w:val="00BA2419"/>
    <w:rsid w:val="00BD08EB"/>
    <w:rsid w:val="00C47582"/>
    <w:rsid w:val="00C742A0"/>
    <w:rsid w:val="00C927FD"/>
    <w:rsid w:val="00C96159"/>
    <w:rsid w:val="00CB4C25"/>
    <w:rsid w:val="00D27881"/>
    <w:rsid w:val="00D33730"/>
    <w:rsid w:val="00D416CC"/>
    <w:rsid w:val="00D43743"/>
    <w:rsid w:val="00D7199F"/>
    <w:rsid w:val="00D72051"/>
    <w:rsid w:val="00DB70CE"/>
    <w:rsid w:val="00DC225F"/>
    <w:rsid w:val="00E50A04"/>
    <w:rsid w:val="00E54063"/>
    <w:rsid w:val="00E65E90"/>
    <w:rsid w:val="00E9061A"/>
    <w:rsid w:val="00E97FCA"/>
    <w:rsid w:val="00EB7CD6"/>
    <w:rsid w:val="00F0479F"/>
    <w:rsid w:val="00F21AA6"/>
    <w:rsid w:val="00F52123"/>
    <w:rsid w:val="00F72B45"/>
    <w:rsid w:val="00F97F1E"/>
    <w:rsid w:val="00FA065E"/>
    <w:rsid w:val="00FA3AFD"/>
    <w:rsid w:val="00FA6239"/>
    <w:rsid w:val="00FC5511"/>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B2BC1CB"/>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rsid w:val="00F72B45"/>
    <w:pPr>
      <w:tabs>
        <w:tab w:val="clear" w:pos="1134"/>
        <w:tab w:val="clear" w:pos="1871"/>
        <w:tab w:val="clear" w:pos="2268"/>
        <w:tab w:val="center" w:pos="4320"/>
        <w:tab w:val="right" w:pos="8640"/>
      </w:tabs>
    </w:pPr>
  </w:style>
  <w:style w:type="character" w:styleId="FootnoteReference">
    <w:name w:val="footnote reference"/>
    <w:basedOn w:val="DefaultParagraphFont"/>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3969C-7EC4-4450-9BFB-10607353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259</TotalTime>
  <Pages>17</Pages>
  <Words>5079</Words>
  <Characters>28952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104</cp:revision>
  <cp:lastPrinted>2021-05-12T07:32:00Z</cp:lastPrinted>
  <dcterms:created xsi:type="dcterms:W3CDTF">2012-08-08T06:51:00Z</dcterms:created>
  <dcterms:modified xsi:type="dcterms:W3CDTF">2021-05-12T07:33:00Z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