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0D38C" w14:textId="77777777" w:rsidR="00D93A7B" w:rsidRDefault="00D93A7B" w:rsidP="00F529D2">
      <w:pPr>
        <w:pStyle w:val="Heading1"/>
        <w:tabs>
          <w:tab w:val="clear" w:pos="1134"/>
          <w:tab w:val="clear" w:pos="1871"/>
          <w:tab w:val="left" w:pos="0"/>
        </w:tabs>
        <w:spacing w:before="240"/>
        <w:jc w:val="center"/>
        <w:rPr>
          <w:lang w:eastAsia="zh-CN"/>
        </w:rPr>
      </w:pPr>
      <w:r>
        <w:rPr>
          <w:rFonts w:hint="eastAsia"/>
          <w:lang w:eastAsia="zh-CN"/>
        </w:rPr>
        <w:t>A6</w:t>
      </w:r>
      <w:r>
        <w:rPr>
          <w:rFonts w:hint="eastAsia"/>
          <w:lang w:eastAsia="zh-CN"/>
        </w:rPr>
        <w:t>部分</w:t>
      </w:r>
    </w:p>
    <w:p w14:paraId="64006B10" w14:textId="77777777" w:rsidR="00D93A7B" w:rsidRDefault="00D93A7B" w:rsidP="005735E4">
      <w:pPr>
        <w:pStyle w:val="Heading1"/>
        <w:spacing w:before="240"/>
        <w:jc w:val="center"/>
        <w:rPr>
          <w:lang w:eastAsia="zh-CN"/>
        </w:rPr>
      </w:pPr>
      <w:r>
        <w:rPr>
          <w:rFonts w:hint="eastAsia"/>
          <w:noProof/>
          <w:lang w:eastAsia="zh-CN"/>
        </w:rPr>
        <w:t>关于非洲广播区及周边国家</w:t>
      </w:r>
      <w:r>
        <w:rPr>
          <w:rFonts w:hint="eastAsia"/>
          <w:noProof/>
          <w:lang w:eastAsia="zh-CN"/>
        </w:rPr>
        <w:t>VHF/UHF</w:t>
      </w:r>
      <w:r>
        <w:rPr>
          <w:rFonts w:hint="eastAsia"/>
          <w:noProof/>
          <w:lang w:eastAsia="zh-CN"/>
        </w:rPr>
        <w:t>电视广播</w:t>
      </w:r>
      <w:r>
        <w:rPr>
          <w:noProof/>
          <w:lang w:eastAsia="zh-CN"/>
        </w:rPr>
        <w:br/>
      </w:r>
      <w:r>
        <w:rPr>
          <w:rFonts w:hint="eastAsia"/>
          <w:noProof/>
          <w:lang w:eastAsia="zh-CN"/>
        </w:rPr>
        <w:t>规划的区域性协议（</w:t>
      </w:r>
      <w:r>
        <w:rPr>
          <w:rFonts w:hint="eastAsia"/>
          <w:noProof/>
          <w:lang w:eastAsia="zh-CN"/>
        </w:rPr>
        <w:t>1989</w:t>
      </w:r>
      <w:r>
        <w:rPr>
          <w:rFonts w:hint="eastAsia"/>
          <w:noProof/>
          <w:lang w:eastAsia="zh-CN"/>
        </w:rPr>
        <w:t>年，日内瓦）</w:t>
      </w:r>
      <w:r w:rsidR="0057329B">
        <w:rPr>
          <w:noProof/>
          <w:lang w:eastAsia="zh-CN"/>
        </w:rPr>
        <w:br/>
      </w:r>
      <w:r>
        <w:rPr>
          <w:rFonts w:hint="eastAsia"/>
          <w:noProof/>
          <w:lang w:eastAsia="zh-CN"/>
        </w:rPr>
        <w:t>（</w:t>
      </w:r>
      <w:r>
        <w:rPr>
          <w:rFonts w:hint="eastAsia"/>
          <w:noProof/>
          <w:lang w:eastAsia="zh-CN"/>
        </w:rPr>
        <w:t>GE89</w:t>
      </w:r>
      <w:r>
        <w:rPr>
          <w:rFonts w:hint="eastAsia"/>
          <w:noProof/>
          <w:lang w:eastAsia="zh-CN"/>
        </w:rPr>
        <w:t>）的程序规则</w:t>
      </w:r>
    </w:p>
    <w:p w14:paraId="7F183068" w14:textId="77777777" w:rsidR="00CE3D31" w:rsidRDefault="00CE3D31" w:rsidP="005735E4">
      <w:pPr>
        <w:pStyle w:val="Heading1"/>
        <w:rPr>
          <w:rFonts w:ascii="SimSun" w:cs="SimSun"/>
          <w:lang w:eastAsia="zh-CN"/>
        </w:rPr>
      </w:pPr>
      <w:r>
        <w:rPr>
          <w:lang w:eastAsia="zh-CN"/>
        </w:rPr>
        <w:t>1</w:t>
      </w:r>
      <w:r>
        <w:rPr>
          <w:lang w:eastAsia="zh-CN"/>
        </w:rPr>
        <w:tab/>
      </w:r>
      <w:r>
        <w:rPr>
          <w:rFonts w:hint="eastAsia"/>
          <w:lang w:eastAsia="zh-CN"/>
        </w:rPr>
        <w:t>协议范围</w:t>
      </w:r>
    </w:p>
    <w:p w14:paraId="5E05FFB0" w14:textId="77777777" w:rsidR="00CE3D31" w:rsidRDefault="00CE3D31" w:rsidP="005735E4">
      <w:pPr>
        <w:rPr>
          <w:lang w:eastAsia="zh-CN"/>
        </w:rPr>
      </w:pPr>
      <w:r>
        <w:rPr>
          <w:lang w:eastAsia="zh-CN"/>
        </w:rPr>
        <w:t>1.1</w:t>
      </w:r>
      <w:r>
        <w:rPr>
          <w:lang w:eastAsia="zh-CN"/>
        </w:rPr>
        <w:tab/>
      </w:r>
      <w:r w:rsidRPr="00CE3D31">
        <w:rPr>
          <w:rFonts w:hint="eastAsia"/>
          <w:lang w:eastAsia="zh-CN"/>
        </w:rPr>
        <w:t>继</w:t>
      </w:r>
      <w:r w:rsidRPr="00CE3D31">
        <w:rPr>
          <w:lang w:eastAsia="zh-CN"/>
        </w:rPr>
        <w:t>2006</w:t>
      </w:r>
      <w:r w:rsidRPr="00CE3D31">
        <w:rPr>
          <w:rFonts w:hint="eastAsia"/>
          <w:lang w:eastAsia="zh-CN"/>
        </w:rPr>
        <w:t>年</w:t>
      </w:r>
      <w:r>
        <w:rPr>
          <w:lang w:eastAsia="zh-CN"/>
        </w:rPr>
        <w:t>RRC-06</w:t>
      </w:r>
      <w:r w:rsidRPr="00CE3D31">
        <w:rPr>
          <w:rFonts w:hint="eastAsia"/>
          <w:lang w:eastAsia="zh-CN"/>
        </w:rPr>
        <w:t>对</w:t>
      </w:r>
      <w:r>
        <w:rPr>
          <w:lang w:eastAsia="zh-CN"/>
        </w:rPr>
        <w:t>GE89</w:t>
      </w:r>
      <w:r>
        <w:rPr>
          <w:rFonts w:hint="eastAsia"/>
          <w:lang w:eastAsia="zh-CN"/>
        </w:rPr>
        <w:t>协议修订</w:t>
      </w:r>
      <w:r w:rsidR="000C5540">
        <w:rPr>
          <w:rFonts w:hint="eastAsia"/>
          <w:lang w:eastAsia="zh-CN"/>
        </w:rPr>
        <w:t>（</w:t>
      </w:r>
      <w:r>
        <w:rPr>
          <w:lang w:eastAsia="zh-CN"/>
        </w:rPr>
        <w:t>RRC-06-Rev.GE89</w:t>
      </w:r>
      <w:r w:rsidR="000C5540">
        <w:rPr>
          <w:rFonts w:hint="eastAsia"/>
          <w:lang w:eastAsia="zh-CN"/>
        </w:rPr>
        <w:t>）</w:t>
      </w:r>
      <w:r>
        <w:rPr>
          <w:rFonts w:hint="eastAsia"/>
          <w:lang w:eastAsia="zh-CN"/>
        </w:rPr>
        <w:t>之后，并按照《无线电规则》（</w:t>
      </w:r>
      <w:r>
        <w:rPr>
          <w:lang w:eastAsia="zh-CN"/>
        </w:rPr>
        <w:t>RR</w:t>
      </w:r>
      <w:r>
        <w:rPr>
          <w:rFonts w:hint="eastAsia"/>
          <w:lang w:eastAsia="zh-CN"/>
        </w:rPr>
        <w:t>）（</w:t>
      </w:r>
      <w:r>
        <w:rPr>
          <w:lang w:eastAsia="zh-CN"/>
        </w:rPr>
        <w:t>2004</w:t>
      </w:r>
      <w:r>
        <w:rPr>
          <w:rFonts w:hint="eastAsia"/>
          <w:lang w:eastAsia="zh-CN"/>
        </w:rPr>
        <w:t>年版）第</w:t>
      </w:r>
      <w:r w:rsidRPr="00F529D2">
        <w:rPr>
          <w:b/>
          <w:bCs/>
          <w:lang w:eastAsia="zh-CN"/>
        </w:rPr>
        <w:t>5</w:t>
      </w:r>
      <w:proofErr w:type="gramStart"/>
      <w:r>
        <w:rPr>
          <w:rFonts w:hint="eastAsia"/>
          <w:lang w:eastAsia="zh-CN"/>
        </w:rPr>
        <w:t>条所含的“</w:t>
      </w:r>
      <w:proofErr w:type="gramEnd"/>
      <w:r>
        <w:rPr>
          <w:rFonts w:hint="eastAsia"/>
          <w:lang w:eastAsia="zh-CN"/>
        </w:rPr>
        <w:t>频率划分表”，自</w:t>
      </w:r>
      <w:r>
        <w:rPr>
          <w:lang w:eastAsia="zh-CN"/>
        </w:rPr>
        <w:t>2006</w:t>
      </w:r>
      <w:r>
        <w:rPr>
          <w:rFonts w:hint="eastAsia"/>
          <w:lang w:eastAsia="zh-CN"/>
        </w:rPr>
        <w:t>年</w:t>
      </w:r>
      <w:r>
        <w:rPr>
          <w:lang w:eastAsia="zh-CN"/>
        </w:rPr>
        <w:t>6</w:t>
      </w:r>
      <w:r>
        <w:rPr>
          <w:rFonts w:hint="eastAsia"/>
          <w:lang w:eastAsia="zh-CN"/>
        </w:rPr>
        <w:t>月</w:t>
      </w:r>
      <w:r>
        <w:rPr>
          <w:lang w:eastAsia="zh-CN"/>
        </w:rPr>
        <w:t>17</w:t>
      </w:r>
      <w:r>
        <w:rPr>
          <w:rFonts w:hint="eastAsia"/>
          <w:lang w:eastAsia="zh-CN"/>
        </w:rPr>
        <w:t>日起，</w:t>
      </w:r>
      <w:r>
        <w:rPr>
          <w:rFonts w:hint="eastAsia"/>
          <w:lang w:eastAsia="zh-CN"/>
        </w:rPr>
        <w:t xml:space="preserve">GE89 </w:t>
      </w:r>
      <w:r>
        <w:rPr>
          <w:rFonts w:hint="eastAsia"/>
          <w:lang w:eastAsia="zh-CN"/>
        </w:rPr>
        <w:t>协议将适用于</w:t>
      </w:r>
      <w:r>
        <w:rPr>
          <w:lang w:eastAsia="zh-CN"/>
        </w:rPr>
        <w:t>47-68 MHz</w:t>
      </w:r>
      <w:r>
        <w:rPr>
          <w:rFonts w:hint="eastAsia"/>
          <w:lang w:eastAsia="zh-CN"/>
        </w:rPr>
        <w:t>频段内该协议规划区（《无线电规则》（</w:t>
      </w:r>
      <w:r>
        <w:rPr>
          <w:lang w:eastAsia="zh-CN"/>
        </w:rPr>
        <w:t>RR</w:t>
      </w:r>
      <w:r>
        <w:rPr>
          <w:rFonts w:hint="eastAsia"/>
          <w:lang w:eastAsia="zh-CN"/>
        </w:rPr>
        <w:t>）（</w:t>
      </w:r>
      <w:r>
        <w:rPr>
          <w:lang w:eastAsia="zh-CN"/>
        </w:rPr>
        <w:t>2004</w:t>
      </w:r>
      <w:r>
        <w:rPr>
          <w:rFonts w:hint="eastAsia"/>
          <w:lang w:eastAsia="zh-CN"/>
        </w:rPr>
        <w:t>年版）第</w:t>
      </w:r>
      <w:r w:rsidRPr="00CE3D31">
        <w:rPr>
          <w:b/>
          <w:bCs/>
          <w:lang w:eastAsia="zh-CN"/>
        </w:rPr>
        <w:t>5.10-5.13</w:t>
      </w:r>
      <w:r>
        <w:rPr>
          <w:rFonts w:hint="eastAsia"/>
          <w:lang w:eastAsia="zh-CN"/>
        </w:rPr>
        <w:t>款确定的非洲广播区）以及下列周边国家的电视广播业务和在本频段内拥有频率划分的其它主要地面业务（亦见下列第</w:t>
      </w:r>
      <w:r>
        <w:rPr>
          <w:lang w:eastAsia="zh-CN"/>
        </w:rPr>
        <w:t>4</w:t>
      </w:r>
      <w:r>
        <w:rPr>
          <w:rFonts w:hint="eastAsia"/>
          <w:lang w:eastAsia="zh-CN"/>
        </w:rPr>
        <w:t>段</w:t>
      </w:r>
      <w:r w:rsidR="000C5540">
        <w:rPr>
          <w:rFonts w:hint="eastAsia"/>
          <w:lang w:eastAsia="zh-CN"/>
        </w:rPr>
        <w:t>）</w:t>
      </w:r>
      <w:r>
        <w:rPr>
          <w:rFonts w:hint="eastAsia"/>
          <w:lang w:eastAsia="zh-CN"/>
        </w:rPr>
        <w:t>：沙特阿拉伯、巴林、阿拉伯联合酋长国、伊朗（伊斯兰共和国）、伊拉克、科威特、阿曼、卡塔尔、也门（包括处于非洲广播区以外的也门部分）。</w:t>
      </w:r>
    </w:p>
    <w:p w14:paraId="272EF129" w14:textId="77777777" w:rsidR="00CE3D31" w:rsidRPr="00CE3D31" w:rsidRDefault="00CE3D31" w:rsidP="005735E4">
      <w:pPr>
        <w:rPr>
          <w:lang w:eastAsia="zh-CN"/>
        </w:rPr>
      </w:pPr>
      <w:r w:rsidRPr="00CE3D31">
        <w:rPr>
          <w:lang w:eastAsia="zh-CN"/>
        </w:rPr>
        <w:t>1.2</w:t>
      </w:r>
      <w:r w:rsidRPr="00CE3D31">
        <w:rPr>
          <w:lang w:eastAsia="zh-CN"/>
        </w:rPr>
        <w:tab/>
        <w:t>GE89</w:t>
      </w:r>
      <w:r w:rsidRPr="00CE3D31">
        <w:rPr>
          <w:rFonts w:hint="eastAsia"/>
          <w:lang w:eastAsia="zh-CN"/>
        </w:rPr>
        <w:t>协议附件中的规划亦包括《无线电规则》第</w:t>
      </w:r>
      <w:r w:rsidRPr="00CE3D31">
        <w:rPr>
          <w:b/>
          <w:bCs/>
          <w:lang w:eastAsia="zh-CN"/>
        </w:rPr>
        <w:t>5.252</w:t>
      </w:r>
      <w:r w:rsidRPr="00CE3D31">
        <w:rPr>
          <w:rFonts w:hint="eastAsia"/>
          <w:lang w:eastAsia="zh-CN"/>
        </w:rPr>
        <w:t>款所列</w:t>
      </w:r>
      <w:r>
        <w:rPr>
          <w:rFonts w:hint="eastAsia"/>
          <w:lang w:eastAsia="zh-CN"/>
        </w:rPr>
        <w:t>成员</w:t>
      </w:r>
      <w:r w:rsidRPr="00CE3D31">
        <w:rPr>
          <w:rFonts w:hint="eastAsia"/>
          <w:lang w:eastAsia="zh-CN"/>
        </w:rPr>
        <w:t>国在</w:t>
      </w:r>
      <w:r w:rsidRPr="00CE3D31">
        <w:rPr>
          <w:lang w:eastAsia="zh-CN"/>
        </w:rPr>
        <w:t>230-238 MHz</w:t>
      </w:r>
      <w:r w:rsidRPr="00CE3D31">
        <w:rPr>
          <w:rFonts w:hint="eastAsia"/>
          <w:lang w:eastAsia="zh-CN"/>
        </w:rPr>
        <w:t>和</w:t>
      </w:r>
      <w:r w:rsidRPr="00CE3D31">
        <w:rPr>
          <w:lang w:eastAsia="zh-CN"/>
        </w:rPr>
        <w:t>246-254 MHz</w:t>
      </w:r>
      <w:r w:rsidRPr="00CE3D31">
        <w:rPr>
          <w:rFonts w:hint="eastAsia"/>
          <w:lang w:eastAsia="zh-CN"/>
        </w:rPr>
        <w:t>频段的、已成功实施《无线电规则》第</w:t>
      </w:r>
      <w:r w:rsidRPr="00CE3D31">
        <w:rPr>
          <w:b/>
          <w:bCs/>
          <w:lang w:eastAsia="zh-CN"/>
        </w:rPr>
        <w:t>9.21</w:t>
      </w:r>
      <w:r w:rsidRPr="00CE3D31">
        <w:rPr>
          <w:rFonts w:hint="eastAsia"/>
          <w:lang w:eastAsia="zh-CN"/>
        </w:rPr>
        <w:t>款程序的电视广播台的频率指配。</w:t>
      </w:r>
    </w:p>
    <w:p w14:paraId="4EE66CCA" w14:textId="77777777" w:rsidR="00D93A7B" w:rsidRDefault="00CE3D31" w:rsidP="005735E4">
      <w:pPr>
        <w:pStyle w:val="Heading1"/>
        <w:rPr>
          <w:lang w:eastAsia="zh-CN"/>
        </w:rPr>
      </w:pPr>
      <w:r>
        <w:rPr>
          <w:rFonts w:hint="eastAsia"/>
          <w:lang w:eastAsia="zh-CN"/>
        </w:rPr>
        <w:t>2</w:t>
      </w:r>
      <w:r w:rsidR="00D93A7B">
        <w:rPr>
          <w:rFonts w:hint="eastAsia"/>
          <w:lang w:eastAsia="zh-CN"/>
        </w:rPr>
        <w:tab/>
      </w:r>
      <w:r w:rsidR="00D93A7B">
        <w:rPr>
          <w:rFonts w:hint="eastAsia"/>
          <w:lang w:eastAsia="zh-CN"/>
        </w:rPr>
        <w:t>通知的受理</w:t>
      </w:r>
    </w:p>
    <w:p w14:paraId="78E85261" w14:textId="77777777" w:rsidR="00D93A7B" w:rsidRDefault="00CE3D31" w:rsidP="005735E4">
      <w:pPr>
        <w:ind w:firstLine="510"/>
        <w:rPr>
          <w:lang w:eastAsia="zh-CN"/>
        </w:rPr>
      </w:pPr>
      <w:r>
        <w:rPr>
          <w:rFonts w:hint="eastAsia"/>
          <w:lang w:eastAsia="zh-CN"/>
        </w:rPr>
        <w:t>在应用</w:t>
      </w:r>
      <w:r w:rsidR="00506D30">
        <w:rPr>
          <w:rFonts w:hint="eastAsia"/>
          <w:lang w:eastAsia="zh-CN"/>
        </w:rPr>
        <w:t>非洲</w:t>
      </w:r>
      <w:proofErr w:type="gramStart"/>
      <w:r w:rsidR="00506D30">
        <w:rPr>
          <w:rFonts w:hint="eastAsia"/>
          <w:lang w:eastAsia="zh-CN"/>
        </w:rPr>
        <w:t>广播</w:t>
      </w:r>
      <w:r w:rsidR="00D93A7B">
        <w:rPr>
          <w:rFonts w:hint="eastAsia"/>
          <w:lang w:eastAsia="zh-CN"/>
        </w:rPr>
        <w:t>区</w:t>
      </w:r>
      <w:proofErr w:type="gramEnd"/>
      <w:r w:rsidR="00D93A7B">
        <w:rPr>
          <w:rFonts w:hint="eastAsia"/>
          <w:lang w:eastAsia="zh-CN"/>
        </w:rPr>
        <w:t>及</w:t>
      </w:r>
      <w:r w:rsidR="00506D30">
        <w:rPr>
          <w:rFonts w:hint="eastAsia"/>
          <w:lang w:eastAsia="zh-CN"/>
        </w:rPr>
        <w:t>周边</w:t>
      </w:r>
      <w:r w:rsidR="00D93A7B">
        <w:rPr>
          <w:rFonts w:hint="eastAsia"/>
          <w:lang w:eastAsia="zh-CN"/>
        </w:rPr>
        <w:t>国家</w:t>
      </w:r>
      <w:r w:rsidR="00D93A7B">
        <w:rPr>
          <w:rFonts w:hint="eastAsia"/>
          <w:lang w:eastAsia="zh-CN"/>
        </w:rPr>
        <w:t>VHF/UHF</w:t>
      </w:r>
      <w:r w:rsidR="00D93A7B">
        <w:rPr>
          <w:rFonts w:hint="eastAsia"/>
          <w:lang w:eastAsia="zh-CN"/>
        </w:rPr>
        <w:t>电视广播</w:t>
      </w:r>
      <w:r w:rsidR="00506D30">
        <w:rPr>
          <w:rFonts w:hint="eastAsia"/>
          <w:lang w:eastAsia="zh-CN"/>
        </w:rPr>
        <w:t>规划</w:t>
      </w:r>
      <w:r w:rsidR="00D93A7B">
        <w:rPr>
          <w:rFonts w:hint="eastAsia"/>
          <w:lang w:eastAsia="zh-CN"/>
        </w:rPr>
        <w:t>的区域协议（</w:t>
      </w:r>
      <w:r w:rsidR="00D93A7B">
        <w:rPr>
          <w:rFonts w:hint="eastAsia"/>
          <w:lang w:eastAsia="zh-CN"/>
        </w:rPr>
        <w:t>1989</w:t>
      </w:r>
      <w:r w:rsidR="00D93A7B">
        <w:rPr>
          <w:rFonts w:hint="eastAsia"/>
          <w:lang w:eastAsia="zh-CN"/>
        </w:rPr>
        <w:t>年，日内瓦）</w:t>
      </w:r>
      <w:r w:rsidR="00506D30">
        <w:rPr>
          <w:rFonts w:hint="eastAsia"/>
          <w:lang w:eastAsia="zh-CN"/>
        </w:rPr>
        <w:t>过程中，无线电通信局将针对来自规划区</w:t>
      </w:r>
      <w:r w:rsidR="00D93A7B">
        <w:rPr>
          <w:rFonts w:hint="eastAsia"/>
          <w:lang w:eastAsia="zh-CN"/>
        </w:rPr>
        <w:t>（即位于《无线电规则》第</w:t>
      </w:r>
      <w:r w:rsidR="00D93A7B" w:rsidRPr="00A00C51">
        <w:rPr>
          <w:rFonts w:hint="eastAsia"/>
          <w:b/>
          <w:bCs/>
          <w:lang w:eastAsia="zh-CN"/>
        </w:rPr>
        <w:t>5.10</w:t>
      </w:r>
      <w:r w:rsidR="00D93A7B">
        <w:rPr>
          <w:rFonts w:hint="eastAsia"/>
          <w:lang w:eastAsia="zh-CN"/>
        </w:rPr>
        <w:t>到第</w:t>
      </w:r>
      <w:r w:rsidR="00D93A7B" w:rsidRPr="00A00C51">
        <w:rPr>
          <w:rFonts w:hint="eastAsia"/>
          <w:b/>
          <w:bCs/>
          <w:lang w:eastAsia="zh-CN"/>
        </w:rPr>
        <w:t>5.13</w:t>
      </w:r>
      <w:r w:rsidR="00D93A7B">
        <w:rPr>
          <w:rFonts w:hint="eastAsia"/>
          <w:lang w:eastAsia="zh-CN"/>
        </w:rPr>
        <w:t>款规定的非洲</w:t>
      </w:r>
      <w:proofErr w:type="gramStart"/>
      <w:r w:rsidR="00D93A7B">
        <w:rPr>
          <w:rFonts w:hint="eastAsia"/>
          <w:lang w:eastAsia="zh-CN"/>
        </w:rPr>
        <w:t>广播区</w:t>
      </w:r>
      <w:proofErr w:type="gramEnd"/>
      <w:r w:rsidR="00D93A7B">
        <w:rPr>
          <w:rFonts w:hint="eastAsia"/>
          <w:lang w:eastAsia="zh-CN"/>
        </w:rPr>
        <w:t>的国家，以及</w:t>
      </w:r>
      <w:r w:rsidR="00D93A7B">
        <w:rPr>
          <w:rFonts w:hint="eastAsia"/>
          <w:lang w:eastAsia="zh-CN"/>
        </w:rPr>
        <w:t>GE89</w:t>
      </w:r>
      <w:r w:rsidR="00506D30">
        <w:rPr>
          <w:rFonts w:hint="eastAsia"/>
          <w:lang w:eastAsia="zh-CN"/>
        </w:rPr>
        <w:t>协议第</w:t>
      </w:r>
      <w:r w:rsidR="00506D30">
        <w:rPr>
          <w:rFonts w:hint="eastAsia"/>
          <w:lang w:eastAsia="zh-CN"/>
        </w:rPr>
        <w:t>1</w:t>
      </w:r>
      <w:r w:rsidR="00506D30">
        <w:rPr>
          <w:rFonts w:hint="eastAsia"/>
          <w:lang w:eastAsia="zh-CN"/>
        </w:rPr>
        <w:t>条</w:t>
      </w:r>
      <w:r w:rsidR="00D93A7B">
        <w:rPr>
          <w:rFonts w:hint="eastAsia"/>
          <w:lang w:eastAsia="zh-CN"/>
        </w:rPr>
        <w:t>第</w:t>
      </w:r>
      <w:r w:rsidR="00D93A7B">
        <w:rPr>
          <w:rFonts w:hint="eastAsia"/>
          <w:lang w:eastAsia="zh-CN"/>
        </w:rPr>
        <w:t>1.8</w:t>
      </w:r>
      <w:r w:rsidR="00506D30">
        <w:rPr>
          <w:rFonts w:hint="eastAsia"/>
          <w:lang w:eastAsia="zh-CN"/>
        </w:rPr>
        <w:t>段所列的与非洲</w:t>
      </w:r>
      <w:proofErr w:type="gramStart"/>
      <w:r w:rsidR="00506D30">
        <w:rPr>
          <w:rFonts w:hint="eastAsia"/>
          <w:lang w:eastAsia="zh-CN"/>
        </w:rPr>
        <w:t>广播区</w:t>
      </w:r>
      <w:proofErr w:type="gramEnd"/>
      <w:r w:rsidR="00506D30">
        <w:rPr>
          <w:rFonts w:hint="eastAsia"/>
          <w:lang w:eastAsia="zh-CN"/>
        </w:rPr>
        <w:t>相邻的国家）的国家的通知，应用该协议</w:t>
      </w:r>
      <w:r w:rsidR="00D93A7B">
        <w:rPr>
          <w:rFonts w:hint="eastAsia"/>
          <w:lang w:eastAsia="zh-CN"/>
        </w:rPr>
        <w:t>第</w:t>
      </w:r>
      <w:r w:rsidR="00D93A7B">
        <w:rPr>
          <w:rFonts w:hint="eastAsia"/>
          <w:lang w:eastAsia="zh-CN"/>
        </w:rPr>
        <w:t>4</w:t>
      </w:r>
      <w:r w:rsidR="00D93A7B">
        <w:rPr>
          <w:rFonts w:hint="eastAsia"/>
          <w:lang w:eastAsia="zh-CN"/>
        </w:rPr>
        <w:t>和第</w:t>
      </w:r>
      <w:r w:rsidR="00D93A7B">
        <w:rPr>
          <w:rFonts w:hint="eastAsia"/>
          <w:lang w:eastAsia="zh-CN"/>
        </w:rPr>
        <w:t>5</w:t>
      </w:r>
      <w:r w:rsidR="00D93A7B">
        <w:rPr>
          <w:rFonts w:hint="eastAsia"/>
          <w:lang w:eastAsia="zh-CN"/>
        </w:rPr>
        <w:t>条</w:t>
      </w:r>
      <w:r w:rsidR="00506D30">
        <w:rPr>
          <w:rFonts w:hint="eastAsia"/>
          <w:lang w:eastAsia="zh-CN"/>
        </w:rPr>
        <w:t>规定</w:t>
      </w:r>
      <w:r w:rsidR="00D93A7B">
        <w:rPr>
          <w:rFonts w:hint="eastAsia"/>
          <w:lang w:eastAsia="zh-CN"/>
        </w:rPr>
        <w:t>的程序以及相关的技术标准。</w:t>
      </w:r>
    </w:p>
    <w:p w14:paraId="03AD3AA5" w14:textId="77777777" w:rsidR="00D93A7B" w:rsidRDefault="00506D30" w:rsidP="005735E4">
      <w:pPr>
        <w:pStyle w:val="Heading1"/>
        <w:rPr>
          <w:lang w:eastAsia="zh-CN"/>
        </w:rPr>
      </w:pPr>
      <w:r>
        <w:rPr>
          <w:rFonts w:hint="eastAsia"/>
          <w:lang w:eastAsia="zh-CN"/>
        </w:rPr>
        <w:t>3</w:t>
      </w:r>
      <w:r w:rsidR="00D93A7B">
        <w:rPr>
          <w:rFonts w:hint="eastAsia"/>
          <w:lang w:eastAsia="zh-CN"/>
        </w:rPr>
        <w:tab/>
      </w:r>
      <w:r w:rsidR="00D93A7B">
        <w:rPr>
          <w:rFonts w:hint="eastAsia"/>
          <w:lang w:eastAsia="zh-CN"/>
        </w:rPr>
        <w:t>协议的执行</w:t>
      </w:r>
    </w:p>
    <w:p w14:paraId="27AF7288" w14:textId="77777777" w:rsidR="00D93A7B" w:rsidRDefault="00506D30" w:rsidP="005735E4">
      <w:pPr>
        <w:ind w:firstLine="510"/>
        <w:rPr>
          <w:lang w:eastAsia="zh-CN"/>
        </w:rPr>
      </w:pPr>
      <w:r>
        <w:rPr>
          <w:rFonts w:hint="eastAsia"/>
          <w:lang w:eastAsia="zh-CN"/>
        </w:rPr>
        <w:t>当收到按照该</w:t>
      </w:r>
      <w:r w:rsidR="00D93A7B">
        <w:rPr>
          <w:rFonts w:hint="eastAsia"/>
          <w:lang w:eastAsia="zh-CN"/>
        </w:rPr>
        <w:t>协议第</w:t>
      </w:r>
      <w:r w:rsidR="00D93A7B">
        <w:rPr>
          <w:rFonts w:hint="eastAsia"/>
          <w:lang w:eastAsia="zh-CN"/>
        </w:rPr>
        <w:t>4</w:t>
      </w:r>
      <w:r w:rsidR="00D93A7B">
        <w:rPr>
          <w:rFonts w:hint="eastAsia"/>
          <w:lang w:eastAsia="zh-CN"/>
        </w:rPr>
        <w:t>条</w:t>
      </w:r>
      <w:r>
        <w:rPr>
          <w:rFonts w:hint="eastAsia"/>
          <w:lang w:eastAsia="zh-CN"/>
        </w:rPr>
        <w:t>提交的修改</w:t>
      </w:r>
      <w:r w:rsidR="00D93A7B">
        <w:rPr>
          <w:rFonts w:hint="eastAsia"/>
          <w:lang w:eastAsia="zh-CN"/>
        </w:rPr>
        <w:t>通知后，</w:t>
      </w:r>
      <w:r>
        <w:rPr>
          <w:rFonts w:hint="eastAsia"/>
          <w:lang w:eastAsia="zh-CN"/>
        </w:rPr>
        <w:t>将在</w:t>
      </w:r>
      <w:r w:rsidR="00D93A7B">
        <w:rPr>
          <w:rFonts w:hint="eastAsia"/>
          <w:lang w:eastAsia="zh-CN"/>
        </w:rPr>
        <w:t>模拟</w:t>
      </w:r>
      <w:r>
        <w:rPr>
          <w:rFonts w:hint="eastAsia"/>
          <w:lang w:eastAsia="zh-CN"/>
        </w:rPr>
        <w:t>和</w:t>
      </w:r>
      <w:r w:rsidR="00D93A7B">
        <w:rPr>
          <w:rFonts w:hint="eastAsia"/>
          <w:lang w:eastAsia="zh-CN"/>
        </w:rPr>
        <w:t>数字系统</w:t>
      </w:r>
      <w:r>
        <w:rPr>
          <w:rFonts w:hint="eastAsia"/>
          <w:lang w:eastAsia="zh-CN"/>
        </w:rPr>
        <w:t>方面同等采用</w:t>
      </w:r>
      <w:r w:rsidR="00D93A7B">
        <w:rPr>
          <w:rFonts w:hint="eastAsia"/>
          <w:lang w:eastAsia="zh-CN"/>
        </w:rPr>
        <w:t>相关的协调距离，</w:t>
      </w:r>
      <w:r>
        <w:rPr>
          <w:rFonts w:hint="eastAsia"/>
          <w:lang w:eastAsia="zh-CN"/>
        </w:rPr>
        <w:t>并以</w:t>
      </w:r>
      <w:r w:rsidR="00D93A7B">
        <w:rPr>
          <w:rFonts w:hint="eastAsia"/>
          <w:lang w:eastAsia="zh-CN"/>
        </w:rPr>
        <w:t>适</w:t>
      </w:r>
      <w:r>
        <w:rPr>
          <w:rFonts w:hint="eastAsia"/>
          <w:lang w:eastAsia="zh-CN"/>
        </w:rPr>
        <w:t>当</w:t>
      </w:r>
      <w:r w:rsidR="00D93A7B">
        <w:rPr>
          <w:rFonts w:hint="eastAsia"/>
          <w:lang w:eastAsia="zh-CN"/>
        </w:rPr>
        <w:t>符</w:t>
      </w:r>
      <w:r>
        <w:rPr>
          <w:rFonts w:hint="eastAsia"/>
          <w:lang w:eastAsia="zh-CN"/>
        </w:rPr>
        <w:t>号</w:t>
      </w:r>
      <w:r w:rsidR="00D93A7B">
        <w:rPr>
          <w:rFonts w:hint="eastAsia"/>
          <w:lang w:eastAsia="zh-CN"/>
        </w:rPr>
        <w:t>标明电视标准。在可能的情况下，</w:t>
      </w:r>
      <w:r>
        <w:rPr>
          <w:rFonts w:hint="eastAsia"/>
          <w:lang w:eastAsia="zh-CN"/>
        </w:rPr>
        <w:t>将</w:t>
      </w:r>
      <w:r w:rsidR="00D93A7B">
        <w:rPr>
          <w:rFonts w:hint="eastAsia"/>
          <w:lang w:eastAsia="zh-CN"/>
        </w:rPr>
        <w:t>利用最新的</w:t>
      </w:r>
      <w:r w:rsidR="00D93A7B">
        <w:rPr>
          <w:rFonts w:hint="eastAsia"/>
          <w:lang w:eastAsia="zh-CN"/>
        </w:rPr>
        <w:t>ITU-R</w:t>
      </w:r>
      <w:r>
        <w:rPr>
          <w:rFonts w:hint="eastAsia"/>
          <w:lang w:eastAsia="zh-CN"/>
        </w:rPr>
        <w:t>建议书</w:t>
      </w:r>
      <w:r w:rsidR="00D93A7B">
        <w:rPr>
          <w:rFonts w:hint="eastAsia"/>
          <w:lang w:eastAsia="zh-CN"/>
        </w:rPr>
        <w:t>进行</w:t>
      </w:r>
      <w:r>
        <w:rPr>
          <w:rFonts w:hint="eastAsia"/>
          <w:lang w:eastAsia="zh-CN"/>
        </w:rPr>
        <w:t>应用该协议第</w:t>
      </w:r>
      <w:r>
        <w:rPr>
          <w:rFonts w:hint="eastAsia"/>
          <w:lang w:eastAsia="zh-CN"/>
        </w:rPr>
        <w:t>4.3.8</w:t>
      </w:r>
      <w:r>
        <w:rPr>
          <w:rFonts w:hint="eastAsia"/>
          <w:lang w:eastAsia="zh-CN"/>
        </w:rPr>
        <w:t>和第</w:t>
      </w:r>
      <w:r>
        <w:rPr>
          <w:rFonts w:hint="eastAsia"/>
          <w:lang w:eastAsia="zh-CN"/>
        </w:rPr>
        <w:t>4.3.13</w:t>
      </w:r>
      <w:r>
        <w:rPr>
          <w:rFonts w:hint="eastAsia"/>
          <w:lang w:eastAsia="zh-CN"/>
        </w:rPr>
        <w:t>段所需的相关</w:t>
      </w:r>
      <w:r w:rsidR="00D93A7B">
        <w:rPr>
          <w:rFonts w:hint="eastAsia"/>
          <w:lang w:eastAsia="zh-CN"/>
        </w:rPr>
        <w:t>计算。</w:t>
      </w:r>
    </w:p>
    <w:p w14:paraId="10C993CA" w14:textId="77777777" w:rsidR="00F529D2" w:rsidRDefault="00F529D2">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203771B2" w14:textId="77777777" w:rsidR="00B9451A" w:rsidRDefault="00506D30" w:rsidP="004C0C72">
      <w:pPr>
        <w:pStyle w:val="Heading1"/>
        <w:ind w:left="1134" w:hanging="1134"/>
        <w:rPr>
          <w:sz w:val="16"/>
          <w:szCs w:val="16"/>
          <w:lang w:eastAsia="zh-CN"/>
        </w:rPr>
      </w:pPr>
      <w:r>
        <w:rPr>
          <w:rFonts w:hint="eastAsia"/>
          <w:lang w:eastAsia="zh-CN"/>
        </w:rPr>
        <w:lastRenderedPageBreak/>
        <w:t>4</w:t>
      </w:r>
      <w:r w:rsidR="00D93A7B">
        <w:rPr>
          <w:rFonts w:hint="eastAsia"/>
          <w:lang w:eastAsia="zh-CN"/>
        </w:rPr>
        <w:tab/>
        <w:t>GE89</w:t>
      </w:r>
      <w:r>
        <w:rPr>
          <w:rFonts w:hint="eastAsia"/>
          <w:lang w:eastAsia="zh-CN"/>
        </w:rPr>
        <w:t>区域性协议制约的频段</w:t>
      </w:r>
      <w:r w:rsidR="00D93A7B">
        <w:rPr>
          <w:rFonts w:hint="eastAsia"/>
          <w:lang w:eastAsia="zh-CN"/>
        </w:rPr>
        <w:t>中非规划业务的通知的审查</w:t>
      </w:r>
    </w:p>
    <w:p w14:paraId="59AEAE96" w14:textId="79A6052D" w:rsidR="0030196F" w:rsidRPr="0030196F" w:rsidRDefault="00506D30" w:rsidP="00087F76">
      <w:pPr>
        <w:rPr>
          <w:lang w:val="en-US" w:eastAsia="zh-CN"/>
        </w:rPr>
      </w:pPr>
      <w:r>
        <w:rPr>
          <w:rFonts w:hint="eastAsia"/>
          <w:lang w:eastAsia="zh-CN"/>
        </w:rPr>
        <w:t>4</w:t>
      </w:r>
      <w:r w:rsidR="00D93A7B">
        <w:rPr>
          <w:rFonts w:hint="eastAsia"/>
          <w:lang w:eastAsia="zh-CN"/>
        </w:rPr>
        <w:t>.1</w:t>
      </w:r>
      <w:r w:rsidR="00D93A7B">
        <w:rPr>
          <w:rFonts w:hint="eastAsia"/>
          <w:lang w:eastAsia="zh-CN"/>
        </w:rPr>
        <w:tab/>
        <w:t>GE89</w:t>
      </w:r>
      <w:r>
        <w:rPr>
          <w:rFonts w:hint="eastAsia"/>
          <w:lang w:eastAsia="zh-CN"/>
        </w:rPr>
        <w:t>协议</w:t>
      </w:r>
      <w:r w:rsidR="00D93A7B">
        <w:rPr>
          <w:rFonts w:hint="eastAsia"/>
          <w:lang w:eastAsia="zh-CN"/>
        </w:rPr>
        <w:t>第</w:t>
      </w:r>
      <w:r w:rsidR="00D93A7B">
        <w:rPr>
          <w:rFonts w:hint="eastAsia"/>
          <w:lang w:eastAsia="zh-CN"/>
        </w:rPr>
        <w:t>5</w:t>
      </w:r>
      <w:r w:rsidR="00D93A7B">
        <w:rPr>
          <w:rFonts w:hint="eastAsia"/>
          <w:lang w:eastAsia="zh-CN"/>
        </w:rPr>
        <w:t>条第</w:t>
      </w:r>
      <w:proofErr w:type="gramStart"/>
      <w:r w:rsidR="00D93A7B">
        <w:rPr>
          <w:rFonts w:hint="eastAsia"/>
          <w:lang w:eastAsia="zh-CN"/>
        </w:rPr>
        <w:t>5.2</w:t>
      </w:r>
      <w:r w:rsidR="00D93A7B">
        <w:rPr>
          <w:rFonts w:hint="eastAsia"/>
          <w:lang w:eastAsia="zh-CN"/>
        </w:rPr>
        <w:t>节</w:t>
      </w:r>
      <w:r>
        <w:rPr>
          <w:rFonts w:hint="eastAsia"/>
          <w:lang w:eastAsia="zh-CN"/>
        </w:rPr>
        <w:t>具体规定了审查协议规定的频段</w:t>
      </w:r>
      <w:r w:rsidR="00D93A7B">
        <w:rPr>
          <w:rFonts w:hint="eastAsia"/>
          <w:lang w:eastAsia="zh-CN"/>
        </w:rPr>
        <w:t>中非规划主要业务的通知</w:t>
      </w:r>
      <w:r w:rsidR="00B9451A">
        <w:rPr>
          <w:rFonts w:hint="eastAsia"/>
          <w:lang w:eastAsia="zh-CN"/>
        </w:rPr>
        <w:t>需采用的程序</w:t>
      </w:r>
      <w:r w:rsidR="00D93A7B">
        <w:rPr>
          <w:rFonts w:hint="eastAsia"/>
          <w:lang w:eastAsia="zh-CN"/>
        </w:rPr>
        <w:t>。相关的频</w:t>
      </w:r>
      <w:r w:rsidR="00B9451A">
        <w:rPr>
          <w:rFonts w:hint="eastAsia"/>
          <w:lang w:eastAsia="zh-CN"/>
        </w:rPr>
        <w:t>段和业务</w:t>
      </w:r>
      <w:r w:rsidR="00D93A7B">
        <w:rPr>
          <w:rFonts w:hint="eastAsia"/>
          <w:lang w:eastAsia="zh-CN"/>
        </w:rPr>
        <w:t>在下表中</w:t>
      </w:r>
      <w:r w:rsidR="00B9451A">
        <w:rPr>
          <w:rFonts w:hint="eastAsia"/>
          <w:lang w:eastAsia="zh-CN"/>
        </w:rPr>
        <w:t>予以综述</w:t>
      </w:r>
      <w:proofErr w:type="gramEnd"/>
      <w:r w:rsidR="00D93A7B">
        <w:rPr>
          <w:rFonts w:hint="eastAsia"/>
          <w:lang w:eastAsia="zh-CN"/>
        </w:rPr>
        <w:t>。</w:t>
      </w:r>
    </w:p>
    <w:p w14:paraId="1D6C8B28" w14:textId="77777777" w:rsidR="006F5FEB" w:rsidRPr="000E7B00" w:rsidRDefault="006F5FEB" w:rsidP="00087F76">
      <w:pPr>
        <w:pStyle w:val="Table"/>
        <w:framePr w:hSpace="180" w:wrap="around" w:vAnchor="text" w:hAnchor="text" w:y="1"/>
      </w:pPr>
      <w:r w:rsidRPr="000E7B00">
        <w:rPr>
          <w:rFonts w:hint="eastAsia"/>
        </w:rPr>
        <w:t>表</w:t>
      </w:r>
    </w:p>
    <w:tbl>
      <w:tblPr>
        <w:tblW w:w="0" w:type="auto"/>
        <w:tblLayout w:type="fixed"/>
        <w:tblCellMar>
          <w:left w:w="0" w:type="dxa"/>
          <w:right w:w="0" w:type="dxa"/>
        </w:tblCellMar>
        <w:tblLook w:val="0000" w:firstRow="0" w:lastRow="0" w:firstColumn="0" w:lastColumn="0" w:noHBand="0" w:noVBand="0"/>
      </w:tblPr>
      <w:tblGrid>
        <w:gridCol w:w="932"/>
        <w:gridCol w:w="2195"/>
        <w:gridCol w:w="4104"/>
        <w:gridCol w:w="1078"/>
        <w:gridCol w:w="763"/>
      </w:tblGrid>
      <w:tr w:rsidR="006F5FEB" w:rsidRPr="000E7B00" w14:paraId="079951AC" w14:textId="77777777" w:rsidTr="00583835">
        <w:trPr>
          <w:cantSplit/>
        </w:trPr>
        <w:tc>
          <w:tcPr>
            <w:tcW w:w="932" w:type="dxa"/>
            <w:tcBorders>
              <w:top w:val="single" w:sz="6" w:space="0" w:color="auto"/>
              <w:left w:val="single" w:sz="6" w:space="0" w:color="auto"/>
              <w:right w:val="single" w:sz="6" w:space="0" w:color="auto"/>
            </w:tcBorders>
          </w:tcPr>
          <w:p w14:paraId="68234F20" w14:textId="77777777" w:rsidR="006F5FEB" w:rsidRPr="000E7B00" w:rsidRDefault="006F5FEB" w:rsidP="006F5FEB">
            <w:pPr>
              <w:pStyle w:val="TableHead"/>
              <w:framePr w:hSpace="180" w:wrap="around" w:vAnchor="text" w:hAnchor="text" w:y="1"/>
              <w:ind w:left="-99" w:right="-53"/>
              <w:rPr>
                <w:lang w:eastAsia="zh-CN"/>
              </w:rPr>
            </w:pPr>
            <w:r w:rsidRPr="000E7B00">
              <w:rPr>
                <w:rFonts w:hint="eastAsia"/>
                <w:lang w:eastAsia="zh-CN"/>
              </w:rPr>
              <w:t>频段</w:t>
            </w:r>
            <w:r w:rsidRPr="000E7B00">
              <w:rPr>
                <w:lang w:val="en-US" w:eastAsia="zh-CN"/>
              </w:rPr>
              <w:br/>
            </w:r>
            <w:r w:rsidRPr="000E7B00">
              <w:rPr>
                <w:rFonts w:hint="eastAsia"/>
                <w:lang w:eastAsia="zh-CN"/>
              </w:rPr>
              <w:t>（</w:t>
            </w:r>
            <w:r w:rsidRPr="000E7B00">
              <w:rPr>
                <w:rFonts w:hint="eastAsia"/>
                <w:lang w:eastAsia="zh-CN"/>
              </w:rPr>
              <w:t>MHz</w:t>
            </w:r>
            <w:r w:rsidRPr="000E7B00">
              <w:rPr>
                <w:rFonts w:hint="eastAsia"/>
                <w:lang w:eastAsia="zh-CN"/>
              </w:rPr>
              <w:t>）</w:t>
            </w:r>
          </w:p>
        </w:tc>
        <w:tc>
          <w:tcPr>
            <w:tcW w:w="6299" w:type="dxa"/>
            <w:gridSpan w:val="2"/>
            <w:tcBorders>
              <w:top w:val="single" w:sz="6" w:space="0" w:color="auto"/>
              <w:left w:val="single" w:sz="6" w:space="0" w:color="auto"/>
              <w:bottom w:val="single" w:sz="6" w:space="0" w:color="auto"/>
              <w:right w:val="single" w:sz="6" w:space="0" w:color="auto"/>
            </w:tcBorders>
            <w:vAlign w:val="center"/>
          </w:tcPr>
          <w:p w14:paraId="2D9F7769" w14:textId="77777777" w:rsidR="006F5FEB" w:rsidRPr="000E7B00" w:rsidRDefault="006F5FEB" w:rsidP="006F5FEB">
            <w:pPr>
              <w:pStyle w:val="TableHead"/>
              <w:framePr w:hSpace="180" w:wrap="around" w:vAnchor="text" w:hAnchor="text" w:y="1"/>
              <w:rPr>
                <w:spacing w:val="12"/>
                <w:lang w:eastAsia="zh-CN"/>
              </w:rPr>
            </w:pPr>
            <w:r w:rsidRPr="000E7B00">
              <w:rPr>
                <w:rFonts w:hint="eastAsia"/>
                <w:spacing w:val="12"/>
                <w:lang w:eastAsia="zh-CN"/>
              </w:rPr>
              <w:t>各种业务和规划区内的国家</w:t>
            </w:r>
          </w:p>
        </w:tc>
        <w:tc>
          <w:tcPr>
            <w:tcW w:w="1078" w:type="dxa"/>
            <w:tcBorders>
              <w:top w:val="single" w:sz="6" w:space="0" w:color="auto"/>
              <w:left w:val="single" w:sz="6" w:space="0" w:color="auto"/>
              <w:bottom w:val="single" w:sz="6" w:space="0" w:color="auto"/>
              <w:right w:val="single" w:sz="6" w:space="0" w:color="auto"/>
            </w:tcBorders>
            <w:vAlign w:val="center"/>
          </w:tcPr>
          <w:p w14:paraId="59B4C97D" w14:textId="77777777" w:rsidR="006F5FEB" w:rsidRPr="000E7B00" w:rsidRDefault="006F5FEB" w:rsidP="006F5FEB">
            <w:pPr>
              <w:pStyle w:val="TableHead"/>
              <w:framePr w:hSpace="180" w:wrap="around" w:vAnchor="text" w:hAnchor="text" w:y="1"/>
            </w:pPr>
            <w:r w:rsidRPr="000E7B00">
              <w:rPr>
                <w:rFonts w:hint="eastAsia"/>
                <w:lang w:eastAsia="zh-CN"/>
              </w:rPr>
              <w:t>条款</w:t>
            </w:r>
          </w:p>
        </w:tc>
        <w:tc>
          <w:tcPr>
            <w:tcW w:w="763" w:type="dxa"/>
            <w:tcBorders>
              <w:top w:val="single" w:sz="6" w:space="0" w:color="auto"/>
              <w:right w:val="single" w:sz="6" w:space="0" w:color="auto"/>
            </w:tcBorders>
            <w:vAlign w:val="center"/>
          </w:tcPr>
          <w:p w14:paraId="07A2B228" w14:textId="77777777" w:rsidR="006F5FEB" w:rsidRPr="000E7B00" w:rsidRDefault="006F5FEB" w:rsidP="006F5FEB">
            <w:pPr>
              <w:pStyle w:val="TableHead"/>
              <w:framePr w:hSpace="180" w:wrap="around" w:vAnchor="text" w:hAnchor="text" w:y="1"/>
            </w:pPr>
            <w:r w:rsidRPr="000E7B00">
              <w:rPr>
                <w:rFonts w:hint="eastAsia"/>
                <w:lang w:eastAsia="zh-CN"/>
              </w:rPr>
              <w:t>注释</w:t>
            </w:r>
          </w:p>
        </w:tc>
      </w:tr>
      <w:tr w:rsidR="006F5FEB" w:rsidRPr="000E7B00" w14:paraId="106BEF00" w14:textId="77777777" w:rsidTr="00583835">
        <w:trPr>
          <w:cantSplit/>
        </w:trPr>
        <w:tc>
          <w:tcPr>
            <w:tcW w:w="932" w:type="dxa"/>
            <w:tcBorders>
              <w:top w:val="single" w:sz="6" w:space="0" w:color="auto"/>
              <w:left w:val="single" w:sz="6" w:space="0" w:color="auto"/>
              <w:right w:val="single" w:sz="6" w:space="0" w:color="auto"/>
            </w:tcBorders>
          </w:tcPr>
          <w:p w14:paraId="1FDEDC3F" w14:textId="77777777" w:rsidR="006F5FEB" w:rsidRPr="000E7B00" w:rsidRDefault="006F5FEB" w:rsidP="006F5FEB">
            <w:pPr>
              <w:pStyle w:val="TableText"/>
              <w:framePr w:hSpace="180" w:wrap="around" w:vAnchor="text" w:hAnchor="text" w:y="1"/>
              <w:ind w:left="57" w:right="57"/>
              <w:jc w:val="center"/>
            </w:pPr>
            <w:r w:rsidRPr="000E7B00">
              <w:t>47-68</w:t>
            </w:r>
          </w:p>
        </w:tc>
        <w:tc>
          <w:tcPr>
            <w:tcW w:w="2195" w:type="dxa"/>
            <w:tcBorders>
              <w:top w:val="single" w:sz="6" w:space="0" w:color="auto"/>
              <w:left w:val="single" w:sz="6" w:space="0" w:color="auto"/>
              <w:bottom w:val="single" w:sz="6" w:space="0" w:color="auto"/>
            </w:tcBorders>
          </w:tcPr>
          <w:p w14:paraId="43B42F88" w14:textId="77777777" w:rsidR="006F5FEB" w:rsidRPr="000E7B00" w:rsidRDefault="006F5FEB" w:rsidP="006F5FEB">
            <w:pPr>
              <w:pStyle w:val="TableText"/>
              <w:framePr w:hSpace="180" w:wrap="around" w:vAnchor="text" w:hAnchor="text" w:y="1"/>
              <w:tabs>
                <w:tab w:val="left" w:pos="1316"/>
              </w:tabs>
              <w:ind w:left="1316" w:right="57" w:hanging="1259"/>
            </w:pPr>
            <w:r w:rsidRPr="000E7B00">
              <w:rPr>
                <w:b/>
                <w:lang w:eastAsia="zh-CN"/>
              </w:rPr>
              <w:t>固定业务：</w:t>
            </w:r>
          </w:p>
        </w:tc>
        <w:tc>
          <w:tcPr>
            <w:tcW w:w="4104" w:type="dxa"/>
            <w:tcBorders>
              <w:top w:val="single" w:sz="6" w:space="0" w:color="auto"/>
              <w:left w:val="nil"/>
              <w:bottom w:val="single" w:sz="6" w:space="0" w:color="auto"/>
              <w:right w:val="single" w:sz="6" w:space="0" w:color="auto"/>
            </w:tcBorders>
          </w:tcPr>
          <w:p w14:paraId="72905BA8" w14:textId="77777777" w:rsidR="006F5FEB" w:rsidRPr="000E7B00" w:rsidRDefault="006F5FEB" w:rsidP="0025725A">
            <w:pPr>
              <w:pStyle w:val="TableText"/>
              <w:framePr w:hSpace="180" w:wrap="around" w:vAnchor="text" w:hAnchor="text" w:y="1"/>
              <w:spacing w:before="80" w:after="80"/>
              <w:ind w:left="61" w:right="57" w:hanging="4"/>
            </w:pPr>
            <w:r w:rsidRPr="000E7B00">
              <w:t>AFS</w:t>
            </w:r>
            <w:r>
              <w:t>、</w:t>
            </w:r>
            <w:r w:rsidRPr="000E7B00">
              <w:t>AGL</w:t>
            </w:r>
            <w:r>
              <w:t>、</w:t>
            </w:r>
            <w:r w:rsidRPr="000E7B00">
              <w:t>BOT</w:t>
            </w:r>
            <w:r>
              <w:t>、</w:t>
            </w:r>
            <w:r w:rsidRPr="000E7B00">
              <w:t>CME</w:t>
            </w:r>
            <w:r>
              <w:t>、</w:t>
            </w:r>
            <w:r w:rsidRPr="000E7B00">
              <w:t>COD</w:t>
            </w:r>
            <w:r>
              <w:t>、</w:t>
            </w:r>
            <w:r w:rsidRPr="000E7B00">
              <w:t>COG</w:t>
            </w:r>
            <w:r>
              <w:t>、</w:t>
            </w:r>
            <w:r w:rsidRPr="000E7B00">
              <w:t>IRN</w:t>
            </w:r>
            <w:r>
              <w:t>、</w:t>
            </w:r>
            <w:r w:rsidRPr="000E7B00">
              <w:t>LSO</w:t>
            </w:r>
            <w:r>
              <w:t>、</w:t>
            </w:r>
            <w:r w:rsidRPr="000E7B00">
              <w:t>MDG</w:t>
            </w:r>
            <w:r>
              <w:t>、</w:t>
            </w:r>
            <w:r w:rsidRPr="000E7B00">
              <w:t>MLI</w:t>
            </w:r>
            <w:r>
              <w:t>、</w:t>
            </w:r>
            <w:r w:rsidRPr="000E7B00">
              <w:t>MOZ</w:t>
            </w:r>
            <w:r>
              <w:rPr>
                <w:rFonts w:hint="eastAsia"/>
                <w:lang w:eastAsia="zh-CN"/>
              </w:rPr>
              <w:t>、</w:t>
            </w:r>
            <w:r w:rsidRPr="000E7B00">
              <w:t>MWI</w:t>
            </w:r>
            <w:r>
              <w:t>、</w:t>
            </w:r>
            <w:r w:rsidRPr="000E7B00">
              <w:t>NGR</w:t>
            </w:r>
            <w:r>
              <w:t>、</w:t>
            </w:r>
            <w:r w:rsidRPr="000E7B00">
              <w:t>NMB</w:t>
            </w:r>
            <w:r>
              <w:t>、</w:t>
            </w:r>
            <w:r w:rsidRPr="000E7B00">
              <w:t>RRW</w:t>
            </w:r>
            <w:r>
              <w:t>、</w:t>
            </w:r>
            <w:r w:rsidRPr="000E7B00">
              <w:t>SOM</w:t>
            </w:r>
            <w:r>
              <w:t>、</w:t>
            </w:r>
            <w:r w:rsidRPr="000E7B00">
              <w:t>SDN</w:t>
            </w:r>
            <w:r>
              <w:rPr>
                <w:rFonts w:hint="eastAsia"/>
                <w:lang w:eastAsia="zh-CN"/>
              </w:rPr>
              <w:t>、</w:t>
            </w:r>
            <w:r w:rsidRPr="000E7B00">
              <w:t>SSD</w:t>
            </w:r>
            <w:r>
              <w:t>、</w:t>
            </w:r>
            <w:r w:rsidRPr="000E7B00">
              <w:t>SWZ</w:t>
            </w:r>
            <w:r>
              <w:t>、</w:t>
            </w:r>
            <w:r w:rsidRPr="000E7B00">
              <w:t>TCD</w:t>
            </w:r>
            <w:r>
              <w:t>、</w:t>
            </w:r>
            <w:r w:rsidRPr="000E7B00">
              <w:t>TZA</w:t>
            </w:r>
            <w:r>
              <w:t>、</w:t>
            </w:r>
            <w:r w:rsidRPr="000E7B00">
              <w:t>ZMB</w:t>
            </w:r>
            <w:r>
              <w:t>、</w:t>
            </w:r>
            <w:r w:rsidRPr="000E7B00">
              <w:t>ZWE</w:t>
            </w:r>
          </w:p>
        </w:tc>
        <w:tc>
          <w:tcPr>
            <w:tcW w:w="1078" w:type="dxa"/>
            <w:tcBorders>
              <w:top w:val="single" w:sz="6" w:space="0" w:color="auto"/>
              <w:left w:val="single" w:sz="6" w:space="0" w:color="auto"/>
              <w:bottom w:val="single" w:sz="6" w:space="0" w:color="auto"/>
              <w:right w:val="single" w:sz="6" w:space="0" w:color="auto"/>
            </w:tcBorders>
          </w:tcPr>
          <w:p w14:paraId="27192169" w14:textId="77777777" w:rsidR="006F5FEB" w:rsidRPr="006F5FEB" w:rsidRDefault="006F5FEB" w:rsidP="006F5FEB">
            <w:pPr>
              <w:pStyle w:val="TableText"/>
              <w:framePr w:hSpace="180" w:wrap="around" w:vAnchor="text" w:hAnchor="text" w:y="1"/>
              <w:ind w:left="57" w:right="57"/>
              <w:jc w:val="center"/>
            </w:pPr>
            <w:r w:rsidRPr="006F5FEB">
              <w:rPr>
                <w:rStyle w:val="Artref"/>
                <w:b/>
                <w:color w:val="auto"/>
              </w:rPr>
              <w:t>5.165</w:t>
            </w:r>
            <w:r w:rsidRPr="006F5FEB">
              <w:rPr>
                <w:rStyle w:val="Artref0"/>
                <w:b/>
              </w:rPr>
              <w:br/>
            </w:r>
            <w:r w:rsidRPr="006F5FEB">
              <w:rPr>
                <w:rStyle w:val="Artref"/>
                <w:b/>
                <w:color w:val="auto"/>
              </w:rPr>
              <w:t>5.167</w:t>
            </w:r>
            <w:r w:rsidRPr="006F5FEB">
              <w:br/>
            </w:r>
            <w:r w:rsidRPr="006F5FEB">
              <w:rPr>
                <w:rStyle w:val="Artref"/>
                <w:b/>
                <w:color w:val="auto"/>
              </w:rPr>
              <w:t>5.171</w:t>
            </w:r>
          </w:p>
        </w:tc>
        <w:tc>
          <w:tcPr>
            <w:tcW w:w="763" w:type="dxa"/>
            <w:tcBorders>
              <w:top w:val="single" w:sz="6" w:space="0" w:color="auto"/>
              <w:right w:val="single" w:sz="6" w:space="0" w:color="auto"/>
            </w:tcBorders>
          </w:tcPr>
          <w:p w14:paraId="0A2389D9" w14:textId="77777777" w:rsidR="006F5FEB" w:rsidRPr="000E7B00" w:rsidRDefault="006F5FEB" w:rsidP="006F5FEB">
            <w:pPr>
              <w:pStyle w:val="TableText"/>
              <w:framePr w:hSpace="180" w:wrap="around" w:vAnchor="text" w:hAnchor="text" w:y="1"/>
              <w:ind w:left="57" w:right="57"/>
              <w:jc w:val="center"/>
            </w:pPr>
            <w:r w:rsidRPr="000E7B00">
              <w:br/>
              <w:t>1</w:t>
            </w:r>
            <w:r w:rsidRPr="000E7B00">
              <w:br/>
            </w:r>
          </w:p>
        </w:tc>
      </w:tr>
      <w:tr w:rsidR="006F5FEB" w:rsidRPr="000E7B00" w14:paraId="3DBE9776" w14:textId="77777777" w:rsidTr="00583835">
        <w:trPr>
          <w:cantSplit/>
        </w:trPr>
        <w:tc>
          <w:tcPr>
            <w:tcW w:w="932" w:type="dxa"/>
            <w:tcBorders>
              <w:left w:val="single" w:sz="6" w:space="0" w:color="auto"/>
              <w:right w:val="single" w:sz="6" w:space="0" w:color="auto"/>
            </w:tcBorders>
          </w:tcPr>
          <w:p w14:paraId="17BC8A13" w14:textId="77777777" w:rsidR="006F5FEB" w:rsidRPr="000E7B00" w:rsidRDefault="006F5FEB" w:rsidP="006F5FEB">
            <w:pPr>
              <w:pStyle w:val="TableText"/>
              <w:framePr w:hSpace="180" w:wrap="around" w:vAnchor="text" w:hAnchor="text" w:y="1"/>
              <w:ind w:left="57" w:right="57"/>
              <w:jc w:val="center"/>
            </w:pPr>
          </w:p>
        </w:tc>
        <w:tc>
          <w:tcPr>
            <w:tcW w:w="2195" w:type="dxa"/>
            <w:tcBorders>
              <w:top w:val="single" w:sz="6" w:space="0" w:color="auto"/>
              <w:left w:val="single" w:sz="6" w:space="0" w:color="auto"/>
              <w:bottom w:val="single" w:sz="6" w:space="0" w:color="auto"/>
            </w:tcBorders>
          </w:tcPr>
          <w:p w14:paraId="3709C1C9" w14:textId="77777777" w:rsidR="006F5FEB" w:rsidRPr="000E7B00" w:rsidRDefault="006F5FEB" w:rsidP="00D13744">
            <w:pPr>
              <w:pStyle w:val="TableText"/>
              <w:framePr w:hSpace="180" w:wrap="around" w:vAnchor="text" w:hAnchor="text" w:y="1"/>
              <w:tabs>
                <w:tab w:val="left" w:pos="1316"/>
              </w:tabs>
              <w:ind w:left="57" w:right="57"/>
              <w:jc w:val="left"/>
            </w:pPr>
            <w:r w:rsidRPr="000E7B00">
              <w:rPr>
                <w:rFonts w:hint="eastAsia"/>
                <w:b/>
                <w:lang w:eastAsia="zh-CN"/>
              </w:rPr>
              <w:t>移动</w:t>
            </w:r>
            <w:r w:rsidR="00112ED9">
              <w:rPr>
                <w:b/>
                <w:lang w:eastAsia="zh-CN"/>
              </w:rPr>
              <w:br/>
            </w:r>
            <w:r w:rsidRPr="000E7B00">
              <w:rPr>
                <w:rFonts w:hint="eastAsia"/>
                <w:b/>
                <w:lang w:eastAsia="zh-CN"/>
              </w:rPr>
              <w:t>（航空</w:t>
            </w:r>
            <w:r w:rsidR="00D13744">
              <w:rPr>
                <w:rFonts w:hint="eastAsia"/>
                <w:b/>
                <w:lang w:val="en-US" w:eastAsia="zh-CN"/>
              </w:rPr>
              <w:t>除外</w:t>
            </w:r>
            <w:r w:rsidRPr="000E7B00">
              <w:rPr>
                <w:rFonts w:hint="eastAsia"/>
                <w:b/>
                <w:lang w:eastAsia="zh-CN"/>
              </w:rPr>
              <w:t>）</w:t>
            </w:r>
            <w:r w:rsidRPr="000E7B00">
              <w:rPr>
                <w:rFonts w:hint="eastAsia"/>
                <w:szCs w:val="21"/>
              </w:rPr>
              <w:t>：</w:t>
            </w:r>
          </w:p>
        </w:tc>
        <w:tc>
          <w:tcPr>
            <w:tcW w:w="4104" w:type="dxa"/>
            <w:tcBorders>
              <w:top w:val="single" w:sz="6" w:space="0" w:color="auto"/>
              <w:left w:val="nil"/>
              <w:bottom w:val="single" w:sz="6" w:space="0" w:color="auto"/>
              <w:right w:val="single" w:sz="6" w:space="0" w:color="auto"/>
            </w:tcBorders>
          </w:tcPr>
          <w:p w14:paraId="0C5C0F6B" w14:textId="77777777" w:rsidR="006F5FEB" w:rsidRPr="000E7B00" w:rsidRDefault="006F5FEB" w:rsidP="0025725A">
            <w:pPr>
              <w:pStyle w:val="TableText"/>
              <w:framePr w:hSpace="180" w:wrap="around" w:vAnchor="text" w:hAnchor="text" w:y="1"/>
              <w:spacing w:before="80" w:after="80"/>
              <w:ind w:left="61" w:right="57" w:hanging="4"/>
            </w:pPr>
            <w:r w:rsidRPr="000E7B00">
              <w:t>AFS</w:t>
            </w:r>
            <w:r>
              <w:t>、</w:t>
            </w:r>
            <w:r w:rsidRPr="000E7B00">
              <w:t>AGL</w:t>
            </w:r>
            <w:r>
              <w:t>、</w:t>
            </w:r>
            <w:r w:rsidRPr="000E7B00">
              <w:t>BOT</w:t>
            </w:r>
            <w:r>
              <w:t>、</w:t>
            </w:r>
            <w:r w:rsidRPr="000E7B00">
              <w:t>CME</w:t>
            </w:r>
            <w:r>
              <w:t>、</w:t>
            </w:r>
            <w:r w:rsidRPr="000E7B00">
              <w:t>COD</w:t>
            </w:r>
            <w:r>
              <w:t>、</w:t>
            </w:r>
            <w:r w:rsidRPr="000E7B00">
              <w:t>COG</w:t>
            </w:r>
            <w:r>
              <w:t>、</w:t>
            </w:r>
            <w:r w:rsidRPr="000E7B00">
              <w:t>LSO</w:t>
            </w:r>
            <w:r>
              <w:t>、</w:t>
            </w:r>
            <w:r w:rsidRPr="000E7B00">
              <w:t>MDG</w:t>
            </w:r>
            <w:r>
              <w:t>、</w:t>
            </w:r>
            <w:r w:rsidRPr="000E7B00">
              <w:t>MLI</w:t>
            </w:r>
            <w:r>
              <w:t>、</w:t>
            </w:r>
            <w:r w:rsidRPr="000E7B00">
              <w:t>MOZ</w:t>
            </w:r>
            <w:r>
              <w:t>、</w:t>
            </w:r>
            <w:r w:rsidRPr="000E7B00">
              <w:t>MWI</w:t>
            </w:r>
            <w:r>
              <w:rPr>
                <w:rFonts w:hint="eastAsia"/>
                <w:lang w:eastAsia="zh-CN"/>
              </w:rPr>
              <w:t>、</w:t>
            </w:r>
            <w:r w:rsidRPr="000E7B00">
              <w:t>NGR</w:t>
            </w:r>
            <w:r>
              <w:t>、</w:t>
            </w:r>
            <w:r w:rsidRPr="000E7B00">
              <w:t>NMB</w:t>
            </w:r>
            <w:r>
              <w:t>、</w:t>
            </w:r>
            <w:r w:rsidRPr="000E7B00">
              <w:t>RRW</w:t>
            </w:r>
            <w:r>
              <w:t>、</w:t>
            </w:r>
            <w:r w:rsidRPr="000E7B00">
              <w:t>SOM</w:t>
            </w:r>
            <w:r>
              <w:t>、</w:t>
            </w:r>
            <w:r w:rsidRPr="000E7B00">
              <w:t>SDN</w:t>
            </w:r>
            <w:r>
              <w:t>、</w:t>
            </w:r>
            <w:r w:rsidRPr="000E7B00">
              <w:t>SSD</w:t>
            </w:r>
            <w:r>
              <w:rPr>
                <w:rFonts w:hint="eastAsia"/>
                <w:lang w:eastAsia="zh-CN"/>
              </w:rPr>
              <w:t>、</w:t>
            </w:r>
            <w:r w:rsidRPr="000E7B00">
              <w:t>SWZ</w:t>
            </w:r>
            <w:r>
              <w:t>、</w:t>
            </w:r>
            <w:r w:rsidRPr="000E7B00">
              <w:t>TCD</w:t>
            </w:r>
            <w:r>
              <w:t>、</w:t>
            </w:r>
            <w:r w:rsidRPr="000E7B00">
              <w:t>TZA</w:t>
            </w:r>
            <w:r>
              <w:t>、</w:t>
            </w:r>
            <w:r w:rsidRPr="000E7B00">
              <w:t>ZMB</w:t>
            </w:r>
            <w:r>
              <w:t>、</w:t>
            </w:r>
            <w:r w:rsidRPr="000E7B00">
              <w:t>ZWE</w:t>
            </w:r>
          </w:p>
        </w:tc>
        <w:tc>
          <w:tcPr>
            <w:tcW w:w="1078" w:type="dxa"/>
            <w:tcBorders>
              <w:top w:val="single" w:sz="6" w:space="0" w:color="auto"/>
              <w:left w:val="single" w:sz="6" w:space="0" w:color="auto"/>
              <w:bottom w:val="single" w:sz="6" w:space="0" w:color="auto"/>
              <w:right w:val="single" w:sz="6" w:space="0" w:color="auto"/>
            </w:tcBorders>
          </w:tcPr>
          <w:p w14:paraId="42C835B7" w14:textId="77777777" w:rsidR="006F5FEB" w:rsidRPr="006F5FEB" w:rsidRDefault="006F5FEB" w:rsidP="006F5FEB">
            <w:pPr>
              <w:pStyle w:val="TableText"/>
              <w:framePr w:hSpace="180" w:wrap="around" w:vAnchor="text" w:hAnchor="text" w:y="1"/>
              <w:ind w:left="57" w:right="57"/>
              <w:jc w:val="center"/>
            </w:pPr>
            <w:r w:rsidRPr="006F5FEB">
              <w:rPr>
                <w:rStyle w:val="Artref"/>
                <w:b/>
                <w:color w:val="auto"/>
              </w:rPr>
              <w:t>5.165</w:t>
            </w:r>
            <w:r w:rsidRPr="006F5FEB">
              <w:br/>
            </w:r>
            <w:r w:rsidRPr="006F5FEB">
              <w:rPr>
                <w:rStyle w:val="Artref"/>
                <w:b/>
                <w:color w:val="auto"/>
              </w:rPr>
              <w:t>5.171</w:t>
            </w:r>
          </w:p>
        </w:tc>
        <w:tc>
          <w:tcPr>
            <w:tcW w:w="763" w:type="dxa"/>
            <w:tcBorders>
              <w:right w:val="single" w:sz="6" w:space="0" w:color="auto"/>
            </w:tcBorders>
          </w:tcPr>
          <w:p w14:paraId="15C19004" w14:textId="77777777" w:rsidR="006F5FEB" w:rsidRPr="000E7B00" w:rsidRDefault="006F5FEB" w:rsidP="006F5FEB">
            <w:pPr>
              <w:pStyle w:val="TableText"/>
              <w:framePr w:hSpace="180" w:wrap="around" w:vAnchor="text" w:hAnchor="text" w:y="1"/>
              <w:ind w:left="57" w:right="57"/>
              <w:jc w:val="center"/>
            </w:pPr>
            <w:r w:rsidRPr="000E7B00">
              <w:t>1</w:t>
            </w:r>
          </w:p>
        </w:tc>
      </w:tr>
      <w:tr w:rsidR="006F5FEB" w:rsidRPr="000E7B00" w14:paraId="29ACF037" w14:textId="77777777" w:rsidTr="00583835">
        <w:trPr>
          <w:cantSplit/>
        </w:trPr>
        <w:tc>
          <w:tcPr>
            <w:tcW w:w="932" w:type="dxa"/>
            <w:tcBorders>
              <w:left w:val="single" w:sz="6" w:space="0" w:color="auto"/>
              <w:bottom w:val="single" w:sz="6" w:space="0" w:color="auto"/>
              <w:right w:val="single" w:sz="6" w:space="0" w:color="auto"/>
            </w:tcBorders>
          </w:tcPr>
          <w:p w14:paraId="53C55193" w14:textId="77777777" w:rsidR="006F5FEB" w:rsidRPr="000E7B00" w:rsidRDefault="006F5FEB" w:rsidP="006F5FEB">
            <w:pPr>
              <w:pStyle w:val="TableText"/>
              <w:framePr w:hSpace="180" w:wrap="around" w:vAnchor="text" w:hAnchor="text" w:y="1"/>
              <w:ind w:left="57" w:right="57"/>
              <w:jc w:val="center"/>
            </w:pPr>
          </w:p>
        </w:tc>
        <w:tc>
          <w:tcPr>
            <w:tcW w:w="2195" w:type="dxa"/>
            <w:tcBorders>
              <w:top w:val="single" w:sz="6" w:space="0" w:color="auto"/>
              <w:left w:val="single" w:sz="6" w:space="0" w:color="auto"/>
              <w:bottom w:val="single" w:sz="6" w:space="0" w:color="auto"/>
            </w:tcBorders>
          </w:tcPr>
          <w:p w14:paraId="53D747B9" w14:textId="77777777" w:rsidR="006F5FEB" w:rsidRPr="000E7B00" w:rsidRDefault="006F5FEB" w:rsidP="006F5FEB">
            <w:pPr>
              <w:pStyle w:val="TableText"/>
              <w:framePr w:hSpace="180" w:wrap="around" w:vAnchor="text" w:hAnchor="text" w:y="1"/>
              <w:tabs>
                <w:tab w:val="left" w:pos="1316"/>
              </w:tabs>
              <w:ind w:left="1316" w:right="57" w:hanging="1259"/>
              <w:rPr>
                <w:b/>
              </w:rPr>
            </w:pPr>
            <w:r w:rsidRPr="000E7B00">
              <w:rPr>
                <w:rFonts w:hint="eastAsia"/>
                <w:b/>
                <w:lang w:eastAsia="zh-CN"/>
              </w:rPr>
              <w:t>移动</w:t>
            </w:r>
            <w:r w:rsidRPr="000E7B00">
              <w:rPr>
                <w:rFonts w:hint="eastAsia"/>
                <w:szCs w:val="21"/>
                <w:lang w:eastAsia="zh-CN"/>
              </w:rPr>
              <w:t>：</w:t>
            </w:r>
          </w:p>
        </w:tc>
        <w:tc>
          <w:tcPr>
            <w:tcW w:w="4104" w:type="dxa"/>
            <w:tcBorders>
              <w:top w:val="single" w:sz="6" w:space="0" w:color="auto"/>
              <w:left w:val="nil"/>
              <w:bottom w:val="single" w:sz="6" w:space="0" w:color="auto"/>
              <w:right w:val="single" w:sz="6" w:space="0" w:color="auto"/>
            </w:tcBorders>
          </w:tcPr>
          <w:p w14:paraId="04E75D73" w14:textId="77777777" w:rsidR="006F5FEB" w:rsidRPr="000E7B00" w:rsidRDefault="006F5FEB" w:rsidP="006F5FEB">
            <w:pPr>
              <w:pStyle w:val="TableText"/>
              <w:framePr w:hSpace="180" w:wrap="around" w:vAnchor="text" w:hAnchor="text" w:y="1"/>
              <w:tabs>
                <w:tab w:val="left" w:pos="1316"/>
              </w:tabs>
              <w:ind w:left="1316" w:right="57" w:hanging="1259"/>
            </w:pPr>
            <w:r w:rsidRPr="000E7B00">
              <w:t>IRN</w:t>
            </w:r>
          </w:p>
        </w:tc>
        <w:tc>
          <w:tcPr>
            <w:tcW w:w="1078" w:type="dxa"/>
            <w:tcBorders>
              <w:top w:val="single" w:sz="6" w:space="0" w:color="auto"/>
              <w:left w:val="single" w:sz="6" w:space="0" w:color="auto"/>
              <w:bottom w:val="single" w:sz="6" w:space="0" w:color="auto"/>
              <w:right w:val="single" w:sz="6" w:space="0" w:color="auto"/>
            </w:tcBorders>
          </w:tcPr>
          <w:p w14:paraId="3AF8C511" w14:textId="77777777" w:rsidR="006F5FEB" w:rsidRPr="006F5FEB" w:rsidRDefault="006F5FEB" w:rsidP="006F5FEB">
            <w:pPr>
              <w:pStyle w:val="TableText"/>
              <w:framePr w:hSpace="180" w:wrap="around" w:vAnchor="text" w:hAnchor="text" w:y="1"/>
              <w:ind w:left="57" w:right="57"/>
              <w:jc w:val="center"/>
              <w:rPr>
                <w:rStyle w:val="Artref"/>
                <w:b/>
                <w:color w:val="auto"/>
              </w:rPr>
            </w:pPr>
            <w:r w:rsidRPr="006F5FEB">
              <w:rPr>
                <w:rStyle w:val="Artref"/>
                <w:b/>
                <w:color w:val="auto"/>
              </w:rPr>
              <w:t>5.167</w:t>
            </w:r>
          </w:p>
        </w:tc>
        <w:tc>
          <w:tcPr>
            <w:tcW w:w="763" w:type="dxa"/>
            <w:tcBorders>
              <w:bottom w:val="single" w:sz="6" w:space="0" w:color="auto"/>
              <w:right w:val="single" w:sz="6" w:space="0" w:color="auto"/>
            </w:tcBorders>
          </w:tcPr>
          <w:p w14:paraId="74ACF12B" w14:textId="77777777" w:rsidR="006F5FEB" w:rsidRPr="000E7B00" w:rsidRDefault="006F5FEB" w:rsidP="006F5FEB">
            <w:pPr>
              <w:pStyle w:val="TableText"/>
              <w:framePr w:hSpace="180" w:wrap="around" w:vAnchor="text" w:hAnchor="text" w:y="1"/>
              <w:ind w:left="57" w:right="57"/>
              <w:jc w:val="center"/>
            </w:pPr>
          </w:p>
        </w:tc>
      </w:tr>
      <w:tr w:rsidR="006F5FEB" w:rsidRPr="000E7B00" w14:paraId="1393FCBC" w14:textId="77777777" w:rsidTr="00583835">
        <w:trPr>
          <w:cantSplit/>
        </w:trPr>
        <w:tc>
          <w:tcPr>
            <w:tcW w:w="932" w:type="dxa"/>
            <w:tcBorders>
              <w:top w:val="single" w:sz="6" w:space="0" w:color="auto"/>
              <w:left w:val="single" w:sz="6" w:space="0" w:color="auto"/>
              <w:right w:val="single" w:sz="6" w:space="0" w:color="auto"/>
            </w:tcBorders>
          </w:tcPr>
          <w:p w14:paraId="6A882F8A" w14:textId="77777777" w:rsidR="006F5FEB" w:rsidRPr="000E7B00" w:rsidRDefault="006F5FEB" w:rsidP="006F5FEB">
            <w:pPr>
              <w:pStyle w:val="TableText"/>
              <w:framePr w:hSpace="180" w:wrap="around" w:vAnchor="text" w:hAnchor="text" w:y="1"/>
              <w:ind w:left="57" w:right="57"/>
              <w:jc w:val="center"/>
            </w:pPr>
            <w:r w:rsidRPr="000E7B00">
              <w:t>230-238</w:t>
            </w:r>
          </w:p>
        </w:tc>
        <w:tc>
          <w:tcPr>
            <w:tcW w:w="2195" w:type="dxa"/>
            <w:tcBorders>
              <w:top w:val="single" w:sz="6" w:space="0" w:color="auto"/>
              <w:left w:val="single" w:sz="6" w:space="0" w:color="auto"/>
            </w:tcBorders>
          </w:tcPr>
          <w:p w14:paraId="0594BEDE" w14:textId="77777777" w:rsidR="006F5FEB" w:rsidRPr="000E7B00" w:rsidRDefault="006F5FEB" w:rsidP="006F5FEB">
            <w:pPr>
              <w:pStyle w:val="TableText"/>
              <w:framePr w:hSpace="180" w:wrap="around" w:vAnchor="text" w:hAnchor="text" w:y="1"/>
              <w:tabs>
                <w:tab w:val="left" w:pos="1316"/>
              </w:tabs>
              <w:ind w:left="1316" w:right="57" w:hanging="1259"/>
              <w:rPr>
                <w:b/>
              </w:rPr>
            </w:pPr>
            <w:r w:rsidRPr="000E7B00">
              <w:rPr>
                <w:rFonts w:hint="eastAsia"/>
                <w:b/>
                <w:lang w:eastAsia="zh-CN"/>
              </w:rPr>
              <w:t>固定</w:t>
            </w:r>
            <w:r w:rsidRPr="000E7B00">
              <w:rPr>
                <w:rFonts w:hint="eastAsia"/>
                <w:szCs w:val="21"/>
                <w:lang w:eastAsia="zh-CN"/>
              </w:rPr>
              <w:t>：</w:t>
            </w:r>
          </w:p>
        </w:tc>
        <w:tc>
          <w:tcPr>
            <w:tcW w:w="4104" w:type="dxa"/>
            <w:tcBorders>
              <w:top w:val="single" w:sz="6" w:space="0" w:color="auto"/>
              <w:left w:val="nil"/>
              <w:right w:val="single" w:sz="6" w:space="0" w:color="auto"/>
            </w:tcBorders>
          </w:tcPr>
          <w:p w14:paraId="366AF62F" w14:textId="77777777" w:rsidR="006F5FEB" w:rsidRPr="000E7B00" w:rsidRDefault="006F5FEB" w:rsidP="006F5FEB">
            <w:pPr>
              <w:pStyle w:val="TableText"/>
              <w:framePr w:hSpace="180" w:wrap="around" w:vAnchor="text" w:hAnchor="text" w:y="1"/>
              <w:ind w:left="54" w:right="57" w:firstLine="3"/>
              <w:rPr>
                <w:lang w:eastAsia="zh-CN"/>
              </w:rPr>
            </w:pPr>
            <w:r w:rsidRPr="000E7B00">
              <w:rPr>
                <w:rFonts w:hint="eastAsia"/>
                <w:szCs w:val="21"/>
                <w:lang w:eastAsia="zh-CN"/>
              </w:rPr>
              <w:t>加入协议的各方（《无线电规则》第</w:t>
            </w:r>
            <w:r w:rsidRPr="000E7B00">
              <w:rPr>
                <w:rFonts w:hint="eastAsia"/>
                <w:b/>
                <w:bCs/>
                <w:szCs w:val="21"/>
                <w:lang w:eastAsia="zh-CN"/>
              </w:rPr>
              <w:t>5.252</w:t>
            </w:r>
            <w:r w:rsidRPr="000E7B00">
              <w:rPr>
                <w:rFonts w:hint="eastAsia"/>
                <w:szCs w:val="21"/>
                <w:lang w:eastAsia="zh-CN"/>
              </w:rPr>
              <w:t>款所述国家除外）</w:t>
            </w:r>
          </w:p>
        </w:tc>
        <w:tc>
          <w:tcPr>
            <w:tcW w:w="1078" w:type="dxa"/>
            <w:tcBorders>
              <w:top w:val="single" w:sz="6" w:space="0" w:color="auto"/>
              <w:left w:val="single" w:sz="6" w:space="0" w:color="auto"/>
              <w:right w:val="single" w:sz="6" w:space="0" w:color="auto"/>
            </w:tcBorders>
          </w:tcPr>
          <w:p w14:paraId="40733101" w14:textId="77777777" w:rsidR="006F5FEB" w:rsidRPr="006F5FEB" w:rsidRDefault="006F5FEB" w:rsidP="006F5FEB">
            <w:pPr>
              <w:pStyle w:val="TableText"/>
              <w:framePr w:hSpace="180" w:wrap="around" w:vAnchor="text" w:hAnchor="text" w:y="1"/>
              <w:ind w:left="57" w:right="57"/>
              <w:jc w:val="center"/>
              <w:rPr>
                <w:lang w:eastAsia="zh-CN"/>
              </w:rPr>
            </w:pPr>
          </w:p>
        </w:tc>
        <w:tc>
          <w:tcPr>
            <w:tcW w:w="763" w:type="dxa"/>
            <w:tcBorders>
              <w:top w:val="single" w:sz="6" w:space="0" w:color="auto"/>
              <w:right w:val="single" w:sz="6" w:space="0" w:color="auto"/>
            </w:tcBorders>
            <w:vAlign w:val="bottom"/>
          </w:tcPr>
          <w:p w14:paraId="1E2BDB97" w14:textId="77777777" w:rsidR="006F5FEB" w:rsidRPr="000E7B00" w:rsidRDefault="006F5FEB" w:rsidP="006F5FEB">
            <w:pPr>
              <w:pStyle w:val="TableText"/>
              <w:framePr w:hSpace="180" w:wrap="around" w:vAnchor="text" w:hAnchor="text" w:y="1"/>
              <w:ind w:left="57" w:right="57"/>
              <w:jc w:val="center"/>
              <w:rPr>
                <w:lang w:eastAsia="zh-CN"/>
              </w:rPr>
            </w:pPr>
            <w:r w:rsidRPr="000E7B00">
              <w:rPr>
                <w:lang w:eastAsia="zh-CN"/>
              </w:rPr>
              <w:t>2</w:t>
            </w:r>
          </w:p>
        </w:tc>
      </w:tr>
      <w:tr w:rsidR="006F5FEB" w:rsidRPr="000E7B00" w14:paraId="11A27FBA" w14:textId="77777777" w:rsidTr="00583835">
        <w:trPr>
          <w:cantSplit/>
        </w:trPr>
        <w:tc>
          <w:tcPr>
            <w:tcW w:w="932" w:type="dxa"/>
            <w:tcBorders>
              <w:left w:val="single" w:sz="6" w:space="0" w:color="auto"/>
              <w:right w:val="single" w:sz="6" w:space="0" w:color="auto"/>
            </w:tcBorders>
          </w:tcPr>
          <w:p w14:paraId="2F5379B6" w14:textId="77777777" w:rsidR="006F5FEB" w:rsidRPr="000E7B00" w:rsidRDefault="006F5FEB" w:rsidP="006F5FEB">
            <w:pPr>
              <w:pStyle w:val="TableText"/>
              <w:framePr w:hSpace="180" w:wrap="around" w:vAnchor="text" w:hAnchor="text" w:y="1"/>
              <w:ind w:left="57" w:right="57"/>
              <w:jc w:val="center"/>
              <w:rPr>
                <w:lang w:eastAsia="zh-CN"/>
              </w:rPr>
            </w:pPr>
          </w:p>
        </w:tc>
        <w:tc>
          <w:tcPr>
            <w:tcW w:w="2195" w:type="dxa"/>
            <w:tcBorders>
              <w:left w:val="single" w:sz="6" w:space="0" w:color="auto"/>
            </w:tcBorders>
          </w:tcPr>
          <w:p w14:paraId="3071048C" w14:textId="77777777" w:rsidR="006F5FEB" w:rsidRPr="000E7B00" w:rsidRDefault="006F5FEB" w:rsidP="006F5FEB">
            <w:pPr>
              <w:pStyle w:val="TableText"/>
              <w:framePr w:hSpace="180" w:wrap="around" w:vAnchor="text" w:hAnchor="text" w:y="1"/>
              <w:tabs>
                <w:tab w:val="left" w:pos="1316"/>
              </w:tabs>
              <w:ind w:left="1316" w:right="57" w:hanging="1259"/>
              <w:rPr>
                <w:b/>
                <w:bCs/>
                <w:lang w:eastAsia="zh-CN"/>
              </w:rPr>
            </w:pPr>
            <w:r w:rsidRPr="000E7B00">
              <w:rPr>
                <w:rFonts w:hint="eastAsia"/>
                <w:b/>
                <w:lang w:eastAsia="zh-CN"/>
              </w:rPr>
              <w:t>移动</w:t>
            </w:r>
            <w:r w:rsidRPr="000E7B00">
              <w:rPr>
                <w:rFonts w:hint="eastAsia"/>
                <w:szCs w:val="21"/>
                <w:lang w:eastAsia="zh-CN"/>
              </w:rPr>
              <w:t>：</w:t>
            </w:r>
          </w:p>
        </w:tc>
        <w:tc>
          <w:tcPr>
            <w:tcW w:w="4104" w:type="dxa"/>
            <w:tcBorders>
              <w:right w:val="single" w:sz="6" w:space="0" w:color="auto"/>
            </w:tcBorders>
          </w:tcPr>
          <w:p w14:paraId="7AC848FF" w14:textId="77777777" w:rsidR="006F5FEB" w:rsidRPr="000E7B00" w:rsidRDefault="006F5FEB" w:rsidP="006F5FEB">
            <w:pPr>
              <w:pStyle w:val="TableText"/>
              <w:framePr w:hSpace="180" w:wrap="around" w:vAnchor="text" w:hAnchor="text" w:y="1"/>
              <w:ind w:left="54" w:right="57" w:firstLine="3"/>
              <w:rPr>
                <w:lang w:eastAsia="zh-CN"/>
              </w:rPr>
            </w:pPr>
            <w:r w:rsidRPr="000E7B00">
              <w:rPr>
                <w:rFonts w:hint="eastAsia"/>
                <w:szCs w:val="21"/>
                <w:lang w:eastAsia="zh-CN"/>
              </w:rPr>
              <w:t>加入协议的各方（《无线电规则》第</w:t>
            </w:r>
            <w:r w:rsidRPr="000E7B00">
              <w:rPr>
                <w:rFonts w:hint="eastAsia"/>
                <w:b/>
                <w:bCs/>
                <w:szCs w:val="21"/>
                <w:lang w:eastAsia="zh-CN"/>
              </w:rPr>
              <w:t>5.252</w:t>
            </w:r>
            <w:r w:rsidRPr="000E7B00">
              <w:rPr>
                <w:rFonts w:hint="eastAsia"/>
                <w:szCs w:val="21"/>
                <w:lang w:eastAsia="zh-CN"/>
              </w:rPr>
              <w:t>款所述国家除外）</w:t>
            </w:r>
          </w:p>
        </w:tc>
        <w:tc>
          <w:tcPr>
            <w:tcW w:w="1078" w:type="dxa"/>
            <w:tcBorders>
              <w:left w:val="single" w:sz="6" w:space="0" w:color="auto"/>
              <w:right w:val="single" w:sz="6" w:space="0" w:color="auto"/>
            </w:tcBorders>
            <w:vAlign w:val="bottom"/>
          </w:tcPr>
          <w:p w14:paraId="70A54C2E" w14:textId="77777777" w:rsidR="006F5FEB" w:rsidRPr="006F5FEB" w:rsidRDefault="006F5FEB" w:rsidP="006F5FEB">
            <w:pPr>
              <w:pStyle w:val="TableText"/>
              <w:framePr w:hSpace="180" w:wrap="around" w:vAnchor="text" w:hAnchor="text" w:y="1"/>
              <w:ind w:left="57" w:right="57"/>
              <w:jc w:val="center"/>
              <w:rPr>
                <w:rStyle w:val="Artref"/>
                <w:b/>
                <w:color w:val="auto"/>
                <w:lang w:eastAsia="zh-CN"/>
              </w:rPr>
            </w:pPr>
          </w:p>
        </w:tc>
        <w:tc>
          <w:tcPr>
            <w:tcW w:w="763" w:type="dxa"/>
            <w:tcBorders>
              <w:left w:val="single" w:sz="6" w:space="0" w:color="auto"/>
              <w:right w:val="single" w:sz="6" w:space="0" w:color="auto"/>
            </w:tcBorders>
            <w:vAlign w:val="center"/>
          </w:tcPr>
          <w:p w14:paraId="10687022" w14:textId="77777777" w:rsidR="006F5FEB" w:rsidRPr="000E7B00" w:rsidRDefault="006F5FEB" w:rsidP="006F5FEB">
            <w:pPr>
              <w:pStyle w:val="TableText"/>
              <w:framePr w:hSpace="180" w:wrap="around" w:vAnchor="text" w:hAnchor="text" w:y="1"/>
              <w:ind w:left="57" w:right="57"/>
              <w:jc w:val="center"/>
              <w:rPr>
                <w:lang w:eastAsia="zh-CN"/>
              </w:rPr>
            </w:pPr>
            <w:r w:rsidRPr="000E7B00">
              <w:rPr>
                <w:lang w:eastAsia="zh-CN"/>
              </w:rPr>
              <w:t>2</w:t>
            </w:r>
          </w:p>
        </w:tc>
      </w:tr>
      <w:tr w:rsidR="006F5FEB" w:rsidRPr="000E7B00" w14:paraId="2EA867FC" w14:textId="77777777" w:rsidTr="00583835">
        <w:trPr>
          <w:cantSplit/>
        </w:trPr>
        <w:tc>
          <w:tcPr>
            <w:tcW w:w="932" w:type="dxa"/>
            <w:tcBorders>
              <w:left w:val="single" w:sz="6" w:space="0" w:color="auto"/>
              <w:bottom w:val="single" w:sz="6" w:space="0" w:color="auto"/>
              <w:right w:val="single" w:sz="6" w:space="0" w:color="auto"/>
            </w:tcBorders>
          </w:tcPr>
          <w:p w14:paraId="220ABEF7" w14:textId="77777777" w:rsidR="006F5FEB" w:rsidRPr="000E7B00" w:rsidRDefault="006F5FEB" w:rsidP="006F5FEB">
            <w:pPr>
              <w:pStyle w:val="TableText"/>
              <w:framePr w:hSpace="180" w:wrap="around" w:vAnchor="text" w:hAnchor="text" w:y="1"/>
              <w:ind w:left="57" w:right="57"/>
              <w:jc w:val="center"/>
              <w:rPr>
                <w:lang w:eastAsia="zh-CN"/>
              </w:rPr>
            </w:pPr>
          </w:p>
        </w:tc>
        <w:tc>
          <w:tcPr>
            <w:tcW w:w="2195" w:type="dxa"/>
            <w:tcBorders>
              <w:left w:val="single" w:sz="6" w:space="0" w:color="auto"/>
              <w:bottom w:val="single" w:sz="6" w:space="0" w:color="auto"/>
            </w:tcBorders>
          </w:tcPr>
          <w:p w14:paraId="114CCCA5" w14:textId="77777777" w:rsidR="006F5FEB" w:rsidRPr="000E7B00" w:rsidRDefault="006F5FEB" w:rsidP="006F5FEB">
            <w:pPr>
              <w:pStyle w:val="TableText"/>
              <w:framePr w:hSpace="180" w:wrap="around" w:vAnchor="text" w:hAnchor="text" w:y="1"/>
              <w:tabs>
                <w:tab w:val="left" w:pos="1316"/>
              </w:tabs>
              <w:ind w:left="57" w:right="57"/>
              <w:rPr>
                <w:lang w:val="es-ES" w:eastAsia="zh-CN"/>
              </w:rPr>
            </w:pPr>
            <w:r w:rsidRPr="000E7B00">
              <w:rPr>
                <w:rFonts w:hint="eastAsia"/>
                <w:b/>
                <w:lang w:eastAsia="zh-CN"/>
              </w:rPr>
              <w:t>航空无线电导航</w:t>
            </w:r>
            <w:r w:rsidRPr="000E7B00">
              <w:rPr>
                <w:rFonts w:hint="eastAsia"/>
                <w:szCs w:val="21"/>
                <w:lang w:eastAsia="zh-CN"/>
              </w:rPr>
              <w:t>：</w:t>
            </w:r>
          </w:p>
        </w:tc>
        <w:tc>
          <w:tcPr>
            <w:tcW w:w="4104" w:type="dxa"/>
            <w:tcBorders>
              <w:left w:val="nil"/>
              <w:bottom w:val="single" w:sz="6" w:space="0" w:color="auto"/>
              <w:right w:val="single" w:sz="6" w:space="0" w:color="auto"/>
            </w:tcBorders>
            <w:vAlign w:val="bottom"/>
          </w:tcPr>
          <w:p w14:paraId="4A539149" w14:textId="77777777" w:rsidR="006F5FEB" w:rsidRPr="000E7B00" w:rsidRDefault="006F5FEB" w:rsidP="006F5FEB">
            <w:pPr>
              <w:pStyle w:val="TableText"/>
              <w:framePr w:hSpace="180" w:wrap="around" w:vAnchor="text" w:hAnchor="text" w:y="1"/>
              <w:tabs>
                <w:tab w:val="left" w:pos="1316"/>
              </w:tabs>
              <w:ind w:left="54" w:right="57" w:firstLine="3"/>
              <w:rPr>
                <w:lang w:val="es-ES" w:eastAsia="zh-CN"/>
              </w:rPr>
            </w:pPr>
            <w:r w:rsidRPr="000E7B00">
              <w:rPr>
                <w:lang w:val="es-ES" w:eastAsia="zh-CN"/>
              </w:rPr>
              <w:t>ARS</w:t>
            </w:r>
            <w:r>
              <w:rPr>
                <w:lang w:eastAsia="zh-CN"/>
              </w:rPr>
              <w:t>、</w:t>
            </w:r>
            <w:r w:rsidRPr="000E7B00">
              <w:rPr>
                <w:lang w:val="es-ES" w:eastAsia="zh-CN"/>
              </w:rPr>
              <w:t>BHR</w:t>
            </w:r>
            <w:r>
              <w:rPr>
                <w:lang w:eastAsia="zh-CN"/>
              </w:rPr>
              <w:t>、</w:t>
            </w:r>
            <w:r w:rsidRPr="000E7B00">
              <w:rPr>
                <w:lang w:val="es-ES" w:eastAsia="zh-CN"/>
              </w:rPr>
              <w:t>IRN</w:t>
            </w:r>
            <w:r>
              <w:rPr>
                <w:lang w:eastAsia="zh-CN"/>
              </w:rPr>
              <w:t>、</w:t>
            </w:r>
            <w:r w:rsidRPr="000E7B00">
              <w:rPr>
                <w:lang w:val="es-ES" w:eastAsia="zh-CN"/>
              </w:rPr>
              <w:t>OMA</w:t>
            </w:r>
            <w:r>
              <w:rPr>
                <w:lang w:eastAsia="zh-CN"/>
              </w:rPr>
              <w:t>、</w:t>
            </w:r>
            <w:r w:rsidRPr="000E7B00">
              <w:rPr>
                <w:lang w:val="es-ES" w:eastAsia="zh-CN"/>
              </w:rPr>
              <w:t>QAT</w:t>
            </w:r>
            <w:r>
              <w:rPr>
                <w:lang w:eastAsia="zh-CN"/>
              </w:rPr>
              <w:t>、</w:t>
            </w:r>
            <w:r w:rsidRPr="000E7B00">
              <w:rPr>
                <w:lang w:val="es-ES" w:eastAsia="zh-CN"/>
              </w:rPr>
              <w:t>UAE</w:t>
            </w:r>
          </w:p>
        </w:tc>
        <w:tc>
          <w:tcPr>
            <w:tcW w:w="1078" w:type="dxa"/>
            <w:tcBorders>
              <w:left w:val="single" w:sz="6" w:space="0" w:color="auto"/>
              <w:bottom w:val="single" w:sz="6" w:space="0" w:color="auto"/>
              <w:right w:val="single" w:sz="6" w:space="0" w:color="auto"/>
            </w:tcBorders>
            <w:vAlign w:val="bottom"/>
          </w:tcPr>
          <w:p w14:paraId="02F971F8" w14:textId="77777777" w:rsidR="006F5FEB" w:rsidRPr="006F5FEB" w:rsidRDefault="006F5FEB" w:rsidP="006F5FEB">
            <w:pPr>
              <w:pStyle w:val="TableText"/>
              <w:framePr w:hSpace="180" w:wrap="around" w:vAnchor="text" w:hAnchor="text" w:y="1"/>
              <w:ind w:left="57" w:right="57"/>
              <w:jc w:val="center"/>
              <w:rPr>
                <w:lang w:eastAsia="zh-CN"/>
              </w:rPr>
            </w:pPr>
            <w:r w:rsidRPr="006F5FEB">
              <w:rPr>
                <w:rStyle w:val="Artref"/>
                <w:b/>
                <w:color w:val="auto"/>
                <w:lang w:eastAsia="zh-CN"/>
              </w:rPr>
              <w:t>5.247</w:t>
            </w:r>
          </w:p>
        </w:tc>
        <w:tc>
          <w:tcPr>
            <w:tcW w:w="763" w:type="dxa"/>
            <w:tcBorders>
              <w:bottom w:val="single" w:sz="6" w:space="0" w:color="auto"/>
              <w:right w:val="single" w:sz="6" w:space="0" w:color="auto"/>
            </w:tcBorders>
            <w:vAlign w:val="bottom"/>
          </w:tcPr>
          <w:p w14:paraId="3695DF68" w14:textId="77777777" w:rsidR="006F5FEB" w:rsidRPr="000E7B00" w:rsidRDefault="006F5FEB" w:rsidP="006F5FEB">
            <w:pPr>
              <w:pStyle w:val="TableText"/>
              <w:framePr w:hSpace="180" w:wrap="around" w:vAnchor="text" w:hAnchor="text" w:y="1"/>
              <w:ind w:left="57" w:right="57"/>
              <w:jc w:val="center"/>
              <w:rPr>
                <w:lang w:eastAsia="zh-CN"/>
              </w:rPr>
            </w:pPr>
            <w:r w:rsidRPr="000E7B00">
              <w:rPr>
                <w:lang w:eastAsia="zh-CN"/>
              </w:rPr>
              <w:t>3</w:t>
            </w:r>
          </w:p>
        </w:tc>
      </w:tr>
      <w:tr w:rsidR="006F5FEB" w:rsidRPr="000E7B00" w14:paraId="6522101E" w14:textId="77777777" w:rsidTr="00583835">
        <w:trPr>
          <w:cantSplit/>
        </w:trPr>
        <w:tc>
          <w:tcPr>
            <w:tcW w:w="932" w:type="dxa"/>
            <w:tcBorders>
              <w:top w:val="single" w:sz="6" w:space="0" w:color="auto"/>
              <w:left w:val="single" w:sz="6" w:space="0" w:color="auto"/>
              <w:right w:val="single" w:sz="6" w:space="0" w:color="auto"/>
            </w:tcBorders>
          </w:tcPr>
          <w:p w14:paraId="0DA9F8CE" w14:textId="77777777" w:rsidR="006F5FEB" w:rsidRPr="000E7B00" w:rsidRDefault="006F5FEB" w:rsidP="006F5FEB">
            <w:pPr>
              <w:pStyle w:val="TableText"/>
              <w:framePr w:hSpace="180" w:wrap="around" w:vAnchor="text" w:hAnchor="text" w:y="1"/>
              <w:ind w:left="57" w:right="57"/>
              <w:jc w:val="center"/>
              <w:rPr>
                <w:lang w:eastAsia="zh-CN"/>
              </w:rPr>
            </w:pPr>
            <w:r w:rsidRPr="000E7B00">
              <w:rPr>
                <w:lang w:eastAsia="zh-CN"/>
              </w:rPr>
              <w:t>246-254</w:t>
            </w:r>
          </w:p>
        </w:tc>
        <w:tc>
          <w:tcPr>
            <w:tcW w:w="2195" w:type="dxa"/>
            <w:tcBorders>
              <w:top w:val="single" w:sz="6" w:space="0" w:color="auto"/>
              <w:left w:val="single" w:sz="6" w:space="0" w:color="auto"/>
            </w:tcBorders>
          </w:tcPr>
          <w:p w14:paraId="4CBAAA89" w14:textId="77777777" w:rsidR="006F5FEB" w:rsidRPr="000E7B00" w:rsidRDefault="006F5FEB" w:rsidP="006F5FEB">
            <w:pPr>
              <w:pStyle w:val="TableText"/>
              <w:framePr w:hSpace="180" w:wrap="around" w:vAnchor="text" w:hAnchor="text" w:y="1"/>
              <w:tabs>
                <w:tab w:val="left" w:pos="1316"/>
              </w:tabs>
              <w:ind w:left="1316" w:right="57" w:hanging="1259"/>
              <w:rPr>
                <w:b/>
                <w:lang w:eastAsia="zh-CN"/>
              </w:rPr>
            </w:pPr>
            <w:r w:rsidRPr="000E7B00">
              <w:rPr>
                <w:rFonts w:hint="eastAsia"/>
                <w:b/>
                <w:lang w:eastAsia="zh-CN"/>
              </w:rPr>
              <w:t>固定</w:t>
            </w:r>
            <w:r w:rsidRPr="000E7B00">
              <w:rPr>
                <w:rFonts w:hint="eastAsia"/>
                <w:szCs w:val="21"/>
                <w:lang w:eastAsia="zh-CN"/>
              </w:rPr>
              <w:t>：</w:t>
            </w:r>
          </w:p>
        </w:tc>
        <w:tc>
          <w:tcPr>
            <w:tcW w:w="4104" w:type="dxa"/>
            <w:tcBorders>
              <w:top w:val="single" w:sz="6" w:space="0" w:color="auto"/>
              <w:left w:val="nil"/>
              <w:right w:val="single" w:sz="6" w:space="0" w:color="auto"/>
            </w:tcBorders>
          </w:tcPr>
          <w:p w14:paraId="302D3059" w14:textId="77777777" w:rsidR="006F5FEB" w:rsidRPr="000E7B00" w:rsidRDefault="006F5FEB" w:rsidP="006F5FEB">
            <w:pPr>
              <w:pStyle w:val="TableText"/>
              <w:framePr w:hSpace="180" w:wrap="around" w:vAnchor="text" w:hAnchor="text" w:y="1"/>
              <w:tabs>
                <w:tab w:val="left" w:pos="1316"/>
              </w:tabs>
              <w:ind w:left="57" w:right="57"/>
              <w:rPr>
                <w:b/>
                <w:lang w:eastAsia="zh-CN"/>
              </w:rPr>
            </w:pPr>
            <w:r w:rsidRPr="000E7B00">
              <w:rPr>
                <w:rFonts w:hint="eastAsia"/>
                <w:szCs w:val="21"/>
                <w:lang w:eastAsia="zh-CN"/>
              </w:rPr>
              <w:t>加入协议的各方（《无线电规则》第</w:t>
            </w:r>
            <w:r w:rsidRPr="000E7B00">
              <w:rPr>
                <w:rFonts w:hint="eastAsia"/>
                <w:b/>
                <w:bCs/>
                <w:szCs w:val="21"/>
                <w:lang w:eastAsia="zh-CN"/>
              </w:rPr>
              <w:t>5.252</w:t>
            </w:r>
            <w:r w:rsidRPr="000E7B00">
              <w:rPr>
                <w:rFonts w:hint="eastAsia"/>
                <w:szCs w:val="21"/>
                <w:lang w:eastAsia="zh-CN"/>
              </w:rPr>
              <w:t>款所述国家除外）</w:t>
            </w:r>
          </w:p>
        </w:tc>
        <w:tc>
          <w:tcPr>
            <w:tcW w:w="1078" w:type="dxa"/>
            <w:tcBorders>
              <w:top w:val="single" w:sz="6" w:space="0" w:color="auto"/>
              <w:left w:val="single" w:sz="6" w:space="0" w:color="auto"/>
              <w:right w:val="single" w:sz="6" w:space="0" w:color="auto"/>
            </w:tcBorders>
          </w:tcPr>
          <w:p w14:paraId="50A4935C" w14:textId="77777777" w:rsidR="006F5FEB" w:rsidRPr="000E7B00" w:rsidRDefault="006F5FEB" w:rsidP="006F5FEB">
            <w:pPr>
              <w:pStyle w:val="TableText"/>
              <w:framePr w:hSpace="180" w:wrap="around" w:vAnchor="text" w:hAnchor="text" w:y="1"/>
              <w:ind w:left="57" w:right="57"/>
              <w:jc w:val="center"/>
              <w:rPr>
                <w:lang w:eastAsia="zh-CN"/>
              </w:rPr>
            </w:pPr>
          </w:p>
        </w:tc>
        <w:tc>
          <w:tcPr>
            <w:tcW w:w="763" w:type="dxa"/>
            <w:tcBorders>
              <w:top w:val="single" w:sz="6" w:space="0" w:color="auto"/>
              <w:right w:val="single" w:sz="6" w:space="0" w:color="auto"/>
            </w:tcBorders>
            <w:vAlign w:val="bottom"/>
          </w:tcPr>
          <w:p w14:paraId="54B5FFC5" w14:textId="77777777" w:rsidR="006F5FEB" w:rsidRPr="000E7B00" w:rsidRDefault="006F5FEB" w:rsidP="006F5FEB">
            <w:pPr>
              <w:pStyle w:val="TableText"/>
              <w:framePr w:hSpace="180" w:wrap="around" w:vAnchor="text" w:hAnchor="text" w:y="1"/>
              <w:ind w:left="57" w:right="57"/>
              <w:jc w:val="center"/>
              <w:rPr>
                <w:lang w:eastAsia="zh-CN"/>
              </w:rPr>
            </w:pPr>
            <w:r w:rsidRPr="000E7B00">
              <w:rPr>
                <w:lang w:eastAsia="zh-CN"/>
              </w:rPr>
              <w:t>2</w:t>
            </w:r>
          </w:p>
        </w:tc>
      </w:tr>
      <w:tr w:rsidR="006F5FEB" w:rsidRPr="000E7B00" w14:paraId="4BB05CDA" w14:textId="77777777" w:rsidTr="00583835">
        <w:trPr>
          <w:cantSplit/>
        </w:trPr>
        <w:tc>
          <w:tcPr>
            <w:tcW w:w="932" w:type="dxa"/>
            <w:tcBorders>
              <w:left w:val="single" w:sz="6" w:space="0" w:color="auto"/>
              <w:bottom w:val="single" w:sz="6" w:space="0" w:color="auto"/>
              <w:right w:val="single" w:sz="6" w:space="0" w:color="auto"/>
            </w:tcBorders>
          </w:tcPr>
          <w:p w14:paraId="66D129C9" w14:textId="77777777" w:rsidR="006F5FEB" w:rsidRPr="000E7B00" w:rsidRDefault="006F5FEB" w:rsidP="006F5FEB">
            <w:pPr>
              <w:pStyle w:val="TableText"/>
              <w:framePr w:hSpace="180" w:wrap="around" w:vAnchor="text" w:hAnchor="text" w:y="1"/>
              <w:ind w:left="57" w:right="57"/>
              <w:jc w:val="center"/>
              <w:rPr>
                <w:lang w:eastAsia="zh-CN"/>
              </w:rPr>
            </w:pPr>
          </w:p>
        </w:tc>
        <w:tc>
          <w:tcPr>
            <w:tcW w:w="2195" w:type="dxa"/>
            <w:tcBorders>
              <w:left w:val="single" w:sz="6" w:space="0" w:color="auto"/>
              <w:bottom w:val="single" w:sz="6" w:space="0" w:color="auto"/>
            </w:tcBorders>
          </w:tcPr>
          <w:p w14:paraId="013CEA87" w14:textId="77777777" w:rsidR="006F5FEB" w:rsidRPr="000E7B00" w:rsidRDefault="006F5FEB" w:rsidP="006F5FEB">
            <w:pPr>
              <w:pStyle w:val="TableText"/>
              <w:framePr w:hSpace="180" w:wrap="around" w:vAnchor="text" w:hAnchor="text" w:y="1"/>
              <w:tabs>
                <w:tab w:val="left" w:pos="1316"/>
              </w:tabs>
              <w:ind w:left="1316" w:right="57" w:hanging="1259"/>
              <w:rPr>
                <w:b/>
                <w:lang w:eastAsia="zh-CN"/>
              </w:rPr>
            </w:pPr>
            <w:r w:rsidRPr="000E7B00">
              <w:rPr>
                <w:rFonts w:hint="eastAsia"/>
                <w:b/>
                <w:lang w:eastAsia="zh-CN"/>
              </w:rPr>
              <w:t>移动</w:t>
            </w:r>
            <w:r w:rsidRPr="000E7B00">
              <w:rPr>
                <w:rFonts w:hint="eastAsia"/>
                <w:szCs w:val="21"/>
                <w:lang w:eastAsia="zh-CN"/>
              </w:rPr>
              <w:t>：</w:t>
            </w:r>
          </w:p>
        </w:tc>
        <w:tc>
          <w:tcPr>
            <w:tcW w:w="4104" w:type="dxa"/>
            <w:tcBorders>
              <w:left w:val="nil"/>
              <w:bottom w:val="single" w:sz="6" w:space="0" w:color="auto"/>
              <w:right w:val="single" w:sz="6" w:space="0" w:color="auto"/>
            </w:tcBorders>
          </w:tcPr>
          <w:p w14:paraId="18FDDCBE" w14:textId="77777777" w:rsidR="006F5FEB" w:rsidRPr="000E7B00" w:rsidRDefault="006F5FEB" w:rsidP="006F5FEB">
            <w:pPr>
              <w:pStyle w:val="TableText"/>
              <w:framePr w:hSpace="180" w:wrap="around" w:vAnchor="text" w:hAnchor="text" w:y="1"/>
              <w:tabs>
                <w:tab w:val="left" w:pos="1316"/>
              </w:tabs>
              <w:ind w:left="57" w:right="57"/>
              <w:rPr>
                <w:b/>
                <w:lang w:eastAsia="zh-CN"/>
              </w:rPr>
            </w:pPr>
            <w:r w:rsidRPr="000E7B00">
              <w:rPr>
                <w:rFonts w:hint="eastAsia"/>
                <w:szCs w:val="21"/>
                <w:lang w:eastAsia="zh-CN"/>
              </w:rPr>
              <w:t>加入协议的各方（《无线电规则》第</w:t>
            </w:r>
            <w:r w:rsidRPr="000E7B00">
              <w:rPr>
                <w:rFonts w:hint="eastAsia"/>
                <w:b/>
                <w:bCs/>
                <w:szCs w:val="21"/>
                <w:lang w:eastAsia="zh-CN"/>
              </w:rPr>
              <w:t>5.252</w:t>
            </w:r>
            <w:r w:rsidRPr="000E7B00">
              <w:rPr>
                <w:rFonts w:hint="eastAsia"/>
                <w:szCs w:val="21"/>
                <w:lang w:eastAsia="zh-CN"/>
              </w:rPr>
              <w:t>款所述国家除外）</w:t>
            </w:r>
          </w:p>
        </w:tc>
        <w:tc>
          <w:tcPr>
            <w:tcW w:w="1078" w:type="dxa"/>
            <w:tcBorders>
              <w:left w:val="single" w:sz="6" w:space="0" w:color="auto"/>
              <w:bottom w:val="single" w:sz="6" w:space="0" w:color="auto"/>
              <w:right w:val="single" w:sz="6" w:space="0" w:color="auto"/>
            </w:tcBorders>
          </w:tcPr>
          <w:p w14:paraId="5E0A1221" w14:textId="77777777" w:rsidR="006F5FEB" w:rsidRPr="000E7B00" w:rsidRDefault="006F5FEB" w:rsidP="006F5FEB">
            <w:pPr>
              <w:pStyle w:val="TableText"/>
              <w:framePr w:hSpace="180" w:wrap="around" w:vAnchor="text" w:hAnchor="text" w:y="1"/>
              <w:ind w:left="57" w:right="57"/>
              <w:jc w:val="center"/>
              <w:rPr>
                <w:lang w:eastAsia="zh-CN"/>
              </w:rPr>
            </w:pPr>
          </w:p>
        </w:tc>
        <w:tc>
          <w:tcPr>
            <w:tcW w:w="763" w:type="dxa"/>
            <w:tcBorders>
              <w:bottom w:val="single" w:sz="6" w:space="0" w:color="auto"/>
              <w:right w:val="single" w:sz="6" w:space="0" w:color="auto"/>
            </w:tcBorders>
          </w:tcPr>
          <w:p w14:paraId="43666EAB" w14:textId="77777777" w:rsidR="006F5FEB" w:rsidRPr="000E7B00" w:rsidRDefault="006F5FEB" w:rsidP="006F5FEB">
            <w:pPr>
              <w:pStyle w:val="TableText"/>
              <w:framePr w:hSpace="180" w:wrap="around" w:vAnchor="text" w:hAnchor="text" w:y="1"/>
              <w:ind w:left="57" w:right="57"/>
              <w:jc w:val="center"/>
              <w:rPr>
                <w:lang w:eastAsia="zh-CN"/>
              </w:rPr>
            </w:pPr>
          </w:p>
        </w:tc>
      </w:tr>
      <w:tr w:rsidR="006F5FEB" w:rsidRPr="000E7B00" w14:paraId="57F52970" w14:textId="77777777" w:rsidTr="00583835">
        <w:tblPrEx>
          <w:tblCellMar>
            <w:left w:w="108" w:type="dxa"/>
            <w:right w:w="108" w:type="dxa"/>
          </w:tblCellMar>
        </w:tblPrEx>
        <w:trPr>
          <w:cantSplit/>
        </w:trPr>
        <w:tc>
          <w:tcPr>
            <w:tcW w:w="9072" w:type="dxa"/>
            <w:gridSpan w:val="5"/>
          </w:tcPr>
          <w:p w14:paraId="47E70304" w14:textId="77777777" w:rsidR="006F5FEB" w:rsidRDefault="006F5FEB" w:rsidP="006F5FEB">
            <w:pPr>
              <w:pStyle w:val="TableLegend"/>
              <w:framePr w:hSpace="180" w:wrap="around" w:vAnchor="text" w:hAnchor="text" w:y="1"/>
              <w:rPr>
                <w:lang w:eastAsia="zh-CN"/>
              </w:rPr>
            </w:pPr>
            <w:r w:rsidRPr="004C0C72">
              <w:rPr>
                <w:rStyle w:val="StyleTableLegendLatin9ptChar"/>
                <w:rFonts w:hint="eastAsia"/>
                <w:lang w:eastAsia="zh-CN"/>
              </w:rPr>
              <w:t>注</w:t>
            </w:r>
            <w:r w:rsidRPr="004C0C72">
              <w:rPr>
                <w:rStyle w:val="StyleTableLegendLatin9ptChar"/>
                <w:rFonts w:hint="eastAsia"/>
                <w:lang w:eastAsia="zh-CN"/>
              </w:rPr>
              <w:t>1</w:t>
            </w:r>
            <w:r>
              <w:rPr>
                <w:lang w:eastAsia="zh-CN"/>
              </w:rPr>
              <w:t xml:space="preserve"> –</w:t>
            </w:r>
            <w:r w:rsidRPr="004C0C72">
              <w:rPr>
                <w:rStyle w:val="StyleTableLegendLatin9ptChar"/>
                <w:rFonts w:hint="eastAsia"/>
                <w:lang w:eastAsia="zh-CN"/>
              </w:rPr>
              <w:t>《无线电规则》第</w:t>
            </w:r>
            <w:r>
              <w:rPr>
                <w:rFonts w:hint="eastAsia"/>
                <w:b/>
                <w:bCs/>
                <w:sz w:val="18"/>
                <w:lang w:eastAsia="zh-CN"/>
              </w:rPr>
              <w:t>5.171</w:t>
            </w:r>
            <w:r w:rsidRPr="000873EB">
              <w:rPr>
                <w:rFonts w:hint="eastAsia"/>
                <w:bCs/>
                <w:sz w:val="18"/>
                <w:lang w:eastAsia="zh-CN"/>
              </w:rPr>
              <w:t>款</w:t>
            </w:r>
            <w:r w:rsidRPr="004C0C72">
              <w:rPr>
                <w:rStyle w:val="StyleTableLegendLatin9ptChar"/>
                <w:rFonts w:hint="eastAsia"/>
                <w:lang w:eastAsia="zh-CN"/>
              </w:rPr>
              <w:t>所述国家的附加划分限于</w:t>
            </w:r>
            <w:r>
              <w:rPr>
                <w:lang w:eastAsia="zh-CN"/>
              </w:rPr>
              <w:t>54-68</w:t>
            </w:r>
            <w:r w:rsidRPr="004C0C72">
              <w:rPr>
                <w:rStyle w:val="StyleTableLegendLatin9ptChar"/>
                <w:rFonts w:hint="eastAsia"/>
                <w:lang w:eastAsia="zh-CN"/>
              </w:rPr>
              <w:t xml:space="preserve"> MHz</w:t>
            </w:r>
            <w:r w:rsidRPr="004C0C72">
              <w:rPr>
                <w:rStyle w:val="StyleTableLegendLatin9ptChar"/>
                <w:rFonts w:hint="eastAsia"/>
                <w:lang w:eastAsia="zh-CN"/>
              </w:rPr>
              <w:t>频段。</w:t>
            </w:r>
          </w:p>
          <w:p w14:paraId="046B98E8" w14:textId="77777777" w:rsidR="006F5FEB" w:rsidRDefault="006F5FEB" w:rsidP="006F5FEB">
            <w:pPr>
              <w:pStyle w:val="TableLegend"/>
              <w:framePr w:hSpace="180" w:wrap="around" w:vAnchor="text" w:hAnchor="text" w:y="1"/>
              <w:rPr>
                <w:lang w:eastAsia="zh-CN"/>
              </w:rPr>
            </w:pPr>
            <w:r w:rsidRPr="004C0C72">
              <w:rPr>
                <w:rStyle w:val="StyleTableLegendLatin9ptChar"/>
                <w:rFonts w:hint="eastAsia"/>
                <w:lang w:eastAsia="zh-CN"/>
              </w:rPr>
              <w:t>注</w:t>
            </w:r>
            <w:r w:rsidRPr="004C0C72">
              <w:rPr>
                <w:rStyle w:val="StyleTableLegendLatin9ptChar"/>
                <w:rFonts w:hint="eastAsia"/>
                <w:lang w:eastAsia="zh-CN"/>
              </w:rPr>
              <w:t>2</w:t>
            </w:r>
            <w:r w:rsidRPr="004C0C72">
              <w:rPr>
                <w:rStyle w:val="StyleTableLegendLatin9ptChar"/>
                <w:lang w:eastAsia="zh-CN"/>
              </w:rPr>
              <w:t xml:space="preserve"> </w:t>
            </w:r>
            <w:r w:rsidRPr="004C0C72">
              <w:rPr>
                <w:rStyle w:val="StyleTableLegendLatin9ptChar"/>
                <w:lang w:val="en-US" w:eastAsia="zh-CN"/>
              </w:rPr>
              <w:t>–</w:t>
            </w:r>
            <w:r w:rsidRPr="004C0C72">
              <w:rPr>
                <w:rStyle w:val="StyleTableLegendLatin9ptChar"/>
                <w:lang w:eastAsia="zh-CN"/>
              </w:rPr>
              <w:t xml:space="preserve"> </w:t>
            </w:r>
            <w:r w:rsidRPr="004C0C72">
              <w:rPr>
                <w:rStyle w:val="StyleTableLegendLatin9ptChar"/>
                <w:rFonts w:hint="eastAsia"/>
                <w:lang w:eastAsia="zh-CN"/>
              </w:rPr>
              <w:t>在</w:t>
            </w:r>
            <w:r w:rsidRPr="004C0C72">
              <w:rPr>
                <w:rStyle w:val="StyleTableLegendLatin9ptChar"/>
                <w:rFonts w:hint="eastAsia"/>
                <w:lang w:eastAsia="zh-CN"/>
              </w:rPr>
              <w:t>230-238 MHz</w:t>
            </w:r>
            <w:r w:rsidRPr="004C0C72">
              <w:rPr>
                <w:rStyle w:val="StyleTableLegendLatin9ptChar"/>
                <w:rFonts w:hint="eastAsia"/>
                <w:lang w:eastAsia="zh-CN"/>
              </w:rPr>
              <w:t>和</w:t>
            </w:r>
            <w:r w:rsidRPr="004C0C72">
              <w:rPr>
                <w:rStyle w:val="StyleTableLegendLatin9ptChar"/>
                <w:rFonts w:hint="eastAsia"/>
                <w:lang w:eastAsia="zh-CN"/>
              </w:rPr>
              <w:t>246-254 MHz</w:t>
            </w:r>
            <w:r w:rsidRPr="004C0C72">
              <w:rPr>
                <w:rStyle w:val="StyleTableLegendLatin9ptChar"/>
                <w:rFonts w:hint="eastAsia"/>
                <w:lang w:eastAsia="zh-CN"/>
              </w:rPr>
              <w:t>频段，根据该协议第</w:t>
            </w:r>
            <w:r w:rsidRPr="004C0C72">
              <w:rPr>
                <w:rStyle w:val="StyleTableLegendLatin9ptChar"/>
                <w:rFonts w:hint="eastAsia"/>
                <w:lang w:eastAsia="zh-CN"/>
              </w:rPr>
              <w:t>5.2</w:t>
            </w:r>
            <w:r w:rsidRPr="004C0C72">
              <w:rPr>
                <w:rStyle w:val="StyleTableLegendLatin9ptChar"/>
                <w:rFonts w:hint="eastAsia"/>
                <w:lang w:eastAsia="zh-CN"/>
              </w:rPr>
              <w:t>段进行的审查，只考虑根据第</w:t>
            </w:r>
            <w:r w:rsidRPr="004C0C72">
              <w:rPr>
                <w:rStyle w:val="StyleTableLegendLatin9ptChar"/>
                <w:rFonts w:hint="eastAsia"/>
                <w:lang w:eastAsia="zh-CN"/>
              </w:rPr>
              <w:t>1</w:t>
            </w:r>
            <w:r w:rsidRPr="004C0C72">
              <w:rPr>
                <w:rStyle w:val="StyleTableLegendLatin9ptChar"/>
                <w:rFonts w:hint="eastAsia"/>
                <w:lang w:eastAsia="zh-CN"/>
              </w:rPr>
              <w:t>号决议</w:t>
            </w:r>
            <w:r>
              <w:rPr>
                <w:rStyle w:val="StyleTableLegendLatin9ptChar"/>
                <w:lang w:eastAsia="zh-CN"/>
              </w:rPr>
              <w:br/>
            </w:r>
            <w:r w:rsidRPr="004C0C72">
              <w:rPr>
                <w:rStyle w:val="StyleTableLegendLatin9ptChar"/>
                <w:rFonts w:hint="eastAsia"/>
                <w:lang w:eastAsia="zh-CN"/>
              </w:rPr>
              <w:t>（</w:t>
            </w:r>
            <w:r w:rsidRPr="004C0C72">
              <w:rPr>
                <w:rStyle w:val="StyleTableLegendLatin9ptChar"/>
                <w:rFonts w:hint="eastAsia"/>
                <w:lang w:eastAsia="zh-CN"/>
              </w:rPr>
              <w:t>GE89</w:t>
            </w:r>
            <w:r w:rsidRPr="004C0C72">
              <w:rPr>
                <w:rStyle w:val="StyleTableLegendLatin9ptChar"/>
                <w:rFonts w:hint="eastAsia"/>
                <w:lang w:eastAsia="zh-CN"/>
              </w:rPr>
              <w:t>）和第</w:t>
            </w:r>
            <w:r w:rsidRPr="005735E4">
              <w:rPr>
                <w:rFonts w:hint="eastAsia"/>
                <w:b/>
                <w:bCs/>
                <w:sz w:val="18"/>
                <w:lang w:eastAsia="zh-CN"/>
              </w:rPr>
              <w:t>5.252</w:t>
            </w:r>
            <w:r w:rsidRPr="004C0C72">
              <w:rPr>
                <w:rStyle w:val="StyleTableLegendLatin9ptChar"/>
                <w:rFonts w:hint="eastAsia"/>
                <w:lang w:eastAsia="zh-CN"/>
              </w:rPr>
              <w:t>款的要求，应用第</w:t>
            </w:r>
            <w:r w:rsidRPr="005735E4">
              <w:rPr>
                <w:rFonts w:hint="eastAsia"/>
                <w:b/>
                <w:bCs/>
                <w:sz w:val="18"/>
                <w:lang w:eastAsia="zh-CN"/>
              </w:rPr>
              <w:t>9.21</w:t>
            </w:r>
            <w:r w:rsidRPr="004C0C72">
              <w:rPr>
                <w:rStyle w:val="StyleTableLegendLatin9ptChar"/>
                <w:rFonts w:hint="eastAsia"/>
                <w:lang w:eastAsia="zh-CN"/>
              </w:rPr>
              <w:t>款成功进入规划的广播业务的频率指配。</w:t>
            </w:r>
          </w:p>
          <w:p w14:paraId="2ED5B7B3" w14:textId="77777777" w:rsidR="006F5FEB" w:rsidRPr="000E7B00" w:rsidRDefault="006F5FEB" w:rsidP="006F5FEB">
            <w:pPr>
              <w:pStyle w:val="TableLegend"/>
              <w:framePr w:hSpace="180" w:wrap="around" w:vAnchor="text" w:hAnchor="text" w:y="1"/>
              <w:rPr>
                <w:lang w:eastAsia="zh-CN"/>
              </w:rPr>
            </w:pPr>
            <w:r w:rsidRPr="004C0C72">
              <w:rPr>
                <w:rStyle w:val="StyleTableLegendLatin9ptChar"/>
                <w:rFonts w:hint="eastAsia"/>
                <w:lang w:eastAsia="zh-CN"/>
              </w:rPr>
              <w:t>注</w:t>
            </w:r>
            <w:r w:rsidRPr="004C0C72">
              <w:rPr>
                <w:rStyle w:val="StyleTableLegendLatin9ptChar"/>
                <w:rFonts w:hint="eastAsia"/>
                <w:lang w:eastAsia="zh-CN"/>
              </w:rPr>
              <w:t>3</w:t>
            </w:r>
            <w:r w:rsidRPr="004C0C72">
              <w:rPr>
                <w:rStyle w:val="StyleTableLegendLatin9ptChar"/>
                <w:lang w:eastAsia="zh-CN"/>
              </w:rPr>
              <w:t xml:space="preserve"> – </w:t>
            </w:r>
            <w:r w:rsidRPr="004C0C72">
              <w:rPr>
                <w:rStyle w:val="StyleTableLegendLatin9ptChar"/>
                <w:rFonts w:hint="eastAsia"/>
                <w:lang w:eastAsia="zh-CN"/>
              </w:rPr>
              <w:t>由于《无线电规则》第</w:t>
            </w:r>
            <w:r>
              <w:rPr>
                <w:rFonts w:hint="eastAsia"/>
                <w:b/>
                <w:bCs/>
                <w:sz w:val="18"/>
                <w:lang w:eastAsia="zh-CN"/>
              </w:rPr>
              <w:t>5.247</w:t>
            </w:r>
            <w:r w:rsidRPr="000873EB">
              <w:rPr>
                <w:rFonts w:hint="eastAsia"/>
                <w:bCs/>
                <w:sz w:val="18"/>
                <w:lang w:eastAsia="zh-CN"/>
              </w:rPr>
              <w:t>款</w:t>
            </w:r>
            <w:r w:rsidRPr="004C0C72">
              <w:rPr>
                <w:rStyle w:val="StyleTableLegendLatin9ptChar"/>
                <w:rFonts w:hint="eastAsia"/>
                <w:lang w:eastAsia="zh-CN"/>
              </w:rPr>
              <w:t>所述国家的附加划分限于</w:t>
            </w:r>
            <w:r w:rsidRPr="004C0C72">
              <w:rPr>
                <w:rStyle w:val="StyleTableLegendLatin9ptChar"/>
                <w:rFonts w:hint="eastAsia"/>
                <w:lang w:eastAsia="zh-CN"/>
              </w:rPr>
              <w:t>223-235 MHz</w:t>
            </w:r>
            <w:r w:rsidRPr="004C0C72">
              <w:rPr>
                <w:rStyle w:val="StyleTableLegendLatin9ptChar"/>
                <w:rFonts w:hint="eastAsia"/>
                <w:lang w:eastAsia="zh-CN"/>
              </w:rPr>
              <w:t>频段，因此</w:t>
            </w:r>
            <w:r w:rsidRPr="004C0C72">
              <w:rPr>
                <w:rStyle w:val="StyleTableLegendLatin9ptChar"/>
                <w:rFonts w:hint="eastAsia"/>
                <w:lang w:eastAsia="zh-CN"/>
              </w:rPr>
              <w:t>GE89</w:t>
            </w:r>
            <w:r w:rsidRPr="004C0C72">
              <w:rPr>
                <w:rStyle w:val="StyleTableLegendLatin9ptChar"/>
                <w:rFonts w:hint="eastAsia"/>
                <w:lang w:eastAsia="zh-CN"/>
              </w:rPr>
              <w:t>协议第</w:t>
            </w:r>
            <w:r w:rsidRPr="004C0C72">
              <w:rPr>
                <w:rStyle w:val="StyleTableLegendLatin9ptChar"/>
                <w:rFonts w:hint="eastAsia"/>
                <w:lang w:eastAsia="zh-CN"/>
              </w:rPr>
              <w:t>5</w:t>
            </w:r>
            <w:r w:rsidRPr="004C0C72">
              <w:rPr>
                <w:rStyle w:val="StyleTableLegendLatin9ptChar"/>
                <w:rFonts w:hint="eastAsia"/>
                <w:lang w:eastAsia="zh-CN"/>
              </w:rPr>
              <w:t>条第</w:t>
            </w:r>
            <w:r w:rsidRPr="004C0C72">
              <w:rPr>
                <w:rStyle w:val="StyleTableLegendLatin9ptChar"/>
                <w:rFonts w:hint="eastAsia"/>
                <w:lang w:eastAsia="zh-CN"/>
              </w:rPr>
              <w:t>5.2</w:t>
            </w:r>
            <w:r w:rsidRPr="004C0C72">
              <w:rPr>
                <w:rStyle w:val="StyleTableLegendLatin9ptChar"/>
                <w:rFonts w:hint="eastAsia"/>
                <w:lang w:eastAsia="zh-CN"/>
              </w:rPr>
              <w:t>段规定的程序仅适用于</w:t>
            </w:r>
            <w:r w:rsidRPr="004C0C72">
              <w:rPr>
                <w:rStyle w:val="StyleTableLegendLatin9ptChar"/>
                <w:rFonts w:hint="eastAsia"/>
                <w:lang w:eastAsia="zh-CN"/>
              </w:rPr>
              <w:t>230-235MHz</w:t>
            </w:r>
            <w:r w:rsidRPr="004C0C72">
              <w:rPr>
                <w:rStyle w:val="StyleTableLegendLatin9ptChar"/>
                <w:rFonts w:hint="eastAsia"/>
                <w:lang w:eastAsia="zh-CN"/>
              </w:rPr>
              <w:t>频段。</w:t>
            </w:r>
          </w:p>
        </w:tc>
      </w:tr>
    </w:tbl>
    <w:p w14:paraId="73439E9A" w14:textId="77777777" w:rsidR="0030196F" w:rsidRDefault="0030196F" w:rsidP="004C0C72">
      <w:pPr>
        <w:rPr>
          <w:lang w:eastAsia="zh-CN"/>
        </w:rPr>
      </w:pPr>
    </w:p>
    <w:p w14:paraId="04286FE3" w14:textId="77777777" w:rsidR="00F529D2" w:rsidRDefault="00F529D2" w:rsidP="004C0C72">
      <w:pPr>
        <w:rPr>
          <w:lang w:eastAsia="zh-CN"/>
        </w:rPr>
      </w:pPr>
    </w:p>
    <w:p w14:paraId="1E590759" w14:textId="77777777" w:rsidR="00F529D2" w:rsidRDefault="00F529D2" w:rsidP="004C0C72">
      <w:pPr>
        <w:rPr>
          <w:lang w:eastAsia="zh-CN"/>
        </w:rPr>
      </w:pPr>
    </w:p>
    <w:p w14:paraId="587B976E" w14:textId="77777777" w:rsidR="00F529D2" w:rsidRDefault="00F529D2" w:rsidP="004C0C72">
      <w:pPr>
        <w:rPr>
          <w:lang w:eastAsia="zh-CN"/>
        </w:rPr>
      </w:pPr>
    </w:p>
    <w:p w14:paraId="186D3659" w14:textId="77777777" w:rsidR="00F529D2" w:rsidRDefault="00F529D2" w:rsidP="004C0C72">
      <w:pPr>
        <w:rPr>
          <w:lang w:eastAsia="zh-CN"/>
        </w:rPr>
      </w:pPr>
    </w:p>
    <w:p w14:paraId="30CAB093" w14:textId="77777777" w:rsidR="00F529D2" w:rsidRDefault="00F529D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6AE4D2BD" w14:textId="77777777" w:rsidR="00D93A7B" w:rsidRDefault="0057329B" w:rsidP="004C0C72">
      <w:pPr>
        <w:rPr>
          <w:lang w:val="en-US" w:eastAsia="zh-CN"/>
        </w:rPr>
      </w:pPr>
      <w:r>
        <w:rPr>
          <w:rFonts w:hint="eastAsia"/>
          <w:lang w:eastAsia="zh-CN"/>
        </w:rPr>
        <w:lastRenderedPageBreak/>
        <w:t>4</w:t>
      </w:r>
      <w:r w:rsidR="00D93A7B">
        <w:rPr>
          <w:rFonts w:hint="eastAsia"/>
          <w:lang w:eastAsia="zh-CN"/>
        </w:rPr>
        <w:t>.2</w:t>
      </w:r>
      <w:r w:rsidR="00D93A7B">
        <w:rPr>
          <w:rFonts w:hint="eastAsia"/>
          <w:lang w:eastAsia="zh-CN"/>
        </w:rPr>
        <w:tab/>
      </w:r>
      <w:r w:rsidR="00D93A7B">
        <w:rPr>
          <w:rFonts w:hint="eastAsia"/>
          <w:lang w:eastAsia="zh-CN"/>
        </w:rPr>
        <w:t>根据《无线电规则》第</w:t>
      </w:r>
      <w:r w:rsidR="00D93A7B">
        <w:rPr>
          <w:rFonts w:hint="eastAsia"/>
          <w:b/>
          <w:bCs/>
          <w:lang w:eastAsia="zh-CN"/>
        </w:rPr>
        <w:t>5.251</w:t>
      </w:r>
      <w:r w:rsidR="00D93A7B">
        <w:rPr>
          <w:rFonts w:hint="eastAsia"/>
          <w:lang w:eastAsia="zh-CN"/>
        </w:rPr>
        <w:t>款划分的尼日利亚的航空无线电导航业务的频率指配通知，不按照</w:t>
      </w:r>
      <w:r>
        <w:rPr>
          <w:rFonts w:hint="eastAsia"/>
          <w:lang w:eastAsia="zh-CN"/>
        </w:rPr>
        <w:t>该</w:t>
      </w:r>
      <w:r w:rsidR="00D93A7B">
        <w:rPr>
          <w:rFonts w:hint="eastAsia"/>
          <w:lang w:eastAsia="zh-CN"/>
        </w:rPr>
        <w:t>协议第</w:t>
      </w:r>
      <w:r w:rsidR="00D93A7B">
        <w:rPr>
          <w:rFonts w:hint="eastAsia"/>
          <w:lang w:eastAsia="zh-CN"/>
        </w:rPr>
        <w:t>5</w:t>
      </w:r>
      <w:r w:rsidR="00D93A7B">
        <w:rPr>
          <w:rFonts w:hint="eastAsia"/>
          <w:lang w:eastAsia="zh-CN"/>
        </w:rPr>
        <w:t>条第</w:t>
      </w:r>
      <w:r w:rsidR="00D93A7B">
        <w:rPr>
          <w:rFonts w:hint="eastAsia"/>
          <w:lang w:eastAsia="zh-CN"/>
        </w:rPr>
        <w:t>5.2</w:t>
      </w:r>
      <w:r w:rsidR="00D93A7B">
        <w:rPr>
          <w:rFonts w:hint="eastAsia"/>
          <w:lang w:eastAsia="zh-CN"/>
        </w:rPr>
        <w:t>段的程序审查，</w:t>
      </w:r>
      <w:r>
        <w:rPr>
          <w:rFonts w:hint="eastAsia"/>
          <w:lang w:eastAsia="zh-CN"/>
        </w:rPr>
        <w:t>而</w:t>
      </w:r>
      <w:r w:rsidR="00D93A7B">
        <w:rPr>
          <w:rFonts w:hint="eastAsia"/>
          <w:lang w:eastAsia="zh-CN"/>
        </w:rPr>
        <w:t>按照《无线电规则》第</w:t>
      </w:r>
      <w:r w:rsidR="00D93A7B">
        <w:rPr>
          <w:rFonts w:hint="eastAsia"/>
          <w:b/>
          <w:bCs/>
          <w:lang w:eastAsia="zh-CN"/>
        </w:rPr>
        <w:t>9.21</w:t>
      </w:r>
      <w:r>
        <w:rPr>
          <w:rFonts w:hint="eastAsia"/>
          <w:lang w:eastAsia="zh-CN"/>
        </w:rPr>
        <w:t>款</w:t>
      </w:r>
      <w:r w:rsidR="00D93A7B">
        <w:rPr>
          <w:rFonts w:hint="eastAsia"/>
          <w:lang w:eastAsia="zh-CN"/>
        </w:rPr>
        <w:t>的程序进行审查。</w:t>
      </w:r>
    </w:p>
    <w:p w14:paraId="6775869B" w14:textId="77777777" w:rsidR="00D93A7B" w:rsidRDefault="0057329B" w:rsidP="004C0C72">
      <w:pPr>
        <w:rPr>
          <w:lang w:eastAsia="zh-CN"/>
        </w:rPr>
      </w:pPr>
      <w:r>
        <w:rPr>
          <w:rFonts w:hint="eastAsia"/>
          <w:lang w:eastAsia="zh-CN"/>
        </w:rPr>
        <w:t>4</w:t>
      </w:r>
      <w:r w:rsidR="00D93A7B">
        <w:rPr>
          <w:rFonts w:hint="eastAsia"/>
          <w:lang w:eastAsia="zh-CN"/>
        </w:rPr>
        <w:t>.3</w:t>
      </w:r>
      <w:r w:rsidR="00D93A7B">
        <w:rPr>
          <w:rFonts w:hint="eastAsia"/>
          <w:lang w:eastAsia="zh-CN"/>
        </w:rPr>
        <w:tab/>
      </w:r>
      <w:r w:rsidR="00D93A7B">
        <w:rPr>
          <w:rFonts w:hint="eastAsia"/>
          <w:lang w:eastAsia="zh-CN"/>
        </w:rPr>
        <w:t>第</w:t>
      </w:r>
      <w:r w:rsidR="00D93A7B">
        <w:rPr>
          <w:rFonts w:hint="eastAsia"/>
          <w:b/>
          <w:bCs/>
          <w:lang w:eastAsia="zh-CN"/>
        </w:rPr>
        <w:t>5.164</w:t>
      </w:r>
      <w:r w:rsidR="00D93A7B" w:rsidRPr="00DD27C4">
        <w:rPr>
          <w:rFonts w:hint="eastAsia"/>
          <w:bCs/>
          <w:lang w:eastAsia="zh-CN"/>
        </w:rPr>
        <w:t>款</w:t>
      </w:r>
      <w:r>
        <w:rPr>
          <w:rFonts w:hint="eastAsia"/>
          <w:bCs/>
          <w:lang w:eastAsia="zh-CN"/>
        </w:rPr>
        <w:t>所述</w:t>
      </w:r>
      <w:r w:rsidR="00D93A7B">
        <w:rPr>
          <w:rFonts w:hint="eastAsia"/>
          <w:lang w:eastAsia="zh-CN"/>
        </w:rPr>
        <w:t>国家的</w:t>
      </w:r>
      <w:r>
        <w:rPr>
          <w:rFonts w:hint="eastAsia"/>
          <w:lang w:eastAsia="zh-CN"/>
        </w:rPr>
        <w:t>陆地移动业务</w:t>
      </w:r>
      <w:r w:rsidR="00D93A7B">
        <w:rPr>
          <w:rFonts w:hint="eastAsia"/>
          <w:lang w:eastAsia="zh-CN"/>
        </w:rPr>
        <w:t>频率指配通知，不</w:t>
      </w:r>
      <w:r>
        <w:rPr>
          <w:rFonts w:hint="eastAsia"/>
          <w:lang w:eastAsia="zh-CN"/>
        </w:rPr>
        <w:t>按照本协议</w:t>
      </w:r>
      <w:r w:rsidR="00D93A7B">
        <w:rPr>
          <w:rFonts w:hint="eastAsia"/>
          <w:lang w:eastAsia="zh-CN"/>
        </w:rPr>
        <w:t>第</w:t>
      </w:r>
      <w:r w:rsidR="00D93A7B">
        <w:rPr>
          <w:rFonts w:hint="eastAsia"/>
          <w:lang w:eastAsia="zh-CN"/>
        </w:rPr>
        <w:t>5</w:t>
      </w:r>
      <w:r w:rsidR="00D93A7B">
        <w:rPr>
          <w:rFonts w:hint="eastAsia"/>
          <w:lang w:eastAsia="zh-CN"/>
        </w:rPr>
        <w:t>条</w:t>
      </w:r>
      <w:r w:rsidR="00D93A7B">
        <w:rPr>
          <w:rFonts w:hint="eastAsia"/>
          <w:lang w:eastAsia="zh-CN"/>
        </w:rPr>
        <w:t>5.2</w:t>
      </w:r>
      <w:r w:rsidR="00D93A7B">
        <w:rPr>
          <w:rFonts w:hint="eastAsia"/>
          <w:lang w:eastAsia="zh-CN"/>
        </w:rPr>
        <w:t>段的</w:t>
      </w:r>
      <w:r>
        <w:rPr>
          <w:rFonts w:hint="eastAsia"/>
          <w:lang w:eastAsia="zh-CN"/>
        </w:rPr>
        <w:t>程序</w:t>
      </w:r>
      <w:r w:rsidR="00D93A7B">
        <w:rPr>
          <w:rFonts w:hint="eastAsia"/>
          <w:lang w:eastAsia="zh-CN"/>
        </w:rPr>
        <w:t>进行审查，</w:t>
      </w:r>
      <w:r>
        <w:rPr>
          <w:rFonts w:hint="eastAsia"/>
          <w:lang w:eastAsia="zh-CN"/>
        </w:rPr>
        <w:t>因为</w:t>
      </w:r>
      <w:r w:rsidR="00D93A7B">
        <w:rPr>
          <w:rFonts w:hint="eastAsia"/>
          <w:lang w:eastAsia="zh-CN"/>
        </w:rPr>
        <w:t>这些指配</w:t>
      </w:r>
      <w:r>
        <w:rPr>
          <w:rFonts w:hint="eastAsia"/>
          <w:lang w:eastAsia="zh-CN"/>
        </w:rPr>
        <w:t>既不能</w:t>
      </w:r>
      <w:r w:rsidR="00D93A7B">
        <w:rPr>
          <w:rFonts w:hint="eastAsia"/>
          <w:lang w:eastAsia="zh-CN"/>
        </w:rPr>
        <w:t>对广播业务</w:t>
      </w:r>
      <w:r>
        <w:rPr>
          <w:rFonts w:hint="eastAsia"/>
          <w:lang w:eastAsia="zh-CN"/>
        </w:rPr>
        <w:t>造成</w:t>
      </w:r>
      <w:r w:rsidR="00D93A7B">
        <w:rPr>
          <w:rFonts w:hint="eastAsia"/>
          <w:lang w:eastAsia="zh-CN"/>
        </w:rPr>
        <w:t>有害干扰</w:t>
      </w:r>
      <w:r>
        <w:rPr>
          <w:rFonts w:hint="eastAsia"/>
          <w:lang w:eastAsia="zh-CN"/>
        </w:rPr>
        <w:t>，亦</w:t>
      </w:r>
      <w:r w:rsidR="00D93A7B">
        <w:rPr>
          <w:rFonts w:hint="eastAsia"/>
          <w:lang w:eastAsia="zh-CN"/>
        </w:rPr>
        <w:t>不</w:t>
      </w:r>
      <w:r>
        <w:rPr>
          <w:rFonts w:hint="eastAsia"/>
          <w:lang w:eastAsia="zh-CN"/>
        </w:rPr>
        <w:t>得</w:t>
      </w:r>
      <w:r w:rsidR="00D93A7B">
        <w:rPr>
          <w:rFonts w:hint="eastAsia"/>
          <w:lang w:eastAsia="zh-CN"/>
        </w:rPr>
        <w:t>要求广播业务</w:t>
      </w:r>
      <w:r>
        <w:rPr>
          <w:rFonts w:hint="eastAsia"/>
          <w:lang w:eastAsia="zh-CN"/>
        </w:rPr>
        <w:t>对其予以</w:t>
      </w:r>
      <w:r w:rsidR="00D93A7B">
        <w:rPr>
          <w:rFonts w:hint="eastAsia"/>
          <w:lang w:eastAsia="zh-CN"/>
        </w:rPr>
        <w:t>保护，因此，</w:t>
      </w:r>
      <w:r>
        <w:rPr>
          <w:rFonts w:hint="eastAsia"/>
          <w:lang w:eastAsia="zh-CN"/>
        </w:rPr>
        <w:t>将</w:t>
      </w:r>
      <w:r w:rsidR="00D93A7B">
        <w:rPr>
          <w:rFonts w:hint="eastAsia"/>
          <w:lang w:eastAsia="zh-CN"/>
        </w:rPr>
        <w:t>按照与广播业务有关的第</w:t>
      </w:r>
      <w:r w:rsidR="00D93A7B">
        <w:rPr>
          <w:rFonts w:hint="eastAsia"/>
          <w:b/>
          <w:bCs/>
          <w:lang w:eastAsia="zh-CN"/>
        </w:rPr>
        <w:t>5.43</w:t>
      </w:r>
      <w:r w:rsidR="00D93A7B">
        <w:rPr>
          <w:rFonts w:hint="eastAsia"/>
          <w:lang w:eastAsia="zh-CN"/>
        </w:rPr>
        <w:t>款（在</w:t>
      </w:r>
      <w:r w:rsidR="00D93A7B">
        <w:rPr>
          <w:rFonts w:hint="eastAsia"/>
          <w:lang w:eastAsia="zh-CN"/>
        </w:rPr>
        <w:t>13B2</w:t>
      </w:r>
      <w:r w:rsidR="00D93A7B">
        <w:rPr>
          <w:rFonts w:hint="eastAsia"/>
          <w:lang w:eastAsia="zh-CN"/>
        </w:rPr>
        <w:t>栏用符号</w:t>
      </w:r>
      <w:r w:rsidR="00D93A7B">
        <w:rPr>
          <w:rFonts w:hint="eastAsia"/>
          <w:lang w:eastAsia="zh-CN"/>
        </w:rPr>
        <w:t>R</w:t>
      </w:r>
      <w:r w:rsidR="00D93A7B">
        <w:rPr>
          <w:rFonts w:hint="eastAsia"/>
          <w:lang w:eastAsia="zh-CN"/>
        </w:rPr>
        <w:t>标记）</w:t>
      </w:r>
      <w:r w:rsidR="00AE0A93">
        <w:rPr>
          <w:rFonts w:hint="eastAsia"/>
          <w:lang w:eastAsia="zh-CN"/>
        </w:rPr>
        <w:t>和</w:t>
      </w:r>
      <w:r>
        <w:rPr>
          <w:rFonts w:hint="eastAsia"/>
          <w:lang w:eastAsia="zh-CN"/>
        </w:rPr>
        <w:t>条件将其</w:t>
      </w:r>
      <w:r w:rsidR="00D93A7B">
        <w:rPr>
          <w:rFonts w:hint="eastAsia"/>
          <w:lang w:eastAsia="zh-CN"/>
        </w:rPr>
        <w:t>登入频率总表。</w:t>
      </w:r>
    </w:p>
    <w:p w14:paraId="22B9E285" w14:textId="77777777" w:rsidR="00D93A7B" w:rsidRPr="004C0C72" w:rsidRDefault="00D93A7B" w:rsidP="004C0C72">
      <w:pPr>
        <w:rPr>
          <w:lang w:eastAsia="zh-CN"/>
        </w:rPr>
      </w:pPr>
    </w:p>
    <w:p w14:paraId="5033C59B" w14:textId="77777777" w:rsidR="0057329B" w:rsidRDefault="0057329B">
      <w:pPr>
        <w:jc w:val="center"/>
        <w:rPr>
          <w:lang w:eastAsia="zh-CN"/>
        </w:rPr>
      </w:pPr>
      <w:r>
        <w:rPr>
          <w:lang w:eastAsia="zh-CN"/>
        </w:rPr>
        <w:t>______________</w:t>
      </w:r>
    </w:p>
    <w:p w14:paraId="6D30BB79" w14:textId="77777777" w:rsidR="00673E67" w:rsidRDefault="00673E67">
      <w:pPr>
        <w:pStyle w:val="MEP"/>
        <w:rPr>
          <w:lang w:eastAsia="zh-CN"/>
        </w:rPr>
      </w:pPr>
    </w:p>
    <w:p w14:paraId="01950DF1" w14:textId="77777777" w:rsidR="00673E67" w:rsidRDefault="00673E67">
      <w:pPr>
        <w:pStyle w:val="MEP"/>
        <w:rPr>
          <w:lang w:val="en-US" w:eastAsia="zh-CN"/>
        </w:rPr>
      </w:pPr>
    </w:p>
    <w:p w14:paraId="4E448920" w14:textId="77777777" w:rsidR="00673E67" w:rsidRDefault="00673E67">
      <w:pPr>
        <w:pStyle w:val="MEP"/>
        <w:rPr>
          <w:lang w:val="en-US" w:eastAsia="zh-CN"/>
        </w:rPr>
      </w:pPr>
    </w:p>
    <w:p w14:paraId="364D81C5" w14:textId="77777777" w:rsidR="00673E67" w:rsidRDefault="00673E67">
      <w:pPr>
        <w:pStyle w:val="MEP"/>
        <w:rPr>
          <w:lang w:val="en-US" w:eastAsia="zh-CN"/>
        </w:rPr>
      </w:pPr>
    </w:p>
    <w:p w14:paraId="56782C25" w14:textId="77777777" w:rsidR="00673E67" w:rsidRDefault="00673E67">
      <w:pPr>
        <w:pStyle w:val="MEP"/>
        <w:rPr>
          <w:lang w:val="en-US" w:eastAsia="zh-CN"/>
        </w:rPr>
      </w:pPr>
    </w:p>
    <w:p w14:paraId="5B426F84" w14:textId="77777777" w:rsidR="00673E67" w:rsidRDefault="00673E67">
      <w:pPr>
        <w:pStyle w:val="MEP"/>
        <w:rPr>
          <w:lang w:val="en-US" w:eastAsia="zh-CN"/>
        </w:rPr>
      </w:pPr>
    </w:p>
    <w:p w14:paraId="1EBD0042" w14:textId="77777777" w:rsidR="00673E67" w:rsidRDefault="00673E67">
      <w:pPr>
        <w:pStyle w:val="MEP"/>
        <w:rPr>
          <w:lang w:val="en-US" w:eastAsia="zh-CN"/>
        </w:rPr>
      </w:pPr>
    </w:p>
    <w:p w14:paraId="53BFADA1" w14:textId="77777777" w:rsidR="00673E67" w:rsidRDefault="00673E67">
      <w:pPr>
        <w:pStyle w:val="MEP"/>
        <w:rPr>
          <w:lang w:val="en-US" w:eastAsia="zh-CN"/>
        </w:rPr>
      </w:pPr>
    </w:p>
    <w:p w14:paraId="7B74E887" w14:textId="77777777" w:rsidR="00673E67" w:rsidRDefault="00673E67">
      <w:pPr>
        <w:pStyle w:val="MEP"/>
        <w:rPr>
          <w:lang w:val="en-US" w:eastAsia="zh-CN"/>
        </w:rPr>
      </w:pPr>
    </w:p>
    <w:p w14:paraId="4F098A96" w14:textId="77777777" w:rsidR="00673E67" w:rsidRDefault="00673E67">
      <w:pPr>
        <w:pStyle w:val="MEP"/>
        <w:rPr>
          <w:lang w:val="en-US" w:eastAsia="zh-CN"/>
        </w:rPr>
      </w:pPr>
    </w:p>
    <w:p w14:paraId="3C168CF6" w14:textId="77777777" w:rsidR="00673E67" w:rsidRDefault="00673E67">
      <w:pPr>
        <w:pStyle w:val="MEP"/>
        <w:rPr>
          <w:lang w:val="en-US" w:eastAsia="zh-CN"/>
        </w:rPr>
      </w:pPr>
    </w:p>
    <w:p w14:paraId="482A857F" w14:textId="77777777" w:rsidR="00673E67" w:rsidRDefault="00673E67">
      <w:pPr>
        <w:pStyle w:val="MEP"/>
        <w:rPr>
          <w:lang w:val="en-US" w:eastAsia="zh-CN"/>
        </w:rPr>
      </w:pPr>
    </w:p>
    <w:p w14:paraId="22502198" w14:textId="77777777" w:rsidR="00673E67" w:rsidRDefault="00673E67">
      <w:pPr>
        <w:pStyle w:val="MEP"/>
        <w:rPr>
          <w:lang w:val="en-US" w:eastAsia="zh-CN"/>
        </w:rPr>
      </w:pPr>
    </w:p>
    <w:p w14:paraId="7725907E" w14:textId="77777777" w:rsidR="00673E67" w:rsidRDefault="00673E67">
      <w:pPr>
        <w:pStyle w:val="MEP"/>
        <w:rPr>
          <w:lang w:val="en-US" w:eastAsia="zh-CN"/>
        </w:rPr>
      </w:pPr>
    </w:p>
    <w:p w14:paraId="480042C8" w14:textId="77777777" w:rsidR="00087F76" w:rsidRDefault="00087F76">
      <w:pPr>
        <w:rPr>
          <w:lang w:val="en-US" w:eastAsia="zh-CN"/>
        </w:rPr>
        <w:sectPr w:rsidR="00087F76" w:rsidSect="00087F76">
          <w:headerReference w:type="even" r:id="rId7"/>
          <w:headerReference w:type="default" r:id="rId8"/>
          <w:footnotePr>
            <w:pos w:val="beneathText"/>
          </w:footnotePr>
          <w:type w:val="oddPage"/>
          <w:pgSz w:w="11907" w:h="16840" w:code="9"/>
          <w:pgMar w:top="1701" w:right="851" w:bottom="1134" w:left="1985" w:header="720" w:footer="482" w:gutter="0"/>
          <w:cols w:space="720"/>
          <w:vAlign w:val="both"/>
          <w:docGrid w:linePitch="326"/>
        </w:sectPr>
      </w:pPr>
    </w:p>
    <w:p w14:paraId="6876DB84" w14:textId="4CC54BF8" w:rsidR="00673E67" w:rsidRDefault="00673E67">
      <w:pPr>
        <w:rPr>
          <w:lang w:val="en-US" w:eastAsia="zh-CN"/>
        </w:rPr>
      </w:pPr>
    </w:p>
    <w:sectPr w:rsidR="00673E67" w:rsidSect="00087F76">
      <w:headerReference w:type="even" r:id="rId9"/>
      <w:footnotePr>
        <w:pos w:val="beneathText"/>
      </w:footnotePr>
      <w:pgSz w:w="11907" w:h="16840" w:code="9"/>
      <w:pgMar w:top="1701" w:right="851" w:bottom="1134" w:left="1985" w:header="720" w:footer="482" w:gutter="0"/>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417CB3" w14:textId="77777777" w:rsidR="001B5070" w:rsidRDefault="001B5070">
      <w:r>
        <w:separator/>
      </w:r>
    </w:p>
  </w:endnote>
  <w:endnote w:type="continuationSeparator" w:id="0">
    <w:p w14:paraId="4D4954F9" w14:textId="77777777" w:rsidR="001B5070" w:rsidRDefault="001B5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D03524" w14:textId="77777777" w:rsidR="001B5070" w:rsidRDefault="001B5070">
      <w:r>
        <w:rPr>
          <w:b/>
        </w:rPr>
        <w:t>_______________</w:t>
      </w:r>
    </w:p>
  </w:footnote>
  <w:footnote w:type="continuationSeparator" w:id="0">
    <w:p w14:paraId="49B9B8EB" w14:textId="77777777" w:rsidR="001B5070" w:rsidRDefault="001B5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87F76" w14:paraId="04946A79" w14:textId="77777777" w:rsidTr="00087F76">
      <w:trPr>
        <w:cantSplit/>
      </w:trPr>
      <w:tc>
        <w:tcPr>
          <w:tcW w:w="1701" w:type="dxa"/>
          <w:tcBorders>
            <w:top w:val="single" w:sz="6" w:space="0" w:color="auto"/>
            <w:left w:val="single" w:sz="6" w:space="0" w:color="auto"/>
            <w:bottom w:val="single" w:sz="6" w:space="0" w:color="auto"/>
            <w:right w:val="single" w:sz="6" w:space="0" w:color="auto"/>
          </w:tcBorders>
        </w:tcPr>
        <w:p w14:paraId="7E43E9D8" w14:textId="77777777" w:rsidR="00087F76" w:rsidRPr="00D93A7B" w:rsidRDefault="00087F76" w:rsidP="00087F76">
          <w:pPr>
            <w:pStyle w:val="HeaderRegProc"/>
            <w:rPr>
              <w:lang w:eastAsia="zh-CN"/>
            </w:rPr>
          </w:pPr>
          <w:r>
            <w:rPr>
              <w:rFonts w:hint="eastAsia"/>
              <w:lang w:eastAsia="zh-CN"/>
            </w:rPr>
            <w:t xml:space="preserve">A6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E6EFEBB" w14:textId="77777777" w:rsidR="00087F76" w:rsidRDefault="00087F76" w:rsidP="00087F76">
          <w:pPr>
            <w:pStyle w:val="HeaderRegProc"/>
            <w:rPr>
              <w:lang w:val="fr-FR" w:eastAsia="zh-CN"/>
            </w:rPr>
          </w:pPr>
          <w:r>
            <w:rPr>
              <w:rFonts w:hint="eastAsia"/>
              <w:lang w:eastAsia="zh-CN"/>
            </w:rPr>
            <w:t>GE89</w:t>
          </w:r>
        </w:p>
      </w:tc>
      <w:tc>
        <w:tcPr>
          <w:tcW w:w="1701" w:type="dxa"/>
          <w:tcBorders>
            <w:top w:val="single" w:sz="6" w:space="0" w:color="auto"/>
            <w:left w:val="single" w:sz="6" w:space="0" w:color="auto"/>
            <w:bottom w:val="single" w:sz="6" w:space="0" w:color="auto"/>
            <w:right w:val="single" w:sz="6" w:space="0" w:color="auto"/>
          </w:tcBorders>
        </w:tcPr>
        <w:p w14:paraId="532EF7C4" w14:textId="77777777" w:rsidR="00087F76" w:rsidRDefault="00087F76" w:rsidP="00087F76">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BE3FE02" w14:textId="77777777" w:rsidR="00087F76" w:rsidRDefault="00087F76" w:rsidP="00087F76">
          <w:pPr>
            <w:pStyle w:val="HeaderRegProc"/>
            <w:rPr>
              <w:lang w:val="fr-CH" w:eastAsia="zh-CN"/>
            </w:rPr>
          </w:pPr>
          <w:r>
            <w:rPr>
              <w:rFonts w:hint="eastAsia"/>
              <w:lang w:val="fr-CH" w:eastAsia="zh-CN"/>
            </w:rPr>
            <w:t>修订</w:t>
          </w:r>
          <w:r>
            <w:rPr>
              <w:lang w:val="fr-CH" w:eastAsia="zh-CN"/>
            </w:rPr>
            <w:t xml:space="preserve"> -</w:t>
          </w:r>
        </w:p>
      </w:tc>
    </w:tr>
  </w:tbl>
  <w:p w14:paraId="4E8E823F" w14:textId="77777777" w:rsidR="00087F76" w:rsidRDefault="00087F76" w:rsidP="00087F76">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87F76" w14:paraId="1C51840F" w14:textId="77777777" w:rsidTr="001C377A">
      <w:trPr>
        <w:cantSplit/>
        <w:jc w:val="right"/>
      </w:trPr>
      <w:tc>
        <w:tcPr>
          <w:tcW w:w="1701" w:type="dxa"/>
          <w:tcBorders>
            <w:top w:val="single" w:sz="6" w:space="0" w:color="auto"/>
            <w:left w:val="single" w:sz="6" w:space="0" w:color="auto"/>
            <w:bottom w:val="single" w:sz="6" w:space="0" w:color="auto"/>
            <w:right w:val="single" w:sz="6" w:space="0" w:color="auto"/>
          </w:tcBorders>
        </w:tcPr>
        <w:p w14:paraId="44DB74F0" w14:textId="77777777" w:rsidR="00087F76" w:rsidRPr="00D93A7B" w:rsidRDefault="00087F76" w:rsidP="00087F76">
          <w:pPr>
            <w:pStyle w:val="HeaderRegProc"/>
            <w:rPr>
              <w:lang w:eastAsia="zh-CN"/>
            </w:rPr>
          </w:pPr>
          <w:r>
            <w:rPr>
              <w:rFonts w:hint="eastAsia"/>
              <w:lang w:eastAsia="zh-CN"/>
            </w:rPr>
            <w:t xml:space="preserve">A6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221FDA5" w14:textId="77777777" w:rsidR="00087F76" w:rsidRDefault="00087F76" w:rsidP="00087F76">
          <w:pPr>
            <w:pStyle w:val="HeaderRegProc"/>
            <w:rPr>
              <w:lang w:val="fr-FR" w:eastAsia="zh-CN"/>
            </w:rPr>
          </w:pPr>
          <w:r>
            <w:rPr>
              <w:rFonts w:hint="eastAsia"/>
              <w:lang w:eastAsia="zh-CN"/>
            </w:rPr>
            <w:t>GE89</w:t>
          </w:r>
        </w:p>
      </w:tc>
      <w:tc>
        <w:tcPr>
          <w:tcW w:w="1701" w:type="dxa"/>
          <w:tcBorders>
            <w:top w:val="single" w:sz="6" w:space="0" w:color="auto"/>
            <w:left w:val="single" w:sz="6" w:space="0" w:color="auto"/>
            <w:bottom w:val="single" w:sz="6" w:space="0" w:color="auto"/>
            <w:right w:val="single" w:sz="6" w:space="0" w:color="auto"/>
          </w:tcBorders>
        </w:tcPr>
        <w:p w14:paraId="5D0C7057" w14:textId="77777777" w:rsidR="00087F76" w:rsidRDefault="00087F76" w:rsidP="00087F76">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13EABCC" w14:textId="77777777" w:rsidR="00087F76" w:rsidRDefault="00087F76" w:rsidP="00087F76">
          <w:pPr>
            <w:pStyle w:val="HeaderRegProc"/>
            <w:rPr>
              <w:lang w:val="fr-CH" w:eastAsia="zh-CN"/>
            </w:rPr>
          </w:pPr>
          <w:r>
            <w:rPr>
              <w:rFonts w:hint="eastAsia"/>
              <w:lang w:val="fr-CH" w:eastAsia="zh-CN"/>
            </w:rPr>
            <w:t>修订</w:t>
          </w:r>
          <w:r>
            <w:rPr>
              <w:lang w:val="fr-CH" w:eastAsia="zh-CN"/>
            </w:rPr>
            <w:t xml:space="preserve"> -</w:t>
          </w:r>
        </w:p>
      </w:tc>
    </w:tr>
  </w:tbl>
  <w:p w14:paraId="265A5FDE" w14:textId="77777777" w:rsidR="00087F76" w:rsidRDefault="00087F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8176A" w14:textId="77777777" w:rsidR="00087F76" w:rsidRDefault="00087F76" w:rsidP="00087F76">
    <w:pPr>
      <w:pStyle w:val="Header"/>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3E67"/>
    <w:rsid w:val="00051DF5"/>
    <w:rsid w:val="00087F76"/>
    <w:rsid w:val="000B20A5"/>
    <w:rsid w:val="000C5540"/>
    <w:rsid w:val="00112ED9"/>
    <w:rsid w:val="001B5070"/>
    <w:rsid w:val="0025725A"/>
    <w:rsid w:val="002D0C78"/>
    <w:rsid w:val="0030196F"/>
    <w:rsid w:val="004C0C72"/>
    <w:rsid w:val="00506D30"/>
    <w:rsid w:val="0057329B"/>
    <w:rsid w:val="005735E4"/>
    <w:rsid w:val="005B06D3"/>
    <w:rsid w:val="00673E67"/>
    <w:rsid w:val="006F5FEB"/>
    <w:rsid w:val="00727319"/>
    <w:rsid w:val="0075493B"/>
    <w:rsid w:val="008B2EBE"/>
    <w:rsid w:val="00A756C0"/>
    <w:rsid w:val="00A959E9"/>
    <w:rsid w:val="00AE03A8"/>
    <w:rsid w:val="00AE0A93"/>
    <w:rsid w:val="00B9451A"/>
    <w:rsid w:val="00C971C4"/>
    <w:rsid w:val="00CE3D31"/>
    <w:rsid w:val="00D13744"/>
    <w:rsid w:val="00D93A7B"/>
    <w:rsid w:val="00EB0992"/>
    <w:rsid w:val="00F529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B3F6A2"/>
  <w15:docId w15:val="{A0D6130D-D48E-407E-8952-2E282754E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5735E4"/>
    <w:pPr>
      <w:keepNext/>
      <w:keepLines/>
      <w:tabs>
        <w:tab w:val="clear" w:pos="2268"/>
      </w:tabs>
      <w:spacing w:before="600"/>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link w:val="TableLegendChar"/>
    <w:pPr>
      <w:keepNext/>
      <w:tabs>
        <w:tab w:val="left" w:pos="284"/>
        <w:tab w:val="left" w:pos="567"/>
        <w:tab w:val="left" w:pos="851"/>
        <w:tab w:val="left" w:pos="1134"/>
      </w:tabs>
      <w:spacing w:before="120" w:after="0"/>
    </w:pPr>
  </w:style>
  <w:style w:type="paragraph" w:customStyle="1" w:styleId="TableText">
    <w:name w:val="Table_Text"/>
    <w:basedOn w:val="Normal"/>
    <w:link w:val="TableTextChar"/>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
    <w:rsid w:val="00D93A7B"/>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StyleTableLegendLatin9pt">
    <w:name w:val="Style Table_Legend + (Latin) 9 pt"/>
    <w:basedOn w:val="TableLegend"/>
    <w:link w:val="StyleTableLegendLatin9ptChar"/>
    <w:rsid w:val="004C0C72"/>
  </w:style>
  <w:style w:type="character" w:customStyle="1" w:styleId="TableTextChar">
    <w:name w:val="Table_Text Char"/>
    <w:basedOn w:val="DefaultParagraphFont"/>
    <w:link w:val="TableText"/>
    <w:rsid w:val="004C0C72"/>
    <w:rPr>
      <w:rFonts w:eastAsia="SimSun"/>
      <w:lang w:val="en-GB" w:eastAsia="en-US" w:bidi="ar-SA"/>
    </w:rPr>
  </w:style>
  <w:style w:type="character" w:customStyle="1" w:styleId="TableLegendChar">
    <w:name w:val="Table_Legend Char"/>
    <w:basedOn w:val="TableTextChar"/>
    <w:link w:val="TableLegend"/>
    <w:rsid w:val="004C0C72"/>
    <w:rPr>
      <w:rFonts w:eastAsia="SimSun"/>
      <w:lang w:val="en-GB" w:eastAsia="en-US" w:bidi="ar-SA"/>
    </w:rPr>
  </w:style>
  <w:style w:type="character" w:customStyle="1" w:styleId="StyleTableLegendLatin9ptChar">
    <w:name w:val="Style Table_Legend + (Latin) 9 pt Char"/>
    <w:basedOn w:val="TableLegendChar"/>
    <w:link w:val="StyleTableLegendLatin9pt"/>
    <w:rsid w:val="004C0C72"/>
    <w:rPr>
      <w:rFonts w:eastAsia="SimSun"/>
      <w:lang w:val="en-GB" w:eastAsia="en-US" w:bidi="ar-SA"/>
    </w:rPr>
  </w:style>
  <w:style w:type="paragraph" w:customStyle="1" w:styleId="Reasons">
    <w:name w:val="Reasons"/>
    <w:basedOn w:val="Normal"/>
    <w:qFormat/>
    <w:rsid w:val="006F5FEB"/>
    <w:pPr>
      <w:tabs>
        <w:tab w:val="clear" w:pos="1871"/>
        <w:tab w:val="clear" w:pos="2268"/>
        <w:tab w:val="left" w:pos="1588"/>
        <w:tab w:val="left" w:pos="1985"/>
      </w:tabs>
      <w:spacing w:before="120"/>
      <w:jc w:val="lef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8E5CD-D1A0-45BC-9FDD-03671C274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21</TotalTime>
  <Pages>4</Pages>
  <Words>271</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Règles de procédures Edition 2005  Part A6 GE89 du RR</vt:lpstr>
    </vt:vector>
  </TitlesOfParts>
  <Manager>CP   3342  /  CI</Manager>
  <Company>ITU</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A6 GE89 du RR</dc:title>
  <dc:subject>Template</dc:subject>
  <dc:creator>Composition des Publications</dc:creator>
  <cp:keywords>FOLIOS:  1  -  4(bl)</cp:keywords>
  <dc:description>Saisie  formatage  MEP      11.05.2005  / CI_x000d_
Corr.                                  18.05.2005  /  CI_x000d_
2e Corr._x000d_
BAT_x000d_
ULT.</dc:description>
  <cp:lastModifiedBy>Liu, Sanping</cp:lastModifiedBy>
  <cp:revision>11</cp:revision>
  <cp:lastPrinted>2017-05-04T14:52:00Z</cp:lastPrinted>
  <dcterms:created xsi:type="dcterms:W3CDTF">2012-09-06T13:42:00Z</dcterms:created>
  <dcterms:modified xsi:type="dcterms:W3CDTF">2020-12-22T08:15:00Z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