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7DDF4" w14:textId="77777777" w:rsidR="00C85E5E" w:rsidRDefault="00C85E5E" w:rsidP="00C85E5E">
      <w:pPr>
        <w:pStyle w:val="Heading1"/>
        <w:spacing w:before="480"/>
        <w:jc w:val="center"/>
        <w:rPr>
          <w:lang w:eastAsia="zh-CN"/>
        </w:rPr>
      </w:pPr>
      <w:r>
        <w:rPr>
          <w:rFonts w:hint="eastAsia"/>
          <w:lang w:eastAsia="zh-CN"/>
        </w:rPr>
        <w:t>关于《无线电规则》</w:t>
      </w:r>
    </w:p>
    <w:p w14:paraId="4F7AD1C0" w14:textId="22746235" w:rsidR="00C85E5E" w:rsidRDefault="00C85E5E" w:rsidP="00C85E5E">
      <w:pPr>
        <w:pStyle w:val="Heading1"/>
        <w:spacing w:before="480"/>
        <w:jc w:val="center"/>
        <w:rPr>
          <w:lang w:eastAsia="zh-CN"/>
        </w:rPr>
      </w:pPr>
      <w:r>
        <w:rPr>
          <w:rFonts w:hint="eastAsia"/>
          <w:lang w:eastAsia="zh-CN"/>
        </w:rPr>
        <w:t>第</w:t>
      </w: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>条的程序规则</w:t>
      </w:r>
    </w:p>
    <w:p w14:paraId="65E852BC" w14:textId="77777777" w:rsidR="008973EF" w:rsidRPr="008973EF" w:rsidRDefault="008973EF" w:rsidP="008973EF">
      <w:pPr>
        <w:rPr>
          <w:lang w:eastAsia="zh-CN"/>
        </w:rPr>
      </w:pPr>
    </w:p>
    <w:p w14:paraId="35CD932F" w14:textId="77777777" w:rsidR="00C85E5E" w:rsidRDefault="00C85E5E" w:rsidP="00C85E5E">
      <w:pPr>
        <w:pStyle w:val="Heading8"/>
        <w:rPr>
          <w:lang w:eastAsia="zh-CN"/>
        </w:rPr>
      </w:pPr>
      <w:r>
        <w:rPr>
          <w:rFonts w:hint="eastAsia"/>
          <w:lang w:eastAsia="zh-CN"/>
        </w:rPr>
        <w:t>12.9</w:t>
      </w:r>
    </w:p>
    <w:p w14:paraId="2A944326" w14:textId="77777777" w:rsidR="00C85E5E" w:rsidRDefault="00C85E5E" w:rsidP="00E03651">
      <w:pPr>
        <w:pStyle w:val="Headingb"/>
        <w:rPr>
          <w:lang w:eastAsia="zh-CN"/>
        </w:rPr>
      </w:pPr>
      <w:r>
        <w:rPr>
          <w:rFonts w:hint="eastAsia"/>
          <w:lang w:eastAsia="zh-CN"/>
        </w:rPr>
        <w:t>技术分析</w:t>
      </w:r>
    </w:p>
    <w:p w14:paraId="14E0D0D0" w14:textId="1D82CC75" w:rsidR="00C85E5E" w:rsidRPr="00E03651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 w:rsidRPr="00E03651">
        <w:rPr>
          <w:rFonts w:hint="eastAsia"/>
          <w:lang w:eastAsia="zh-CN"/>
        </w:rPr>
        <w:t>技术分析包括传播计算和兼容性分析。在两种的模型中天线方向性图的计算都必须根据现有的</w:t>
      </w:r>
      <w:r w:rsidRPr="00E03651">
        <w:rPr>
          <w:rFonts w:hint="eastAsia"/>
          <w:lang w:eastAsia="zh-CN"/>
        </w:rPr>
        <w:t>ITU-R BS.705</w:t>
      </w:r>
      <w:r w:rsidRPr="00E03651">
        <w:rPr>
          <w:rFonts w:hint="eastAsia"/>
          <w:lang w:eastAsia="zh-CN"/>
        </w:rPr>
        <w:t>建议书，传播计算必须根据</w:t>
      </w:r>
      <w:r w:rsidRPr="00E03651">
        <w:rPr>
          <w:rFonts w:hint="eastAsia"/>
          <w:lang w:eastAsia="zh-CN"/>
        </w:rPr>
        <w:t>ITU-R P.533</w:t>
      </w:r>
      <w:r w:rsidRPr="00E03651">
        <w:rPr>
          <w:rFonts w:hint="eastAsia"/>
          <w:lang w:eastAsia="zh-CN"/>
        </w:rPr>
        <w:t>建议书，有效性计算必须根据</w:t>
      </w:r>
      <w:r w:rsidRPr="00E03651">
        <w:rPr>
          <w:rFonts w:hint="eastAsia"/>
          <w:lang w:eastAsia="zh-CN"/>
        </w:rPr>
        <w:t>ITU-R P.842</w:t>
      </w:r>
      <w:r w:rsidRPr="00E03651">
        <w:rPr>
          <w:rFonts w:hint="eastAsia"/>
          <w:lang w:eastAsia="zh-CN"/>
        </w:rPr>
        <w:t>建议书。如果其中任何一个建议书被修订，在实施修订时无线电局将通告所有的主管部门。</w:t>
      </w:r>
    </w:p>
    <w:p w14:paraId="0FB78465" w14:textId="5C9A10C9" w:rsidR="00C85E5E" w:rsidRPr="00E03651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 w:rsidRPr="00E03651">
        <w:rPr>
          <w:rFonts w:hint="eastAsia"/>
          <w:lang w:eastAsia="zh-CN"/>
        </w:rPr>
        <w:t>针对传播和兼容性分析的测试点应符合</w:t>
      </w:r>
      <w:r w:rsidRPr="00E03651">
        <w:rPr>
          <w:rFonts w:hint="eastAsia"/>
          <w:lang w:eastAsia="zh-CN"/>
        </w:rPr>
        <w:t>WARC HFBC-87</w:t>
      </w:r>
      <w:r w:rsidRPr="00E03651">
        <w:rPr>
          <w:rFonts w:hint="eastAsia"/>
          <w:lang w:eastAsia="zh-CN"/>
        </w:rPr>
        <w:t>的要求。</w:t>
      </w:r>
    </w:p>
    <w:p w14:paraId="0E5EDF73" w14:textId="5E96F7C3" w:rsidR="00C85E5E" w:rsidRPr="00E03651" w:rsidRDefault="00C85E5E" w:rsidP="008973EF">
      <w:pPr>
        <w:tabs>
          <w:tab w:val="left" w:pos="510"/>
        </w:tabs>
        <w:ind w:firstLineChars="200" w:firstLine="482"/>
        <w:rPr>
          <w:lang w:eastAsia="zh-CN"/>
        </w:rPr>
      </w:pPr>
      <w:r w:rsidRPr="00E03651">
        <w:rPr>
          <w:rFonts w:hint="eastAsia"/>
          <w:b/>
          <w:bCs/>
          <w:lang w:eastAsia="zh-CN"/>
        </w:rPr>
        <w:t>传播计算</w:t>
      </w:r>
      <w:r w:rsidRPr="00E03651">
        <w:rPr>
          <w:rFonts w:hint="eastAsia"/>
          <w:lang w:eastAsia="zh-CN"/>
        </w:rPr>
        <w:t>将应用于第</w:t>
      </w:r>
      <w:r w:rsidRPr="00E03651">
        <w:rPr>
          <w:rFonts w:hint="eastAsia"/>
          <w:lang w:eastAsia="zh-CN"/>
        </w:rPr>
        <w:t>12</w:t>
      </w:r>
      <w:r w:rsidRPr="00E03651">
        <w:rPr>
          <w:rFonts w:hint="eastAsia"/>
          <w:lang w:eastAsia="zh-CN"/>
        </w:rPr>
        <w:t>条涉及的所有频带以及必要服务区内所有测试点。在被关注的广播频带的中心频率应该在每小时（无论是全部使用还是部分使用）中间时刻进行一次计算，例如对于</w:t>
      </w:r>
      <w:r w:rsidRPr="00E03651">
        <w:rPr>
          <w:rFonts w:hint="eastAsia"/>
          <w:lang w:eastAsia="zh-CN"/>
        </w:rPr>
        <w:t>02:15</w:t>
      </w:r>
      <w:r w:rsidRPr="00E03651">
        <w:rPr>
          <w:rFonts w:hint="eastAsia"/>
          <w:lang w:eastAsia="zh-CN"/>
        </w:rPr>
        <w:t>到</w:t>
      </w:r>
      <w:r w:rsidRPr="00E03651">
        <w:rPr>
          <w:rFonts w:hint="eastAsia"/>
          <w:lang w:eastAsia="zh-CN"/>
        </w:rPr>
        <w:t>04:05</w:t>
      </w:r>
      <w:r w:rsidRPr="00E03651">
        <w:rPr>
          <w:rFonts w:hint="eastAsia"/>
          <w:lang w:eastAsia="zh-CN"/>
        </w:rPr>
        <w:t>的操作，计算时间为</w:t>
      </w:r>
      <w:r w:rsidRPr="00E03651">
        <w:rPr>
          <w:rFonts w:hint="eastAsia"/>
          <w:lang w:eastAsia="zh-CN"/>
        </w:rPr>
        <w:t>02:30</w:t>
      </w:r>
      <w:r w:rsidRPr="00E03651">
        <w:rPr>
          <w:rFonts w:hint="eastAsia"/>
          <w:lang w:eastAsia="zh-CN"/>
        </w:rPr>
        <w:t>，</w:t>
      </w:r>
      <w:r w:rsidRPr="00E03651">
        <w:rPr>
          <w:rFonts w:hint="eastAsia"/>
          <w:lang w:eastAsia="zh-CN"/>
        </w:rPr>
        <w:t>03:30</w:t>
      </w:r>
      <w:r w:rsidRPr="00E03651">
        <w:rPr>
          <w:rFonts w:hint="eastAsia"/>
          <w:lang w:eastAsia="zh-CN"/>
        </w:rPr>
        <w:t>，</w:t>
      </w:r>
      <w:r w:rsidRPr="00E03651">
        <w:rPr>
          <w:rFonts w:hint="eastAsia"/>
          <w:lang w:eastAsia="zh-CN"/>
        </w:rPr>
        <w:t>04:30</w:t>
      </w:r>
      <w:r w:rsidRPr="00E03651">
        <w:rPr>
          <w:rFonts w:hint="eastAsia"/>
          <w:lang w:eastAsia="zh-CN"/>
        </w:rPr>
        <w:t>。</w:t>
      </w:r>
    </w:p>
    <w:p w14:paraId="68AF0090" w14:textId="77777777" w:rsidR="00C85E5E" w:rsidRPr="00E03651" w:rsidRDefault="00C85E5E" w:rsidP="008973EF">
      <w:pPr>
        <w:ind w:firstLineChars="200" w:firstLine="480"/>
        <w:rPr>
          <w:lang w:eastAsia="zh-CN"/>
        </w:rPr>
      </w:pPr>
      <w:r w:rsidRPr="00E03651">
        <w:rPr>
          <w:rFonts w:hint="eastAsia"/>
          <w:lang w:eastAsia="zh-CN"/>
        </w:rPr>
        <w:t>每小时计算给出的结果可以是：</w:t>
      </w:r>
    </w:p>
    <w:p w14:paraId="1CB58096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必要的服务区内每个测试点基本电路可靠性；</w:t>
      </w:r>
    </w:p>
    <w:p w14:paraId="7A12C006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或者必要的服务区内每个测试点基本电路可靠性；</w:t>
      </w:r>
    </w:p>
    <w:p w14:paraId="3C5D9599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或者必要的服务区内每个测试点接收功率；</w:t>
      </w:r>
    </w:p>
    <w:p w14:paraId="6D40EC51" w14:textId="77777777" w:rsidR="00C85E5E" w:rsidRPr="00E03651" w:rsidRDefault="00E03651" w:rsidP="00E03651">
      <w:pPr>
        <w:pStyle w:val="enumlev1"/>
        <w:rPr>
          <w:lang w:eastAsia="zh-CN"/>
        </w:rPr>
      </w:pPr>
      <w:r>
        <w:rPr>
          <w:lang w:eastAsia="zh-CN"/>
        </w:rPr>
        <w:t>–</w:t>
      </w:r>
      <w:r w:rsidR="00C85E5E" w:rsidRPr="00E03651">
        <w:rPr>
          <w:rFonts w:hint="eastAsia"/>
          <w:lang w:eastAsia="zh-CN"/>
        </w:rPr>
        <w:tab/>
      </w:r>
      <w:r w:rsidR="00C85E5E" w:rsidRPr="00E03651">
        <w:rPr>
          <w:rFonts w:hint="eastAsia"/>
          <w:lang w:eastAsia="zh-CN"/>
        </w:rPr>
        <w:t>或者参考接收天线场强。</w:t>
      </w:r>
    </w:p>
    <w:p w14:paraId="6EB6C22E" w14:textId="60ABCD14" w:rsidR="00C85E5E" w:rsidRDefault="00C85E5E" w:rsidP="008973EF">
      <w:pPr>
        <w:tabs>
          <w:tab w:val="left" w:pos="510"/>
        </w:tabs>
        <w:ind w:firstLineChars="200" w:firstLine="482"/>
        <w:rPr>
          <w:lang w:eastAsia="zh-CN"/>
        </w:rPr>
      </w:pPr>
      <w:r w:rsidRPr="00E03651">
        <w:rPr>
          <w:rFonts w:hint="eastAsia"/>
          <w:b/>
          <w:bCs/>
          <w:lang w:eastAsia="zh-CN"/>
        </w:rPr>
        <w:t>兼容性分析</w:t>
      </w:r>
      <w:r w:rsidRPr="00E03651">
        <w:rPr>
          <w:rFonts w:hint="eastAsia"/>
          <w:lang w:eastAsia="zh-CN"/>
        </w:rPr>
        <w:t>应用于必要服务区内每个测试点</w:t>
      </w:r>
      <w:r>
        <w:rPr>
          <w:rFonts w:hint="eastAsia"/>
          <w:lang w:eastAsia="zh-CN"/>
        </w:rPr>
        <w:t>，或者基于在</w:t>
      </w:r>
      <w:r>
        <w:rPr>
          <w:rFonts w:hint="eastAsia"/>
          <w:lang w:eastAsia="zh-CN"/>
        </w:rPr>
        <w:t>911</w:t>
      </w:r>
      <w:r>
        <w:rPr>
          <w:rFonts w:hint="eastAsia"/>
          <w:lang w:eastAsia="zh-CN"/>
        </w:rPr>
        <w:t>个测试点接收功率的预计</w:t>
      </w:r>
      <w:proofErr w:type="gramStart"/>
      <w:r>
        <w:rPr>
          <w:rFonts w:hint="eastAsia"/>
          <w:lang w:eastAsia="zh-CN"/>
        </w:rPr>
        <w:t>算值或者</w:t>
      </w:r>
      <w:proofErr w:type="gramEnd"/>
      <w:r>
        <w:rPr>
          <w:rFonts w:hint="eastAsia"/>
          <w:lang w:eastAsia="zh-CN"/>
        </w:rPr>
        <w:t>基于使用者计算机的计算值。需要计算的小时数的判定方法与传播计算中一样。</w:t>
      </w:r>
    </w:p>
    <w:p w14:paraId="74444822" w14:textId="39E75EEB" w:rsidR="00C85E5E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兼容性分析可以得到必要服务区内所有测试点的集总业务有效性、所有测试点的集总区域有效性以及每一个测试点的最大干扰。</w:t>
      </w:r>
    </w:p>
    <w:p w14:paraId="7A903011" w14:textId="77777777" w:rsidR="0018711A" w:rsidRDefault="0018711A" w:rsidP="00E03651">
      <w:pPr>
        <w:tabs>
          <w:tab w:val="left" w:pos="510"/>
        </w:tabs>
        <w:rPr>
          <w:lang w:eastAsia="zh-CN"/>
        </w:rPr>
      </w:pPr>
    </w:p>
    <w:p w14:paraId="0890F5CA" w14:textId="6488E97B" w:rsidR="00C85E5E" w:rsidRDefault="00C85E5E" w:rsidP="00E03651">
      <w:pPr>
        <w:tabs>
          <w:tab w:val="left" w:pos="510"/>
        </w:tabs>
        <w:ind w:firstLine="510"/>
        <w:rPr>
          <w:lang w:eastAsia="zh-CN"/>
        </w:rPr>
      </w:pPr>
      <w:r>
        <w:rPr>
          <w:lang w:eastAsia="zh-CN"/>
        </w:rPr>
        <w:br w:type="page"/>
      </w:r>
      <w:r>
        <w:rPr>
          <w:rFonts w:hint="eastAsia"/>
          <w:lang w:eastAsia="zh-CN"/>
        </w:rPr>
        <w:lastRenderedPageBreak/>
        <w:t>在以上计算中得到的是单个频率使用的有效性。对于模拟</w:t>
      </w:r>
      <w:r>
        <w:rPr>
          <w:rFonts w:hint="eastAsia"/>
          <w:lang w:eastAsia="zh-CN"/>
        </w:rPr>
        <w:t>DSB</w:t>
      </w:r>
      <w:r>
        <w:rPr>
          <w:rFonts w:hint="eastAsia"/>
          <w:lang w:eastAsia="zh-CN"/>
        </w:rPr>
        <w:t>发射的射频信噪比为</w:t>
      </w:r>
      <w:r>
        <w:rPr>
          <w:rFonts w:hint="eastAsia"/>
          <w:lang w:eastAsia="zh-CN"/>
        </w:rPr>
        <w:t>34 dB</w:t>
      </w:r>
      <w:r>
        <w:rPr>
          <w:rFonts w:hint="eastAsia"/>
          <w:lang w:eastAsia="zh-CN"/>
        </w:rPr>
        <w:t>，从</w:t>
      </w:r>
      <w:r>
        <w:rPr>
          <w:rFonts w:hint="eastAsia"/>
          <w:lang w:eastAsia="zh-CN"/>
        </w:rPr>
        <w:t>ITU-R BS.560</w:t>
      </w:r>
      <w:r>
        <w:rPr>
          <w:rFonts w:hint="eastAsia"/>
          <w:lang w:eastAsia="zh-CN"/>
        </w:rPr>
        <w:t>建议书附件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可以得到射频保护比（同信道为</w:t>
      </w:r>
      <w:r>
        <w:rPr>
          <w:rFonts w:hint="eastAsia"/>
          <w:lang w:eastAsia="zh-CN"/>
        </w:rPr>
        <w:t>17 dB</w:t>
      </w:r>
      <w:r>
        <w:rPr>
          <w:rFonts w:hint="eastAsia"/>
          <w:lang w:eastAsia="zh-CN"/>
        </w:rPr>
        <w:t>）。对于数字信号，要求的射频信噪比在最新版的</w:t>
      </w:r>
      <w:r>
        <w:rPr>
          <w:rFonts w:hint="eastAsia"/>
          <w:lang w:eastAsia="zh-CN"/>
        </w:rPr>
        <w:t>ITU-R BS.1615</w:t>
      </w:r>
      <w:r>
        <w:rPr>
          <w:rFonts w:hint="eastAsia"/>
          <w:lang w:eastAsia="zh-CN"/>
        </w:rPr>
        <w:t>建议书中提供，射频保护比由第</w:t>
      </w:r>
      <w:r>
        <w:rPr>
          <w:rFonts w:hint="eastAsia"/>
          <w:b/>
          <w:bCs/>
          <w:lang w:eastAsia="zh-CN"/>
        </w:rPr>
        <w:t>543</w:t>
      </w:r>
      <w:r>
        <w:rPr>
          <w:rFonts w:hint="eastAsia"/>
          <w:lang w:eastAsia="zh-CN"/>
        </w:rPr>
        <w:t>号决议</w:t>
      </w:r>
      <w:r w:rsidRPr="00C53C4C"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eastAsia="zh-CN"/>
        </w:rPr>
        <w:t>WRC-</w:t>
      </w:r>
      <w:r w:rsidR="00C53C4C">
        <w:rPr>
          <w:rFonts w:hint="eastAsia"/>
          <w:b/>
          <w:bCs/>
          <w:lang w:eastAsia="zh-CN"/>
        </w:rPr>
        <w:t>19</w:t>
      </w:r>
      <w:r w:rsidR="00C53C4C">
        <w:rPr>
          <w:rFonts w:hint="eastAsia"/>
          <w:b/>
          <w:bCs/>
          <w:lang w:eastAsia="zh-CN"/>
        </w:rPr>
        <w:t>，修订版</w:t>
      </w:r>
      <w:r w:rsidRPr="00C53C4C">
        <w:rPr>
          <w:rFonts w:hint="eastAsia"/>
          <w:b/>
          <w:bCs/>
          <w:lang w:eastAsia="zh-CN"/>
        </w:rPr>
        <w:t>）</w:t>
      </w:r>
      <w:r>
        <w:rPr>
          <w:rFonts w:hint="eastAsia"/>
          <w:lang w:eastAsia="zh-CN"/>
        </w:rPr>
        <w:t>附件的第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节提供。</w:t>
      </w:r>
    </w:p>
    <w:p w14:paraId="3C31F25E" w14:textId="7C31315D" w:rsidR="00C85E5E" w:rsidRDefault="00C85E5E" w:rsidP="008973EF">
      <w:pPr>
        <w:tabs>
          <w:tab w:val="left" w:pos="510"/>
        </w:tabs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对于信噪比和同信道射频保护比，使用者可以选择其他值，在频率偏移大于设定情况时可以不用考虑相邻信道干扰。</w:t>
      </w:r>
    </w:p>
    <w:p w14:paraId="632BCB86" w14:textId="77777777" w:rsidR="00C85E5E" w:rsidRPr="00E03651" w:rsidRDefault="00C85E5E" w:rsidP="00E03651">
      <w:pPr>
        <w:rPr>
          <w:lang w:eastAsia="zh-CN"/>
        </w:rPr>
      </w:pPr>
    </w:p>
    <w:p w14:paraId="222BC98B" w14:textId="77777777" w:rsidR="00E03651" w:rsidRDefault="00E03651">
      <w:pPr>
        <w:jc w:val="center"/>
      </w:pPr>
      <w:r>
        <w:t>______________</w:t>
      </w:r>
    </w:p>
    <w:p w14:paraId="04DFA8A0" w14:textId="77777777" w:rsidR="00C85E5E" w:rsidRPr="00E03651" w:rsidRDefault="00C85E5E" w:rsidP="00E03651"/>
    <w:p w14:paraId="1354AE69" w14:textId="77777777" w:rsidR="00C85E5E" w:rsidRPr="00E03651" w:rsidRDefault="00C85E5E" w:rsidP="00E03651"/>
    <w:p w14:paraId="32B3B309" w14:textId="77777777" w:rsidR="00CE3D97" w:rsidRPr="00E03651" w:rsidRDefault="00CE3D97" w:rsidP="00E03651"/>
    <w:p w14:paraId="32E81F49" w14:textId="77777777" w:rsidR="00CE3D97" w:rsidRPr="00E03651" w:rsidRDefault="00CE3D97" w:rsidP="00E03651"/>
    <w:p w14:paraId="0E050425" w14:textId="77777777" w:rsidR="00CE3D97" w:rsidRPr="00E03651" w:rsidRDefault="00CE3D97" w:rsidP="00E03651"/>
    <w:p w14:paraId="717CC400" w14:textId="77777777" w:rsidR="00CE3D97" w:rsidRPr="00E03651" w:rsidRDefault="00CE3D97" w:rsidP="00E03651"/>
    <w:p w14:paraId="5A78158E" w14:textId="77777777" w:rsidR="00CE3D97" w:rsidRPr="00E03651" w:rsidRDefault="00CE3D97" w:rsidP="00E03651"/>
    <w:p w14:paraId="4BDFD59B" w14:textId="77777777" w:rsidR="00CE3D97" w:rsidRDefault="00CE3D97">
      <w:pPr>
        <w:pStyle w:val="MEP"/>
        <w:rPr>
          <w:lang w:val="en-US"/>
        </w:rPr>
      </w:pPr>
    </w:p>
    <w:p w14:paraId="65128029" w14:textId="77777777" w:rsidR="00CE3D97" w:rsidRDefault="00CE3D97">
      <w:pPr>
        <w:pStyle w:val="MEP"/>
        <w:rPr>
          <w:lang w:val="en-US"/>
        </w:rPr>
      </w:pPr>
    </w:p>
    <w:p w14:paraId="11CB9178" w14:textId="77777777" w:rsidR="00CE3D97" w:rsidRDefault="00CE3D97">
      <w:pPr>
        <w:pStyle w:val="MEP"/>
        <w:rPr>
          <w:lang w:val="en-US"/>
        </w:rPr>
      </w:pPr>
    </w:p>
    <w:p w14:paraId="499863A3" w14:textId="77777777" w:rsidR="00CE3D97" w:rsidRDefault="00CE3D97">
      <w:pPr>
        <w:pStyle w:val="MEP"/>
        <w:rPr>
          <w:lang w:val="en-US"/>
        </w:rPr>
      </w:pPr>
    </w:p>
    <w:p w14:paraId="76334325" w14:textId="77777777" w:rsidR="00CE3D97" w:rsidRDefault="00CE3D97">
      <w:pPr>
        <w:pStyle w:val="MEP"/>
        <w:rPr>
          <w:lang w:val="en-US"/>
        </w:rPr>
      </w:pPr>
    </w:p>
    <w:p w14:paraId="27A3E7F7" w14:textId="77777777" w:rsidR="00CE3D97" w:rsidRDefault="00CE3D97">
      <w:pPr>
        <w:pStyle w:val="MEP"/>
        <w:rPr>
          <w:lang w:val="en-US"/>
        </w:rPr>
      </w:pPr>
    </w:p>
    <w:p w14:paraId="5606BC94" w14:textId="77777777" w:rsidR="00CE3D97" w:rsidRDefault="00CE3D97">
      <w:pPr>
        <w:pStyle w:val="MEP"/>
        <w:rPr>
          <w:lang w:val="en-US"/>
        </w:rPr>
      </w:pPr>
    </w:p>
    <w:p w14:paraId="5B7D6F67" w14:textId="77777777" w:rsidR="00CE3D97" w:rsidRDefault="00CE3D97">
      <w:pPr>
        <w:pStyle w:val="MEP"/>
        <w:rPr>
          <w:lang w:val="en-US"/>
        </w:rPr>
      </w:pPr>
    </w:p>
    <w:p w14:paraId="7627A2FF" w14:textId="77777777" w:rsidR="00CE3D97" w:rsidRDefault="00CE3D97">
      <w:pPr>
        <w:pStyle w:val="MEP"/>
        <w:rPr>
          <w:lang w:val="en-US"/>
        </w:rPr>
      </w:pPr>
    </w:p>
    <w:p w14:paraId="69A51602" w14:textId="77777777" w:rsidR="00CE3D97" w:rsidRDefault="00CE3D97">
      <w:pPr>
        <w:pStyle w:val="MEP"/>
        <w:rPr>
          <w:lang w:val="en-US"/>
        </w:rPr>
      </w:pPr>
    </w:p>
    <w:p w14:paraId="7D4A30DA" w14:textId="77777777" w:rsidR="00CE3D97" w:rsidRDefault="00CE3D97">
      <w:pPr>
        <w:pStyle w:val="MEP"/>
        <w:rPr>
          <w:lang w:val="en-US"/>
        </w:rPr>
        <w:sectPr w:rsidR="00CE3D97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2410B24" w14:textId="77777777" w:rsidR="00CE3D97" w:rsidRDefault="00CE3D97">
      <w:pPr>
        <w:pStyle w:val="MEP"/>
        <w:rPr>
          <w:lang w:val="en-US"/>
        </w:rPr>
      </w:pPr>
    </w:p>
    <w:sectPr w:rsidR="00CE3D97"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53981" w14:textId="77777777" w:rsidR="0066728D" w:rsidRDefault="0066728D">
      <w:r>
        <w:separator/>
      </w:r>
    </w:p>
  </w:endnote>
  <w:endnote w:type="continuationSeparator" w:id="0">
    <w:p w14:paraId="37F19F4A" w14:textId="77777777" w:rsidR="0066728D" w:rsidRDefault="0066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525F1" w14:textId="77777777" w:rsidR="0066728D" w:rsidRDefault="0066728D">
      <w:r>
        <w:rPr>
          <w:b/>
        </w:rPr>
        <w:t>_______________</w:t>
      </w:r>
    </w:p>
    <w:p w14:paraId="419D5B6D" w14:textId="77777777" w:rsidR="0066728D" w:rsidRDefault="0066728D"/>
  </w:footnote>
  <w:footnote w:type="continuationSeparator" w:id="0">
    <w:p w14:paraId="6183C84E" w14:textId="77777777" w:rsidR="0066728D" w:rsidRDefault="00667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3651" w14:paraId="6571084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1A804A" w14:textId="77777777" w:rsidR="00E03651" w:rsidRDefault="00E03651">
          <w:pPr>
            <w:pStyle w:val="HeaderRegProc"/>
            <w:rPr>
              <w:lang w:val="en-US" w:eastAsia="zh-CN"/>
            </w:rPr>
          </w:pPr>
          <w:r>
            <w:rPr>
              <w:lang w:val="en-US"/>
            </w:rPr>
            <w:t>A1</w:t>
          </w:r>
          <w:r>
            <w:rPr>
              <w:rFonts w:hint="eastAsia"/>
              <w:lang w:val="en-US" w:eastAsia="zh-CN"/>
            </w:rPr>
            <w:t xml:space="preserve"> </w:t>
          </w:r>
          <w:r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87F41" w14:textId="78342BFB" w:rsidR="00E03651" w:rsidRDefault="00E03651">
          <w:pPr>
            <w:pStyle w:val="HeaderRegProc"/>
            <w:rPr>
              <w:lang w:val="en-US" w:eastAsia="zh-CN"/>
            </w:rPr>
          </w:pPr>
          <w:r>
            <w:rPr>
              <w:color w:val="000000"/>
            </w:rPr>
            <w:fldChar w:fldCharType="begin"/>
          </w:r>
          <w:r>
            <w:rPr>
              <w:color w:val="000000"/>
              <w:lang w:val="en-US"/>
            </w:rPr>
            <w:instrText xml:space="preserve"> DOCPROPERTY "Header" \* MERGEFORMAT </w:instrText>
          </w:r>
          <w:r>
            <w:rPr>
              <w:color w:val="000000"/>
            </w:rPr>
            <w:fldChar w:fldCharType="separate"/>
          </w:r>
          <w:r w:rsidR="00357529">
            <w:rPr>
              <w:color w:val="000000"/>
              <w:lang w:val="en-US"/>
            </w:rPr>
            <w:t>AR</w:t>
          </w:r>
          <w:r>
            <w:rPr>
              <w:color w:val="000000"/>
            </w:rPr>
            <w:fldChar w:fldCharType="end"/>
          </w:r>
          <w:r>
            <w:rPr>
              <w:rFonts w:hint="eastAsia"/>
              <w:color w:val="000000"/>
              <w:lang w:eastAsia="zh-CN"/>
            </w:rPr>
            <w:t>12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F6E1DE" w14:textId="77777777" w:rsidR="00E03651" w:rsidRDefault="00E03651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17A1C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43C1DC" w14:textId="77777777" w:rsidR="00E03651" w:rsidRDefault="00E03651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3C58B46A" w14:textId="77777777" w:rsidR="00E03651" w:rsidRDefault="00E036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03651" w14:paraId="1E434755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4A128D" w14:textId="77777777" w:rsidR="00E03651" w:rsidRPr="00C85E5E" w:rsidRDefault="00E03651">
          <w:pPr>
            <w:pStyle w:val="HeaderRegProc"/>
            <w:rPr>
              <w:color w:val="000000"/>
              <w:lang w:val="en-US" w:eastAsia="zh-CN"/>
            </w:rPr>
          </w:pPr>
          <w:r>
            <w:rPr>
              <w:color w:val="000000"/>
              <w:lang w:val="en-US"/>
            </w:rPr>
            <w:t>A1</w:t>
          </w:r>
          <w:r w:rsidR="00661D4F">
            <w:rPr>
              <w:color w:val="000000"/>
              <w:lang w:val="en-US"/>
            </w:rPr>
            <w:t xml:space="preserve"> </w:t>
          </w:r>
          <w:r>
            <w:rPr>
              <w:rFonts w:hint="eastAsia"/>
              <w:color w:val="000000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B691BA" w14:textId="796794F3" w:rsidR="00E03651" w:rsidRDefault="00E03651">
          <w:pPr>
            <w:pStyle w:val="HeaderRegProc"/>
            <w:rPr>
              <w:color w:val="000000"/>
              <w:lang w:val="en-US" w:eastAsia="zh-CN"/>
            </w:rPr>
          </w:pPr>
          <w:r>
            <w:rPr>
              <w:color w:val="000000"/>
            </w:rPr>
            <w:fldChar w:fldCharType="begin"/>
          </w:r>
          <w:r>
            <w:rPr>
              <w:color w:val="000000"/>
              <w:lang w:val="en-US"/>
            </w:rPr>
            <w:instrText xml:space="preserve"> DOCPROPERTY "Header" \* MERGEFORMAT </w:instrText>
          </w:r>
          <w:r>
            <w:rPr>
              <w:color w:val="000000"/>
            </w:rPr>
            <w:fldChar w:fldCharType="separate"/>
          </w:r>
          <w:r w:rsidR="00357529">
            <w:rPr>
              <w:color w:val="000000"/>
              <w:lang w:val="en-US"/>
            </w:rPr>
            <w:t>AR</w:t>
          </w:r>
          <w:r>
            <w:rPr>
              <w:color w:val="000000"/>
            </w:rPr>
            <w:fldChar w:fldCharType="end"/>
          </w:r>
          <w:r>
            <w:rPr>
              <w:rFonts w:hint="eastAsia"/>
              <w:color w:val="000000"/>
              <w:lang w:eastAsia="zh-CN"/>
            </w:rPr>
            <w:t>12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0152A0" w14:textId="77777777" w:rsidR="00E03651" w:rsidRDefault="00E03651">
          <w:pPr>
            <w:pStyle w:val="HeaderRegProc"/>
            <w:rPr>
              <w:color w:val="000000"/>
              <w:lang w:val="fr-CH" w:eastAsia="zh-CN"/>
            </w:rPr>
          </w:pPr>
          <w:r>
            <w:rPr>
              <w:rFonts w:hint="eastAsia"/>
              <w:color w:val="000000"/>
              <w:lang w:val="fr-FR" w:eastAsia="zh-CN"/>
            </w:rPr>
            <w:t>第</w:t>
          </w:r>
          <w:r>
            <w:rPr>
              <w:rFonts w:hint="eastAsia"/>
              <w:color w:val="000000"/>
              <w:lang w:val="fr-FR" w:eastAsia="zh-CN"/>
            </w:rPr>
            <w:t xml:space="preserve">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217A1C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  <w:r>
            <w:rPr>
              <w:rStyle w:val="PageNumber"/>
              <w:rFonts w:hint="eastAsia"/>
              <w:color w:val="000000"/>
              <w:lang w:eastAsia="zh-CN"/>
            </w:rPr>
            <w:t xml:space="preserve"> </w:t>
          </w:r>
          <w:r>
            <w:rPr>
              <w:rStyle w:val="PageNumber"/>
              <w:rFonts w:hint="eastAsia"/>
              <w:color w:val="000000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CBBDF6" w14:textId="77777777" w:rsidR="00E03651" w:rsidRDefault="00E03651">
          <w:pPr>
            <w:pStyle w:val="HeaderRegProc"/>
            <w:rPr>
              <w:color w:val="000000"/>
              <w:lang w:val="fr-CH" w:eastAsia="zh-CN"/>
            </w:rPr>
          </w:pPr>
          <w:r>
            <w:rPr>
              <w:rFonts w:hint="eastAsia"/>
              <w:color w:val="000000"/>
              <w:lang w:val="fr-CH" w:eastAsia="zh-CN"/>
            </w:rPr>
            <w:t>修订</w:t>
          </w:r>
          <w:r>
            <w:rPr>
              <w:color w:val="000000"/>
              <w:lang w:val="fr-CH" w:eastAsia="zh-CN"/>
            </w:rPr>
            <w:t xml:space="preserve"> -</w:t>
          </w:r>
        </w:p>
      </w:tc>
    </w:tr>
  </w:tbl>
  <w:p w14:paraId="16144DDD" w14:textId="77777777" w:rsidR="00E03651" w:rsidRDefault="00E036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E8152" w14:textId="77777777" w:rsidR="00E03651" w:rsidRDefault="00E036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D97"/>
    <w:rsid w:val="00030038"/>
    <w:rsid w:val="0018711A"/>
    <w:rsid w:val="00217A1C"/>
    <w:rsid w:val="00256F81"/>
    <w:rsid w:val="00272435"/>
    <w:rsid w:val="00357529"/>
    <w:rsid w:val="00661D4F"/>
    <w:rsid w:val="0066728D"/>
    <w:rsid w:val="00865E76"/>
    <w:rsid w:val="008973EF"/>
    <w:rsid w:val="00C53C4C"/>
    <w:rsid w:val="00C85E5E"/>
    <w:rsid w:val="00CE3D97"/>
    <w:rsid w:val="00E0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58EA06"/>
  <w15:docId w15:val="{8888D32A-1AB2-4CD1-B58D-74089C0D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1">
    <w:name w:val="正文1"/>
    <w:basedOn w:val="Normalaftertitle"/>
    <w:rsid w:val="00C85E5E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a">
    <w:name w:val="一字线"/>
    <w:basedOn w:val="1"/>
    <w:rsid w:val="00C85E5E"/>
    <w:pPr>
      <w:ind w:left="420" w:hangingChars="200" w:hanging="420"/>
    </w:pPr>
  </w:style>
  <w:style w:type="paragraph" w:customStyle="1" w:styleId="2">
    <w:name w:val="正文2"/>
    <w:basedOn w:val="1"/>
    <w:rsid w:val="00C85E5E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9</TotalTime>
  <Pages>3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Article 12</vt:lpstr>
    </vt:vector>
  </TitlesOfParts>
  <Manager>CP--3344/DD</Manager>
  <Company>ITU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12</dc:title>
  <dc:subject>Edition 2005</dc:subject>
  <dc:creator>Composition des Publications</dc:creator>
  <cp:keywords>Folios: 1 - 2</cp:keywords>
  <dc:description>Saisie + MEP:   13.05.05/DD_x000d_
Corr.: 19.05.2005/DD (sans)</dc:description>
  <cp:lastModifiedBy>Li, Jianying</cp:lastModifiedBy>
  <cp:revision>8</cp:revision>
  <cp:lastPrinted>2021-05-19T12:20:00Z</cp:lastPrinted>
  <dcterms:created xsi:type="dcterms:W3CDTF">2012-09-06T13:19:00Z</dcterms:created>
  <dcterms:modified xsi:type="dcterms:W3CDTF">2021-05-19T12:20:00Z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