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A93ACE" w14:textId="77777777" w:rsidR="00326380" w:rsidRPr="00777C85" w:rsidRDefault="00326380" w:rsidP="00293983">
      <w:pPr>
        <w:pStyle w:val="Heading1"/>
        <w:spacing w:before="300"/>
        <w:jc w:val="center"/>
        <w:rPr>
          <w:color w:val="000000"/>
          <w:lang w:val="es-ES_tradnl"/>
        </w:rPr>
      </w:pPr>
      <w:r w:rsidRPr="00777C85">
        <w:rPr>
          <w:color w:val="000000"/>
          <w:lang w:val="es-ES_tradnl"/>
        </w:rPr>
        <w:t>Reglas relativas al</w:t>
      </w:r>
    </w:p>
    <w:p w14:paraId="3A41B672" w14:textId="77777777" w:rsidR="00326380" w:rsidRPr="00777C85" w:rsidRDefault="00326380">
      <w:pPr>
        <w:pStyle w:val="Heading2"/>
        <w:jc w:val="center"/>
        <w:rPr>
          <w:color w:val="000000"/>
          <w:lang w:val="es-ES_tradnl"/>
        </w:rPr>
      </w:pPr>
      <w:r w:rsidRPr="00777C85">
        <w:rPr>
          <w:color w:val="000000"/>
          <w:lang w:val="es-ES_tradnl"/>
        </w:rPr>
        <w:t xml:space="preserve">APÉNDICE  </w:t>
      </w:r>
      <w:r w:rsidRPr="00777C85">
        <w:rPr>
          <w:rStyle w:val="href2"/>
          <w:color w:val="000000"/>
          <w:lang w:val="es-ES_tradnl"/>
        </w:rPr>
        <w:t>30B</w:t>
      </w:r>
      <w:r w:rsidRPr="00777C85">
        <w:rPr>
          <w:color w:val="000000"/>
          <w:lang w:val="es-ES_tradnl"/>
        </w:rPr>
        <w:t xml:space="preserve"> al RR</w:t>
      </w:r>
    </w:p>
    <w:p w14:paraId="06010371" w14:textId="77777777" w:rsidR="00B422C2" w:rsidRPr="00777C85" w:rsidRDefault="00B422C2" w:rsidP="00B422C2">
      <w:pPr>
        <w:spacing w:before="0"/>
        <w:rPr>
          <w:lang w:val="es-ES_tradnl"/>
        </w:rPr>
      </w:pPr>
    </w:p>
    <w:p w14:paraId="6FEDB939" w14:textId="77777777" w:rsidR="00326380" w:rsidRPr="00777C85" w:rsidRDefault="00326380" w:rsidP="00293983">
      <w:pPr>
        <w:pStyle w:val="Heading8"/>
        <w:rPr>
          <w:color w:val="000000"/>
          <w:lang w:val="es-ES_tradnl"/>
        </w:rPr>
      </w:pPr>
      <w:r w:rsidRPr="00777C85">
        <w:rPr>
          <w:color w:val="000000"/>
          <w:lang w:val="es-ES_tradnl"/>
        </w:rPr>
        <w:t xml:space="preserve">Art. </w:t>
      </w:r>
      <w:r w:rsidR="00C1385B" w:rsidRPr="00777C85">
        <w:rPr>
          <w:color w:val="000000"/>
          <w:lang w:val="es-ES_tradnl"/>
        </w:rPr>
        <w:t>4</w:t>
      </w:r>
    </w:p>
    <w:p w14:paraId="0DE7C23C" w14:textId="77777777" w:rsidR="007F6CC6" w:rsidRPr="00777C85" w:rsidRDefault="007F6CC6" w:rsidP="00FA5983">
      <w:pPr>
        <w:pStyle w:val="Heading2"/>
        <w:jc w:val="center"/>
        <w:rPr>
          <w:lang w:val="es-ES_tradnl"/>
        </w:rPr>
      </w:pPr>
      <w:r w:rsidRPr="00777C85">
        <w:rPr>
          <w:lang w:val="es-ES_tradnl"/>
        </w:rPr>
        <w:t>Ejecución de las disposiciones y del Plan asociado</w:t>
      </w:r>
    </w:p>
    <w:p w14:paraId="0F133B76" w14:textId="77777777" w:rsidR="00326380" w:rsidRPr="00777C85" w:rsidRDefault="00C1385B" w:rsidP="00293983">
      <w:pPr>
        <w:pStyle w:val="Heading8"/>
        <w:rPr>
          <w:color w:val="000000"/>
          <w:lang w:val="es-ES_tradnl"/>
        </w:rPr>
      </w:pPr>
      <w:r w:rsidRPr="00777C85">
        <w:rPr>
          <w:color w:val="000000"/>
          <w:lang w:val="es-ES_tradnl"/>
        </w:rPr>
        <w:t>4</w:t>
      </w:r>
      <w:r w:rsidR="00326380" w:rsidRPr="00777C85">
        <w:rPr>
          <w:color w:val="000000"/>
          <w:lang w:val="es-ES_tradnl"/>
        </w:rPr>
        <w:t>.</w:t>
      </w:r>
      <w:r w:rsidRPr="00777C85">
        <w:rPr>
          <w:color w:val="000000"/>
          <w:lang w:val="es-ES_tradnl"/>
        </w:rPr>
        <w:t>1</w:t>
      </w:r>
    </w:p>
    <w:p w14:paraId="6FDCD22A" w14:textId="77777777" w:rsidR="007F6CC6" w:rsidRPr="00777C85" w:rsidRDefault="007F6CC6" w:rsidP="00665D87">
      <w:pPr>
        <w:pStyle w:val="Headingb"/>
        <w:spacing w:before="240"/>
        <w:rPr>
          <w:color w:val="000000"/>
          <w:lang w:val="es-ES_tradnl"/>
        </w:rPr>
      </w:pPr>
      <w:r w:rsidRPr="00777C85">
        <w:rPr>
          <w:color w:val="000000"/>
          <w:lang w:val="es-ES_tradnl"/>
        </w:rPr>
        <w:t>Atribución bidireccional de algunas bandas</w:t>
      </w:r>
    </w:p>
    <w:p w14:paraId="05778D39" w14:textId="77777777" w:rsidR="007F6CC6" w:rsidRPr="00777C85" w:rsidRDefault="007F6CC6" w:rsidP="00665D87">
      <w:pPr>
        <w:rPr>
          <w:color w:val="000000"/>
          <w:lang w:val="es-ES_tradnl"/>
        </w:rPr>
      </w:pPr>
      <w:r w:rsidRPr="00777C85">
        <w:rPr>
          <w:color w:val="000000"/>
          <w:lang w:val="es-ES_tradnl"/>
        </w:rPr>
        <w:t>1</w:t>
      </w:r>
      <w:r w:rsidRPr="00777C85">
        <w:rPr>
          <w:color w:val="000000"/>
          <w:lang w:val="es-ES_tradnl"/>
        </w:rPr>
        <w:tab/>
      </w:r>
      <w:proofErr w:type="gramStart"/>
      <w:r w:rsidRPr="00777C85">
        <w:rPr>
          <w:color w:val="000000"/>
          <w:lang w:val="es-ES_tradnl"/>
        </w:rPr>
        <w:t>Véanse</w:t>
      </w:r>
      <w:proofErr w:type="gramEnd"/>
      <w:r w:rsidRPr="00777C85">
        <w:rPr>
          <w:color w:val="000000"/>
          <w:lang w:val="es-ES_tradnl"/>
        </w:rPr>
        <w:t xml:space="preserve"> los comentarios a las Reglas de Procedimiento relativas al número</w:t>
      </w:r>
      <w:r w:rsidR="00665D87" w:rsidRPr="00777C85">
        <w:rPr>
          <w:color w:val="000000"/>
          <w:lang w:val="es-ES_tradnl"/>
        </w:rPr>
        <w:t> </w:t>
      </w:r>
      <w:r w:rsidRPr="00777C85">
        <w:rPr>
          <w:rStyle w:val="Artref"/>
          <w:b/>
          <w:bCs/>
          <w:color w:val="000000"/>
          <w:lang w:val="es-ES_tradnl"/>
        </w:rPr>
        <w:t>5.441</w:t>
      </w:r>
      <w:r w:rsidRPr="00777C85">
        <w:rPr>
          <w:color w:val="000000"/>
          <w:lang w:val="es-ES_tradnl"/>
        </w:rPr>
        <w:t>.</w:t>
      </w:r>
    </w:p>
    <w:p w14:paraId="56716FD7" w14:textId="77777777" w:rsidR="00B422C2" w:rsidRPr="00777C85" w:rsidRDefault="00B422C2" w:rsidP="00B422C2">
      <w:pPr>
        <w:spacing w:before="0"/>
        <w:rPr>
          <w:lang w:val="es-ES_tradnl"/>
        </w:rPr>
      </w:pPr>
    </w:p>
    <w:p w14:paraId="58DC646B" w14:textId="77777777" w:rsidR="00326380" w:rsidRPr="00777C85" w:rsidRDefault="00C1385B" w:rsidP="00293983">
      <w:pPr>
        <w:pStyle w:val="Heading8"/>
        <w:rPr>
          <w:color w:val="000000"/>
          <w:lang w:val="es-ES_tradnl"/>
        </w:rPr>
      </w:pPr>
      <w:r w:rsidRPr="00777C85">
        <w:rPr>
          <w:color w:val="000000"/>
          <w:lang w:val="es-ES_tradnl"/>
        </w:rPr>
        <w:t>Art</w:t>
      </w:r>
      <w:r w:rsidR="00326380" w:rsidRPr="00777C85">
        <w:rPr>
          <w:color w:val="000000"/>
          <w:lang w:val="es-ES_tradnl"/>
        </w:rPr>
        <w:t>.</w:t>
      </w:r>
      <w:r w:rsidRPr="00777C85">
        <w:rPr>
          <w:color w:val="000000"/>
          <w:lang w:val="es-ES_tradnl"/>
        </w:rPr>
        <w:t xml:space="preserve"> </w:t>
      </w:r>
      <w:r w:rsidR="00326380" w:rsidRPr="00777C85">
        <w:rPr>
          <w:color w:val="000000"/>
          <w:lang w:val="es-ES_tradnl"/>
        </w:rPr>
        <w:t>6</w:t>
      </w:r>
    </w:p>
    <w:p w14:paraId="1A054A7E" w14:textId="77777777" w:rsidR="007F6CC6" w:rsidRPr="00777C85" w:rsidRDefault="00665D87" w:rsidP="007E640D">
      <w:pPr>
        <w:pStyle w:val="Arttitle"/>
        <w:rPr>
          <w:lang w:val="es-ES_tradnl"/>
        </w:rPr>
      </w:pPr>
      <w:r w:rsidRPr="00777C85">
        <w:rPr>
          <w:lang w:val="es-ES_tradnl"/>
        </w:rPr>
        <w:t>Procedimientos para la conversión de una adjudicación en</w:t>
      </w:r>
      <w:r w:rsidR="007E640D" w:rsidRPr="00777C85">
        <w:rPr>
          <w:lang w:val="es-ES_tradnl"/>
        </w:rPr>
        <w:br/>
      </w:r>
      <w:r w:rsidRPr="00777C85">
        <w:rPr>
          <w:lang w:val="es-ES_tradnl"/>
        </w:rPr>
        <w:t>asignación</w:t>
      </w:r>
      <w:r w:rsidR="007E640D" w:rsidRPr="00777C85">
        <w:rPr>
          <w:lang w:val="es-ES_tradnl"/>
        </w:rPr>
        <w:t xml:space="preserve"> </w:t>
      </w:r>
      <w:r w:rsidRPr="00777C85">
        <w:rPr>
          <w:lang w:val="es-ES_tradnl"/>
        </w:rPr>
        <w:t>para la introducción de un sistema adicional</w:t>
      </w:r>
      <w:r w:rsidR="007E640D" w:rsidRPr="00777C85">
        <w:rPr>
          <w:lang w:val="es-ES_tradnl"/>
        </w:rPr>
        <w:br/>
      </w:r>
      <w:r w:rsidRPr="00777C85">
        <w:rPr>
          <w:lang w:val="es-ES_tradnl"/>
        </w:rPr>
        <w:t>o para la modificación</w:t>
      </w:r>
      <w:r w:rsidR="007E640D" w:rsidRPr="00777C85">
        <w:rPr>
          <w:lang w:val="es-ES_tradnl"/>
        </w:rPr>
        <w:t xml:space="preserve"> </w:t>
      </w:r>
      <w:r w:rsidRPr="00777C85">
        <w:rPr>
          <w:bCs/>
          <w:szCs w:val="28"/>
          <w:lang w:val="es-ES_tradnl"/>
        </w:rPr>
        <w:t>de una asignación de la Lista</w:t>
      </w:r>
    </w:p>
    <w:p w14:paraId="580793A5" w14:textId="77777777" w:rsidR="00665D87" w:rsidRPr="00777C85" w:rsidRDefault="00665D87" w:rsidP="00665D87">
      <w:pPr>
        <w:pStyle w:val="Heading8"/>
        <w:pBdr>
          <w:top w:val="double" w:sz="4" w:space="1" w:color="auto"/>
          <w:left w:val="double" w:sz="4" w:space="4" w:color="auto"/>
          <w:bottom w:val="double" w:sz="4" w:space="1" w:color="auto"/>
          <w:right w:val="double" w:sz="4" w:space="4" w:color="auto"/>
        </w:pBdr>
        <w:spacing w:before="240"/>
        <w:rPr>
          <w:color w:val="000000"/>
          <w:lang w:val="es-ES_tradnl"/>
        </w:rPr>
      </w:pPr>
      <w:r w:rsidRPr="00777C85">
        <w:rPr>
          <w:color w:val="000000"/>
          <w:lang w:val="es-ES_tradnl"/>
        </w:rPr>
        <w:t>6.3</w:t>
      </w:r>
      <w:r w:rsidR="00630EB4" w:rsidRPr="00777C85">
        <w:rPr>
          <w:color w:val="000000"/>
          <w:lang w:val="es-ES_tradnl"/>
        </w:rPr>
        <w:t xml:space="preserve"> </w:t>
      </w:r>
      <w:r w:rsidRPr="00777C85">
        <w:rPr>
          <w:i/>
          <w:iCs/>
          <w:color w:val="000000"/>
          <w:lang w:val="es-ES_tradnl"/>
        </w:rPr>
        <w:t>a)</w:t>
      </w:r>
    </w:p>
    <w:p w14:paraId="35B812E9" w14:textId="77777777" w:rsidR="00665D87" w:rsidRPr="00777C85" w:rsidRDefault="00665D87" w:rsidP="00777C85">
      <w:pPr>
        <w:rPr>
          <w:color w:val="000000"/>
          <w:lang w:val="es-ES_tradnl"/>
        </w:rPr>
      </w:pPr>
      <w:r w:rsidRPr="00777C85">
        <w:rPr>
          <w:color w:val="000000"/>
          <w:lang w:val="es-ES_tradnl"/>
        </w:rPr>
        <w:t>1</w:t>
      </w:r>
      <w:r w:rsidRPr="00777C85">
        <w:rPr>
          <w:b/>
          <w:color w:val="000000"/>
          <w:lang w:val="es-ES_tradnl"/>
        </w:rPr>
        <w:tab/>
      </w:r>
      <w:proofErr w:type="gramStart"/>
      <w:r w:rsidRPr="00777C85">
        <w:rPr>
          <w:bCs/>
          <w:color w:val="000000"/>
          <w:lang w:val="es-ES_tradnl"/>
        </w:rPr>
        <w:t>Las</w:t>
      </w:r>
      <w:proofErr w:type="gramEnd"/>
      <w:r w:rsidRPr="00777C85">
        <w:rPr>
          <w:bCs/>
          <w:color w:val="000000"/>
          <w:lang w:val="es-ES_tradnl"/>
        </w:rPr>
        <w:t xml:space="preserve"> notas adjuntas a las disposiciones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indican que las «demás disposiciones» mencionadas en esas disposiciones deberán identificarse e incluirse en las Reglas de Procedimiento.</w:t>
      </w:r>
    </w:p>
    <w:p w14:paraId="71BA32AF" w14:textId="77777777" w:rsidR="00665D87" w:rsidRPr="00777C85" w:rsidRDefault="00665D87" w:rsidP="00777C85">
      <w:pPr>
        <w:rPr>
          <w:color w:val="000000"/>
          <w:lang w:val="es-ES_tradnl"/>
        </w:rPr>
      </w:pPr>
      <w:r w:rsidRPr="00777C85">
        <w:rPr>
          <w:color w:val="000000"/>
          <w:lang w:val="es-ES_tradnl"/>
        </w:rPr>
        <w:t xml:space="preserve">Los exámenes reglamentarios con arreglo a las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incluyen lo siguiente:</w:t>
      </w:r>
    </w:p>
    <w:p w14:paraId="0F374CB4" w14:textId="77777777" w:rsidR="00665D87" w:rsidRPr="00777C85" w:rsidRDefault="00665D87" w:rsidP="00665D87">
      <w:pPr>
        <w:pStyle w:val="enumlev1"/>
        <w:rPr>
          <w:color w:val="000000"/>
          <w:lang w:val="es-ES_tradnl"/>
        </w:rPr>
      </w:pPr>
      <w:r w:rsidRPr="00777C85">
        <w:rPr>
          <w:color w:val="000000"/>
          <w:lang w:val="es-ES_tradnl"/>
        </w:rPr>
        <w:t>–</w:t>
      </w:r>
      <w:r w:rsidRPr="00777C85">
        <w:rPr>
          <w:color w:val="000000"/>
          <w:lang w:val="es-ES_tradnl"/>
        </w:rPr>
        <w:tab/>
        <w:t>conformidad con el Cuadro de Atribución de Bandas de Frecuencias, incluidas sus notas y cualquier Resolución o Recomendación a la que se refiera dicha nota;</w:t>
      </w:r>
    </w:p>
    <w:p w14:paraId="578642DF" w14:textId="77777777" w:rsidR="00665D87" w:rsidRDefault="00665D87" w:rsidP="00665D87">
      <w:pPr>
        <w:pStyle w:val="enumlev1"/>
        <w:rPr>
          <w:color w:val="000000"/>
          <w:lang w:val="es-ES_tradnl"/>
        </w:rPr>
      </w:pPr>
      <w:r w:rsidRPr="00777C85">
        <w:rPr>
          <w:color w:val="000000"/>
          <w:lang w:val="es-ES_tradnl"/>
        </w:rPr>
        <w:t>–</w:t>
      </w:r>
      <w:r w:rsidRPr="00777C85">
        <w:rPr>
          <w:color w:val="000000"/>
          <w:lang w:val="es-ES_tradnl"/>
        </w:rPr>
        <w:tab/>
        <w:t xml:space="preserve">el «resto» de disposiciones reglamentarias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22</w:t>
      </w:r>
      <w:r w:rsidRPr="00777C85">
        <w:rPr>
          <w:color w:val="000000"/>
          <w:lang w:val="es-ES_tradnl"/>
        </w:rPr>
        <w:t xml:space="preserve">, en los Artículos </w:t>
      </w:r>
      <w:r w:rsidRPr="00777C85">
        <w:rPr>
          <w:bCs/>
          <w:color w:val="000000"/>
          <w:lang w:val="es-ES_tradnl"/>
        </w:rPr>
        <w:t>3</w:t>
      </w:r>
      <w:r w:rsidRPr="00777C85">
        <w:rPr>
          <w:color w:val="000000"/>
          <w:lang w:val="es-ES_tradnl"/>
        </w:rPr>
        <w:t xml:space="preserve"> y </w:t>
      </w:r>
      <w:r w:rsidRPr="00777C85">
        <w:rPr>
          <w:bCs/>
          <w:color w:val="000000"/>
          <w:lang w:val="es-ES_tradnl"/>
        </w:rPr>
        <w:t>4</w:t>
      </w:r>
      <w:r w:rsidRPr="00777C85">
        <w:rPr>
          <w:color w:val="000000"/>
          <w:lang w:val="es-ES_tradnl"/>
        </w:rPr>
        <w:t xml:space="preserve"> del Apéndice </w:t>
      </w:r>
      <w:r w:rsidRPr="00777C85">
        <w:rPr>
          <w:b/>
          <w:bCs/>
          <w:color w:val="000000"/>
          <w:lang w:val="es-ES_tradnl"/>
        </w:rPr>
        <w:t>30B</w:t>
      </w:r>
      <w:r w:rsidRPr="00777C85">
        <w:rPr>
          <w:color w:val="000000"/>
          <w:lang w:val="es-ES_tradnl"/>
        </w:rPr>
        <w:t xml:space="preserve"> del Reglamento de Radiocomunicaciones y/o las Reso</w:t>
      </w:r>
      <w:r w:rsidRPr="00777C85">
        <w:rPr>
          <w:color w:val="000000"/>
          <w:lang w:val="es-ES_tradnl"/>
        </w:rPr>
        <w:softHyphen/>
        <w:t>luciones relativas al servicio en la banda de frecuencias en la que funciona la estación de dicho servicio.</w:t>
      </w:r>
    </w:p>
    <w:p w14:paraId="54C048AA" w14:textId="77777777" w:rsidR="00E23E53" w:rsidRDefault="00E23E53" w:rsidP="00C84F13">
      <w:pPr>
        <w:rPr>
          <w:color w:val="000000"/>
          <w:lang w:val="es-ES_tradnl"/>
        </w:rPr>
      </w:pPr>
      <w:r>
        <w:rPr>
          <w:color w:val="000000"/>
          <w:lang w:val="es-ES_tradnl"/>
        </w:rPr>
        <w:br w:type="page"/>
      </w:r>
    </w:p>
    <w:p w14:paraId="6FB091EC" w14:textId="77777777" w:rsidR="00665D87" w:rsidRPr="00777C85" w:rsidRDefault="00665D87" w:rsidP="00C84F13">
      <w:pPr>
        <w:rPr>
          <w:color w:val="000000"/>
          <w:lang w:val="es-ES_tradnl"/>
        </w:rPr>
      </w:pPr>
      <w:r w:rsidRPr="00777C85">
        <w:rPr>
          <w:color w:val="000000"/>
          <w:lang w:val="es-ES_tradnl"/>
        </w:rPr>
        <w:lastRenderedPageBreak/>
        <w:t>2</w:t>
      </w:r>
      <w:r w:rsidRPr="00777C85">
        <w:rPr>
          <w:color w:val="000000"/>
          <w:lang w:val="es-ES_tradnl"/>
        </w:rPr>
        <w:tab/>
      </w:r>
      <w:proofErr w:type="gramStart"/>
      <w:r w:rsidRPr="00777C85">
        <w:rPr>
          <w:color w:val="000000"/>
          <w:lang w:val="es-ES_tradnl"/>
        </w:rPr>
        <w:t>A</w:t>
      </w:r>
      <w:proofErr w:type="gramEnd"/>
      <w:r w:rsidRPr="00777C85">
        <w:rPr>
          <w:color w:val="000000"/>
          <w:lang w:val="es-ES_tradnl"/>
        </w:rPr>
        <w:t xml:space="preserve"> continuación figura la lista de «los demás disposiciones» contenidas en los Artículos </w:t>
      </w:r>
      <w:r w:rsidRPr="00777C85">
        <w:rPr>
          <w:rStyle w:val="Artref"/>
          <w:b/>
          <w:color w:val="000000"/>
          <w:lang w:val="es-ES_tradnl"/>
        </w:rPr>
        <w:t>21</w:t>
      </w:r>
      <w:r w:rsidRPr="00777C85">
        <w:rPr>
          <w:color w:val="000000"/>
          <w:lang w:val="es-ES_tradnl"/>
        </w:rPr>
        <w:t xml:space="preserve"> a </w:t>
      </w:r>
      <w:r w:rsidRPr="00777C85">
        <w:rPr>
          <w:rStyle w:val="Artref"/>
          <w:b/>
          <w:color w:val="000000"/>
          <w:lang w:val="es-ES_tradnl"/>
        </w:rPr>
        <w:t xml:space="preserve">22 </w:t>
      </w:r>
      <w:r w:rsidRPr="00777C85">
        <w:rPr>
          <w:color w:val="000000"/>
          <w:lang w:val="es-ES_tradnl"/>
        </w:rPr>
        <w:t>con respecto a las que se examinan las notificaciones:</w:t>
      </w:r>
    </w:p>
    <w:p w14:paraId="63DB07B7" w14:textId="77777777" w:rsidR="00665D87" w:rsidRPr="00777C85" w:rsidRDefault="00665D87" w:rsidP="00110658">
      <w:pPr>
        <w:rPr>
          <w:color w:val="000000"/>
          <w:lang w:val="es-ES_tradnl"/>
        </w:rPr>
      </w:pPr>
      <w:r w:rsidRPr="00777C85">
        <w:rPr>
          <w:color w:val="000000"/>
          <w:lang w:val="es-ES_tradnl"/>
        </w:rPr>
        <w:t>2.1</w:t>
      </w:r>
      <w:r w:rsidRPr="00777C85">
        <w:rPr>
          <w:color w:val="000000"/>
          <w:lang w:val="es-ES_tradnl"/>
        </w:rPr>
        <w:tab/>
        <w:t>conformidad con los límites de potencia para estaciones terrenas estipulados en</w:t>
      </w:r>
      <w:r w:rsidR="00777C85" w:rsidRPr="00777C85">
        <w:rPr>
          <w:color w:val="000000"/>
          <w:lang w:val="es-ES_tradnl"/>
        </w:rPr>
        <w:t> </w:t>
      </w:r>
      <w:r w:rsidRPr="00777C85">
        <w:rPr>
          <w:color w:val="000000"/>
          <w:lang w:val="es-ES_tradnl"/>
        </w:rPr>
        <w:t xml:space="preserve">las disposiciones de los números </w:t>
      </w:r>
      <w:r w:rsidRPr="00777C85">
        <w:rPr>
          <w:rStyle w:val="Artref"/>
          <w:b/>
          <w:color w:val="000000"/>
          <w:lang w:val="es-ES_tradnl"/>
        </w:rPr>
        <w:t>21.8</w:t>
      </w:r>
      <w:r w:rsidRPr="00777C85">
        <w:rPr>
          <w:color w:val="000000"/>
          <w:lang w:val="es-ES_tradnl"/>
        </w:rPr>
        <w:t xml:space="preserve"> y </w:t>
      </w:r>
      <w:r w:rsidRPr="00777C85">
        <w:rPr>
          <w:rStyle w:val="Artref"/>
          <w:b/>
          <w:color w:val="000000"/>
          <w:lang w:val="es-ES_tradnl"/>
        </w:rPr>
        <w:t>21.12</w:t>
      </w:r>
      <w:r w:rsidRPr="00777C85">
        <w:rPr>
          <w:color w:val="000000"/>
          <w:lang w:val="es-ES_tradnl"/>
        </w:rPr>
        <w:t>, teniendo en cuenta lo dispuesto en los números </w:t>
      </w:r>
      <w:r w:rsidRPr="00777C85">
        <w:rPr>
          <w:rStyle w:val="Artref"/>
          <w:b/>
          <w:color w:val="000000"/>
          <w:lang w:val="es-ES_tradnl"/>
        </w:rPr>
        <w:t>21.9</w:t>
      </w:r>
      <w:r w:rsidRPr="00777C85">
        <w:rPr>
          <w:color w:val="000000"/>
          <w:lang w:val="es-ES_tradnl"/>
        </w:rPr>
        <w:t xml:space="preserve"> y </w:t>
      </w:r>
      <w:r w:rsidRPr="00777C85">
        <w:rPr>
          <w:rStyle w:val="Artref"/>
          <w:b/>
          <w:color w:val="000000"/>
          <w:lang w:val="es-ES_tradnl"/>
        </w:rPr>
        <w:t>21.11</w:t>
      </w:r>
      <w:r w:rsidR="00B422C2" w:rsidRPr="00110658">
        <w:rPr>
          <w:rStyle w:val="FootnoteReference"/>
          <w:bCs/>
          <w:color w:val="000000"/>
          <w:szCs w:val="16"/>
          <w:lang w:val="es-ES_tradnl"/>
        </w:rPr>
        <w:footnoteReference w:customMarkFollows="1" w:id="1"/>
        <w:t>1</w:t>
      </w:r>
      <w:r w:rsidRPr="00777C85">
        <w:rPr>
          <w:color w:val="000000"/>
          <w:lang w:val="es-ES_tradnl"/>
        </w:rPr>
        <w:t xml:space="preserve">, y en las disposiciones de los números </w:t>
      </w:r>
      <w:r w:rsidRPr="00777C85">
        <w:rPr>
          <w:rStyle w:val="Artref"/>
          <w:b/>
          <w:color w:val="000000"/>
          <w:lang w:val="es-ES_tradnl"/>
        </w:rPr>
        <w:t>22.26</w:t>
      </w:r>
      <w:r w:rsidRPr="00777C85">
        <w:rPr>
          <w:color w:val="000000"/>
          <w:lang w:val="es-ES_tradnl"/>
        </w:rPr>
        <w:t xml:space="preserve"> a </w:t>
      </w:r>
      <w:r w:rsidRPr="00777C85">
        <w:rPr>
          <w:rStyle w:val="Artref"/>
          <w:b/>
          <w:color w:val="000000"/>
          <w:lang w:val="es-ES_tradnl"/>
        </w:rPr>
        <w:t>22.29</w:t>
      </w:r>
      <w:r w:rsidRPr="00777C85">
        <w:rPr>
          <w:color w:val="000000"/>
          <w:lang w:val="es-ES_tradnl"/>
        </w:rPr>
        <w:t xml:space="preserve"> con arreglo a las condiciones especificadas en las disposiciones de los números </w:t>
      </w:r>
      <w:proofErr w:type="gramStart"/>
      <w:r w:rsidRPr="00777C85">
        <w:rPr>
          <w:rStyle w:val="Artref"/>
          <w:b/>
          <w:color w:val="000000"/>
          <w:lang w:val="es-ES_tradnl"/>
        </w:rPr>
        <w:t>22.30</w:t>
      </w:r>
      <w:r w:rsidRPr="00777C85" w:rsidDel="009255DF">
        <w:rPr>
          <w:rStyle w:val="Artref"/>
          <w:color w:val="000000"/>
          <w:lang w:val="es-ES_tradnl"/>
        </w:rPr>
        <w:t xml:space="preserve"> </w:t>
      </w:r>
      <w:r w:rsidRPr="00777C85">
        <w:rPr>
          <w:rStyle w:val="Artref"/>
          <w:bCs/>
          <w:color w:val="000000"/>
          <w:lang w:val="es-ES_tradnl"/>
        </w:rPr>
        <w:t>,</w:t>
      </w:r>
      <w:proofErr w:type="gramEnd"/>
      <w:r w:rsidRPr="00777C85">
        <w:rPr>
          <w:rStyle w:val="Artref"/>
          <w:bCs/>
          <w:color w:val="000000"/>
          <w:lang w:val="es-ES_tradnl"/>
        </w:rPr>
        <w:t xml:space="preserve"> </w:t>
      </w:r>
      <w:r w:rsidRPr="00777C85">
        <w:rPr>
          <w:rStyle w:val="Artref"/>
          <w:b/>
          <w:color w:val="000000"/>
          <w:lang w:val="es-ES_tradnl"/>
        </w:rPr>
        <w:t xml:space="preserve">22.31 </w:t>
      </w:r>
      <w:r w:rsidRPr="00777C85">
        <w:rPr>
          <w:rStyle w:val="Artref"/>
          <w:color w:val="000000"/>
          <w:lang w:val="es-ES_tradnl"/>
        </w:rPr>
        <w:t xml:space="preserve">y </w:t>
      </w:r>
      <w:r w:rsidRPr="00777C85">
        <w:rPr>
          <w:rStyle w:val="Artref"/>
          <w:b/>
          <w:color w:val="000000"/>
          <w:lang w:val="es-ES_tradnl"/>
        </w:rPr>
        <w:t>22.37</w:t>
      </w:r>
      <w:r w:rsidRPr="00777C85">
        <w:rPr>
          <w:color w:val="000000"/>
          <w:lang w:val="es-ES_tradnl"/>
        </w:rPr>
        <w:t>, donde las estaciones terrenas están sujetas a dichos límites de potencia;</w:t>
      </w:r>
    </w:p>
    <w:p w14:paraId="64C3D06B" w14:textId="77777777" w:rsidR="00665D87" w:rsidRPr="00777C85" w:rsidRDefault="00665D87" w:rsidP="00386926">
      <w:pPr>
        <w:rPr>
          <w:lang w:val="es-ES_tradnl"/>
        </w:rPr>
      </w:pPr>
      <w:r w:rsidRPr="00777C85">
        <w:rPr>
          <w:lang w:val="es-ES_tradnl"/>
        </w:rPr>
        <w:t>2.2</w:t>
      </w:r>
      <w:r w:rsidRPr="00777C85">
        <w:rPr>
          <w:lang w:val="es-ES_tradnl"/>
        </w:rPr>
        <w:tab/>
        <w:t>conformidad con el mínimo ángulo de elevación de las estaciones terrenas estipulado en las disposiciones del número </w:t>
      </w:r>
      <w:r w:rsidRPr="00777C85">
        <w:rPr>
          <w:rStyle w:val="Artref"/>
          <w:b/>
          <w:color w:val="000000"/>
          <w:lang w:val="es-ES_tradnl"/>
        </w:rPr>
        <w:t>21.14</w:t>
      </w:r>
      <w:r w:rsidR="00B422C2" w:rsidRPr="00110658">
        <w:rPr>
          <w:rStyle w:val="FootnoteReference"/>
          <w:bCs/>
          <w:color w:val="000000"/>
          <w:szCs w:val="16"/>
          <w:lang w:val="es-ES_tradnl"/>
        </w:rPr>
        <w:footnoteReference w:customMarkFollows="1" w:id="2"/>
        <w:t>2</w:t>
      </w:r>
      <w:r w:rsidRPr="00777C85">
        <w:rPr>
          <w:lang w:val="es-ES_tradnl"/>
        </w:rPr>
        <w:t>;</w:t>
      </w:r>
    </w:p>
    <w:p w14:paraId="471F8A03" w14:textId="77777777" w:rsidR="0008089F" w:rsidRPr="00C47930" w:rsidRDefault="0008089F" w:rsidP="006A389C">
      <w:pPr>
        <w:rPr>
          <w:sz w:val="16"/>
          <w:szCs w:val="16"/>
          <w:lang w:val="es-ES_tradnl"/>
        </w:rPr>
      </w:pPr>
      <w:r w:rsidRPr="00C81ACF">
        <w:rPr>
          <w:lang w:val="es-ES_tradnl"/>
        </w:rPr>
        <w:t>2.3</w:t>
      </w:r>
      <w:r w:rsidRPr="00C81ACF">
        <w:rPr>
          <w:lang w:val="es-ES_tradnl"/>
        </w:rPr>
        <w:tab/>
        <w:t xml:space="preserve">conformidad con los límites de densidad de flujo de potencia de las estaciones espaciales producido en la superficie de la Tierra según indica el Cuadro </w:t>
      </w:r>
      <w:r w:rsidRPr="00C81ACF">
        <w:rPr>
          <w:b/>
          <w:lang w:val="es-ES_tradnl"/>
        </w:rPr>
        <w:t>21-4</w:t>
      </w:r>
      <w:r w:rsidRPr="00C81ACF">
        <w:rPr>
          <w:lang w:val="es-ES_tradnl"/>
        </w:rPr>
        <w:t xml:space="preserve"> (disposición del número </w:t>
      </w:r>
      <w:r w:rsidRPr="00C81ACF">
        <w:rPr>
          <w:b/>
          <w:lang w:val="es-ES_tradnl"/>
        </w:rPr>
        <w:t>21.16</w:t>
      </w:r>
      <w:r w:rsidRPr="00C81ACF">
        <w:rPr>
          <w:lang w:val="es-ES_tradnl"/>
        </w:rPr>
        <w:t>) teniendo en cuenta, según corresponda, la disposición del número </w:t>
      </w:r>
      <w:r w:rsidRPr="00C81ACF">
        <w:rPr>
          <w:b/>
          <w:lang w:val="es-ES_tradnl"/>
        </w:rPr>
        <w:t>21.17</w:t>
      </w:r>
      <w:r w:rsidRPr="00C81ACF">
        <w:rPr>
          <w:lang w:val="es-ES_tradnl"/>
        </w:rPr>
        <w:t xml:space="preserve">; sin embargo, no </w:t>
      </w:r>
      <w:proofErr w:type="gramStart"/>
      <w:r w:rsidRPr="00C81ACF">
        <w:rPr>
          <w:lang w:val="es-ES_tradnl"/>
        </w:rPr>
        <w:t>será de aplicación</w:t>
      </w:r>
      <w:proofErr w:type="gramEnd"/>
      <w:r w:rsidRPr="00C81ACF">
        <w:rPr>
          <w:lang w:val="es-ES_tradnl"/>
        </w:rPr>
        <w:t xml:space="preserve"> en este caso la Regla de Procedimiento relativa al número </w:t>
      </w:r>
      <w:r w:rsidRPr="00C81ACF">
        <w:rPr>
          <w:b/>
          <w:bCs/>
          <w:lang w:val="es-ES_tradnl"/>
        </w:rPr>
        <w:t>21.16</w:t>
      </w:r>
      <w:r w:rsidRPr="00C81ACF">
        <w:rPr>
          <w:lang w:val="es-ES_tradnl"/>
        </w:rPr>
        <w:t xml:space="preserve"> sobre la aplicación de límites de la densidad de flujo de potencia (dfp) a los haces dirigibles.</w:t>
      </w:r>
      <w:r w:rsidR="00C47930">
        <w:rPr>
          <w:lang w:val="es-ES_tradnl"/>
        </w:rPr>
        <w:t xml:space="preserve">    </w:t>
      </w:r>
    </w:p>
    <w:p w14:paraId="1FFE7992" w14:textId="77777777" w:rsidR="00665D87" w:rsidRPr="00777C85" w:rsidRDefault="00665D87" w:rsidP="00665D87">
      <w:pPr>
        <w:rPr>
          <w:color w:val="000000"/>
          <w:lang w:val="es-ES_tradnl"/>
        </w:rPr>
      </w:pPr>
      <w:r w:rsidRPr="00777C85">
        <w:rPr>
          <w:color w:val="000000"/>
          <w:lang w:val="es-ES_tradnl"/>
        </w:rPr>
        <w:t>2.4</w:t>
      </w:r>
      <w:r w:rsidRPr="00777C85">
        <w:rPr>
          <w:color w:val="000000"/>
          <w:lang w:val="es-ES_tradnl"/>
        </w:rPr>
        <w:tab/>
        <w:t xml:space="preserve">conformidad con el límite especificado en las disposiciones de los números </w:t>
      </w:r>
      <w:r w:rsidRPr="00777C85">
        <w:rPr>
          <w:rStyle w:val="Artref"/>
          <w:b/>
          <w:color w:val="000000"/>
          <w:lang w:val="es-ES_tradnl"/>
        </w:rPr>
        <w:t>22.8</w:t>
      </w:r>
      <w:r w:rsidRPr="00777C85">
        <w:rPr>
          <w:color w:val="000000"/>
          <w:lang w:val="es-ES_tradnl"/>
        </w:rPr>
        <w:t xml:space="preserve"> y </w:t>
      </w:r>
      <w:r w:rsidRPr="00777C85">
        <w:rPr>
          <w:rStyle w:val="Artref"/>
          <w:b/>
          <w:color w:val="000000"/>
          <w:lang w:val="es-ES_tradnl"/>
        </w:rPr>
        <w:t>22.19</w:t>
      </w:r>
      <w:r w:rsidRPr="00777C85">
        <w:rPr>
          <w:color w:val="000000"/>
          <w:lang w:val="es-ES_tradnl"/>
        </w:rPr>
        <w:t>.</w:t>
      </w:r>
    </w:p>
    <w:p w14:paraId="008A9FC6" w14:textId="77777777" w:rsidR="00665D87" w:rsidRPr="00777C85" w:rsidRDefault="00665D87" w:rsidP="00777C85">
      <w:pPr>
        <w:rPr>
          <w:lang w:val="es-ES_tradnl"/>
        </w:rPr>
      </w:pPr>
      <w:r w:rsidRPr="00777C85">
        <w:rPr>
          <w:color w:val="000000"/>
          <w:lang w:val="es-ES_tradnl"/>
        </w:rPr>
        <w:t>2.5</w:t>
      </w:r>
      <w:r w:rsidRPr="00777C85">
        <w:rPr>
          <w:color w:val="000000"/>
          <w:lang w:val="es-ES_tradnl"/>
        </w:rPr>
        <w:tab/>
        <w:t>Las otras disposiciones de los Artículos</w:t>
      </w:r>
      <w:r w:rsidR="00C84F13" w:rsidRPr="00777C85">
        <w:rPr>
          <w:color w:val="000000"/>
          <w:lang w:val="es-ES_tradnl"/>
        </w:rPr>
        <w:t xml:space="preserve"> </w:t>
      </w:r>
      <w:r w:rsidRPr="00777C85">
        <w:rPr>
          <w:rStyle w:val="Artref"/>
          <w:b/>
          <w:color w:val="000000"/>
          <w:lang w:val="es-ES_tradnl"/>
        </w:rPr>
        <w:t>21</w:t>
      </w:r>
      <w:r w:rsidRPr="00777C85">
        <w:rPr>
          <w:color w:val="000000"/>
          <w:lang w:val="es-ES_tradnl"/>
        </w:rPr>
        <w:t xml:space="preserve"> y</w:t>
      </w:r>
      <w:r w:rsidR="00C84F13" w:rsidRPr="00777C85">
        <w:rPr>
          <w:color w:val="000000"/>
          <w:lang w:val="es-ES_tradnl"/>
        </w:rPr>
        <w:t xml:space="preserve"> </w:t>
      </w:r>
      <w:r w:rsidRPr="00777C85">
        <w:rPr>
          <w:rStyle w:val="Artref"/>
          <w:b/>
          <w:color w:val="000000"/>
          <w:lang w:val="es-ES_tradnl"/>
        </w:rPr>
        <w:t>22</w:t>
      </w:r>
      <w:r w:rsidRPr="00777C85">
        <w:rPr>
          <w:color w:val="000000"/>
          <w:lang w:val="es-ES_tradnl"/>
        </w:rPr>
        <w:t xml:space="preserve"> no se tendrán en cuenta en el examen reglamentario con arreglo a los </w:t>
      </w:r>
      <w:r w:rsidRPr="00777C85">
        <w:rPr>
          <w:lang w:val="es-ES_tradnl"/>
        </w:rPr>
        <w:t>§</w:t>
      </w:r>
      <w:r w:rsidR="00777C85" w:rsidRPr="00777C85">
        <w:rPr>
          <w:lang w:val="es-ES_tradnl"/>
        </w:rPr>
        <w:t> </w:t>
      </w:r>
      <w:r w:rsidRPr="00777C85">
        <w:rPr>
          <w:lang w:val="es-ES_tradnl"/>
        </w:rPr>
        <w:t>6.3</w:t>
      </w:r>
      <w:r w:rsidR="00630EB4" w:rsidRPr="00777C85">
        <w:rPr>
          <w:lang w:val="es-ES_tradnl"/>
        </w:rPr>
        <w:t xml:space="preserve"> </w:t>
      </w:r>
      <w:r w:rsidRPr="00777C85">
        <w:rPr>
          <w:i/>
          <w:iCs/>
          <w:lang w:val="es-ES_tradnl"/>
        </w:rPr>
        <w:t>a)</w:t>
      </w:r>
      <w:r w:rsidRPr="00777C85">
        <w:rPr>
          <w:lang w:val="es-ES_tradnl"/>
        </w:rPr>
        <w:t>, 6.19</w:t>
      </w:r>
      <w:r w:rsidR="00630EB4" w:rsidRPr="00777C85">
        <w:rPr>
          <w:lang w:val="es-ES_tradnl"/>
        </w:rPr>
        <w:t xml:space="preserve"> </w:t>
      </w:r>
      <w:r w:rsidRPr="00777C85">
        <w:rPr>
          <w:i/>
          <w:iCs/>
          <w:lang w:val="es-ES_tradnl"/>
        </w:rPr>
        <w:t>b)</w:t>
      </w:r>
      <w:r w:rsidRPr="00777C85">
        <w:rPr>
          <w:lang w:val="es-ES_tradnl"/>
        </w:rPr>
        <w:t>, 7.5</w:t>
      </w:r>
      <w:r w:rsidR="00630EB4" w:rsidRPr="00777C85">
        <w:rPr>
          <w:lang w:val="es-ES_tradnl"/>
        </w:rPr>
        <w:t xml:space="preserve"> </w:t>
      </w:r>
      <w:r w:rsidRPr="00777C85">
        <w:rPr>
          <w:i/>
          <w:iCs/>
          <w:lang w:val="es-ES_tradnl"/>
        </w:rPr>
        <w:t>a)</w:t>
      </w:r>
      <w:r w:rsidRPr="00777C85">
        <w:rPr>
          <w:lang w:val="es-ES_tradnl"/>
        </w:rPr>
        <w:t xml:space="preserve"> y 8.8 </w:t>
      </w:r>
      <w:r w:rsidRPr="00777C85">
        <w:rPr>
          <w:color w:val="000000"/>
          <w:lang w:val="es-ES_tradnl"/>
        </w:rPr>
        <w:t>y la Junta entiende que estas disposiciones deben aplicarse entre las administraciones, si ha lugar.</w:t>
      </w:r>
    </w:p>
    <w:p w14:paraId="61201837" w14:textId="2E0A1DAF" w:rsidR="007F6CC6" w:rsidRPr="00777C85" w:rsidRDefault="007F6CC6" w:rsidP="007E640D">
      <w:pPr>
        <w:pStyle w:val="Heading8"/>
        <w:rPr>
          <w:rStyle w:val="href2"/>
          <w:color w:val="000000"/>
          <w:lang w:val="es-ES_tradnl"/>
        </w:rPr>
      </w:pPr>
      <w:r w:rsidRPr="00777C85">
        <w:rPr>
          <w:rStyle w:val="href2"/>
          <w:color w:val="000000"/>
          <w:lang w:val="es-ES_tradnl"/>
        </w:rPr>
        <w:t>6.5</w:t>
      </w:r>
      <w:r w:rsidR="001D3C95" w:rsidRPr="001D3C95">
        <w:rPr>
          <w:color w:val="000000"/>
          <w:sz w:val="16"/>
          <w:szCs w:val="16"/>
        </w:rPr>
        <w:tab/>
      </w:r>
      <w:r w:rsidR="001D3C95" w:rsidRPr="001D3C95">
        <w:rPr>
          <w:color w:val="000000"/>
          <w:sz w:val="16"/>
          <w:szCs w:val="16"/>
        </w:rPr>
        <w:tab/>
      </w:r>
      <w:r w:rsidR="001D3C95" w:rsidRPr="001D3C95">
        <w:rPr>
          <w:bCs/>
          <w:color w:val="000000"/>
          <w:sz w:val="16"/>
          <w:szCs w:val="16"/>
        </w:rPr>
        <w:t>(MOD RRB20/84)</w:t>
      </w:r>
    </w:p>
    <w:p w14:paraId="274DD30B" w14:textId="7302FAA2" w:rsidR="007F6CC6" w:rsidRPr="00777C85" w:rsidRDefault="007F6CC6" w:rsidP="007F6CC6">
      <w:pPr>
        <w:rPr>
          <w:color w:val="000000"/>
          <w:lang w:val="es-ES_tradnl"/>
        </w:rPr>
      </w:pPr>
      <w:r w:rsidRPr="00777C85">
        <w:rPr>
          <w:color w:val="000000"/>
          <w:lang w:val="es-ES_tradnl"/>
        </w:rPr>
        <w:t>1</w:t>
      </w:r>
      <w:r w:rsidRPr="00777C85">
        <w:rPr>
          <w:color w:val="000000"/>
          <w:lang w:val="es-ES_tradnl"/>
        </w:rPr>
        <w:tab/>
      </w:r>
      <w:r w:rsidR="00501A14" w:rsidRPr="002F4903">
        <w:rPr>
          <w:color w:val="000000"/>
          <w:lang w:val="es-ES_tradnl"/>
        </w:rPr>
        <w:t>(</w:t>
      </w:r>
      <w:r w:rsidR="00501A14" w:rsidRPr="00501A14">
        <w:rPr>
          <w:color w:val="000000"/>
          <w:lang w:val="es-ES_tradnl"/>
        </w:rPr>
        <w:t xml:space="preserve">No </w:t>
      </w:r>
      <w:proofErr w:type="gramStart"/>
      <w:r w:rsidR="00501A14" w:rsidRPr="00501A14">
        <w:rPr>
          <w:color w:val="000000"/>
          <w:lang w:val="es-ES_tradnl"/>
        </w:rPr>
        <w:t>utilizado</w:t>
      </w:r>
      <w:r w:rsidR="00501A14" w:rsidRPr="002F4903">
        <w:rPr>
          <w:color w:val="000000"/>
          <w:lang w:val="es-ES_tradnl"/>
        </w:rPr>
        <w:t>)</w:t>
      </w:r>
      <w:r w:rsidR="001D3C95" w:rsidRPr="002F4903">
        <w:rPr>
          <w:rFonts w:eastAsiaTheme="minorEastAsia"/>
          <w:sz w:val="16"/>
          <w:szCs w:val="16"/>
          <w:lang w:val="es-ES_tradnl"/>
        </w:rPr>
        <w:t xml:space="preserve"> </w:t>
      </w:r>
      <w:r w:rsidR="001D3C95" w:rsidRPr="002F4903">
        <w:rPr>
          <w:color w:val="000000"/>
          <w:sz w:val="16"/>
          <w:szCs w:val="16"/>
          <w:lang w:val="es-ES_tradnl"/>
        </w:rPr>
        <w:t>  </w:t>
      </w:r>
      <w:proofErr w:type="gramEnd"/>
      <w:r w:rsidR="001D3C95" w:rsidRPr="002F4903">
        <w:rPr>
          <w:color w:val="000000"/>
          <w:sz w:val="16"/>
          <w:szCs w:val="16"/>
          <w:lang w:val="es-ES_tradnl"/>
        </w:rPr>
        <w:t>     </w:t>
      </w:r>
      <w:r w:rsidR="001D3C95" w:rsidRPr="002F4903">
        <w:rPr>
          <w:bCs/>
          <w:color w:val="000000"/>
          <w:sz w:val="16"/>
          <w:szCs w:val="16"/>
          <w:lang w:val="es-ES_tradnl"/>
        </w:rPr>
        <w:t>(MOD RRB20/84)</w:t>
      </w:r>
    </w:p>
    <w:p w14:paraId="6FA622DD" w14:textId="4035AE8B" w:rsidR="007F6CC6" w:rsidRDefault="007F6CC6" w:rsidP="00E07128">
      <w:pPr>
        <w:rPr>
          <w:color w:val="000000"/>
          <w:szCs w:val="22"/>
          <w:lang w:val="es-ES_tradnl"/>
        </w:rPr>
      </w:pPr>
      <w:r w:rsidRPr="00777C85">
        <w:rPr>
          <w:color w:val="000000"/>
          <w:lang w:val="es-ES_tradnl"/>
        </w:rPr>
        <w:t>2</w:t>
      </w:r>
      <w:r w:rsidRPr="00777C85">
        <w:rPr>
          <w:color w:val="000000"/>
          <w:lang w:val="es-ES_tradnl"/>
        </w:rPr>
        <w:tab/>
      </w:r>
      <w:proofErr w:type="gramStart"/>
      <w:r w:rsidRPr="00777C85">
        <w:rPr>
          <w:color w:val="000000"/>
          <w:lang w:val="es-ES_tradnl"/>
        </w:rPr>
        <w:t>Al</w:t>
      </w:r>
      <w:proofErr w:type="gramEnd"/>
      <w:r w:rsidRPr="00777C85">
        <w:rPr>
          <w:color w:val="000000"/>
          <w:lang w:val="es-ES_tradnl"/>
        </w:rPr>
        <w:t xml:space="preserve"> analizar la aplicación de los procedimientos reglamentarios consignados en el</w:t>
      </w:r>
      <w:r w:rsidR="00665D87" w:rsidRPr="00777C85">
        <w:rPr>
          <w:color w:val="000000"/>
          <w:lang w:val="es-ES_tradnl"/>
        </w:rPr>
        <w:t> </w:t>
      </w:r>
      <w:r w:rsidRPr="00777C85">
        <w:rPr>
          <w:color w:val="000000"/>
          <w:lang w:val="es-ES_tradnl"/>
        </w:rPr>
        <w:t>Apéndice</w:t>
      </w:r>
      <w:r w:rsidR="00665D87" w:rsidRPr="00777C85">
        <w:rPr>
          <w:color w:val="000000"/>
          <w:lang w:val="es-ES_tradnl"/>
        </w:rPr>
        <w:t xml:space="preserve"> </w:t>
      </w:r>
      <w:r w:rsidRPr="00777C85">
        <w:rPr>
          <w:rStyle w:val="Appref"/>
          <w:b/>
          <w:bCs/>
          <w:color w:val="000000"/>
          <w:lang w:val="es-ES_tradnl"/>
        </w:rPr>
        <w:t>30B</w:t>
      </w:r>
      <w:r w:rsidRPr="00777C85">
        <w:rPr>
          <w:color w:val="000000"/>
          <w:lang w:val="es-ES_tradnl"/>
        </w:rPr>
        <w:t>, la Junta observó que no hay ninguna disposición que prohíba la implementación de transmisiones no simultáneas en el contexto de ese Apéndice. La Junta observó además que este enfoque se utiliza en el contexto de los Apéndices</w:t>
      </w:r>
      <w:r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w:t>
      </w:r>
      <w:r w:rsidRPr="00777C85">
        <w:rPr>
          <w:rStyle w:val="Appref"/>
          <w:b/>
          <w:bCs/>
          <w:color w:val="000000"/>
          <w:lang w:val="es-ES_tradnl"/>
        </w:rPr>
        <w:t>30A</w:t>
      </w:r>
      <w:r w:rsidRPr="00777C85">
        <w:rPr>
          <w:color w:val="000000"/>
          <w:lang w:val="es-ES_tradnl"/>
        </w:rPr>
        <w:t xml:space="preserve"> mediante el concepto de agrupación que se define en los </w:t>
      </w:r>
      <w:r w:rsidRPr="00777C85">
        <w:rPr>
          <w:color w:val="000000"/>
          <w:szCs w:val="22"/>
          <w:lang w:val="es-ES_tradnl"/>
        </w:rPr>
        <w:t>Artículos 9 y 9A del Apéndice</w:t>
      </w:r>
      <w:r w:rsidR="00665D87" w:rsidRPr="00777C85">
        <w:rPr>
          <w:color w:val="000000"/>
          <w:szCs w:val="22"/>
          <w:lang w:val="es-ES_tradnl"/>
        </w:rPr>
        <w:t xml:space="preserve"> </w:t>
      </w:r>
      <w:r w:rsidRPr="00777C85">
        <w:rPr>
          <w:rStyle w:val="Appref"/>
          <w:b/>
          <w:bCs/>
          <w:color w:val="000000"/>
          <w:lang w:val="es-ES_tradnl"/>
        </w:rPr>
        <w:t>30A</w:t>
      </w:r>
      <w:r w:rsidRPr="00777C85">
        <w:rPr>
          <w:color w:val="000000"/>
          <w:szCs w:val="22"/>
          <w:lang w:val="es-ES_tradnl"/>
        </w:rPr>
        <w:t>, los Artículos</w:t>
      </w:r>
      <w:r w:rsidR="00B422C2" w:rsidRPr="00777C85">
        <w:rPr>
          <w:color w:val="000000"/>
          <w:szCs w:val="22"/>
          <w:lang w:val="es-ES_tradnl"/>
        </w:rPr>
        <w:t xml:space="preserve"> </w:t>
      </w:r>
      <w:r w:rsidRPr="00777C85">
        <w:rPr>
          <w:color w:val="000000"/>
          <w:szCs w:val="22"/>
          <w:lang w:val="es-ES_tradnl"/>
        </w:rPr>
        <w:t>10 y 11 del Apéndice</w:t>
      </w:r>
      <w:r w:rsidR="00C84F13" w:rsidRPr="00777C85">
        <w:rPr>
          <w:color w:val="000000"/>
          <w:szCs w:val="22"/>
          <w:lang w:val="es-ES_tradnl"/>
        </w:rPr>
        <w:t xml:space="preserve"> </w:t>
      </w:r>
      <w:r w:rsidRPr="00777C85">
        <w:rPr>
          <w:rStyle w:val="Appref"/>
          <w:b/>
          <w:bCs/>
          <w:color w:val="000000"/>
          <w:lang w:val="es-ES_tradnl"/>
        </w:rPr>
        <w:t>30</w:t>
      </w:r>
      <w:r w:rsidRPr="00777C85">
        <w:rPr>
          <w:color w:val="000000"/>
          <w:szCs w:val="22"/>
          <w:lang w:val="es-ES_tradnl"/>
        </w:rPr>
        <w:t xml:space="preserve"> y las Reglas de Procedimiento relacionadas con los § 4.1.1</w:t>
      </w:r>
      <w:r w:rsidR="00665D87" w:rsidRPr="00777C85">
        <w:rPr>
          <w:color w:val="000000"/>
          <w:szCs w:val="22"/>
          <w:lang w:val="es-ES_tradnl"/>
        </w:rPr>
        <w:t> </w:t>
      </w:r>
      <w:r w:rsidRPr="00777C85">
        <w:rPr>
          <w:i/>
          <w:iCs/>
          <w:color w:val="000000"/>
          <w:szCs w:val="22"/>
          <w:lang w:val="es-ES_tradnl"/>
        </w:rPr>
        <w:t>a)</w:t>
      </w:r>
      <w:r w:rsidRPr="00777C85">
        <w:rPr>
          <w:color w:val="000000"/>
          <w:szCs w:val="22"/>
          <w:lang w:val="es-ES_tradnl"/>
        </w:rPr>
        <w:t xml:space="preserve"> y 4.1.1</w:t>
      </w:r>
      <w:r w:rsidR="00665D87" w:rsidRPr="00777C85">
        <w:rPr>
          <w:lang w:val="es-ES_tradnl"/>
        </w:rPr>
        <w:t> </w:t>
      </w:r>
      <w:r w:rsidRPr="00777C85">
        <w:rPr>
          <w:i/>
          <w:iCs/>
          <w:color w:val="000000"/>
          <w:szCs w:val="22"/>
          <w:lang w:val="es-ES_tradnl"/>
        </w:rPr>
        <w:t>b)</w:t>
      </w:r>
      <w:r w:rsidRPr="00777C85">
        <w:rPr>
          <w:color w:val="000000"/>
          <w:szCs w:val="22"/>
          <w:lang w:val="es-ES_tradnl"/>
        </w:rPr>
        <w:t xml:space="preserve"> de los Apéndices</w:t>
      </w:r>
      <w:r w:rsidR="00B422C2" w:rsidRPr="00777C85">
        <w:rPr>
          <w:color w:val="000000"/>
          <w:szCs w:val="22"/>
          <w:lang w:val="es-ES_tradnl"/>
        </w:rPr>
        <w:t> </w:t>
      </w:r>
      <w:r w:rsidRPr="00777C85">
        <w:rPr>
          <w:rStyle w:val="Appref"/>
          <w:b/>
          <w:bCs/>
          <w:color w:val="000000"/>
          <w:lang w:val="es-ES_tradnl"/>
        </w:rPr>
        <w:t>30</w:t>
      </w:r>
      <w:r w:rsidRPr="00777C85">
        <w:rPr>
          <w:color w:val="000000"/>
          <w:szCs w:val="22"/>
          <w:lang w:val="es-ES_tradnl"/>
        </w:rPr>
        <w:t xml:space="preserve"> y</w:t>
      </w:r>
      <w:r w:rsidR="00B422C2" w:rsidRPr="00777C85">
        <w:rPr>
          <w:color w:val="000000"/>
          <w:szCs w:val="22"/>
          <w:lang w:val="es-ES_tradnl"/>
        </w:rPr>
        <w:t> </w:t>
      </w:r>
      <w:r w:rsidRPr="00777C85">
        <w:rPr>
          <w:rStyle w:val="Appref"/>
          <w:b/>
          <w:bCs/>
          <w:color w:val="000000"/>
          <w:lang w:val="es-ES_tradnl"/>
        </w:rPr>
        <w:t>30A</w:t>
      </w:r>
      <w:r w:rsidRPr="00777C85">
        <w:rPr>
          <w:color w:val="000000"/>
          <w:szCs w:val="22"/>
          <w:lang w:val="es-ES_tradnl"/>
        </w:rPr>
        <w:t>.</w:t>
      </w:r>
      <w:r w:rsidR="00F303A2" w:rsidRPr="002F4903">
        <w:rPr>
          <w:rFonts w:eastAsiaTheme="minorEastAsia"/>
          <w:lang w:val="es-ES_tradnl"/>
        </w:rPr>
        <w:t xml:space="preserve"> </w:t>
      </w:r>
      <w:r w:rsidR="00F303A2" w:rsidRPr="002F4903">
        <w:rPr>
          <w:color w:val="000000"/>
          <w:sz w:val="16"/>
          <w:szCs w:val="16"/>
          <w:lang w:val="es-ES_tradnl"/>
        </w:rPr>
        <w:t>    </w:t>
      </w:r>
      <w:r w:rsidR="00F303A2" w:rsidRPr="00F303A2">
        <w:rPr>
          <w:bCs/>
          <w:color w:val="000000"/>
          <w:sz w:val="16"/>
          <w:szCs w:val="16"/>
        </w:rPr>
        <w:t>(MOD RRB20/84)</w:t>
      </w:r>
    </w:p>
    <w:p w14:paraId="3C371D25" w14:textId="77777777" w:rsidR="00976636" w:rsidRPr="00777C85" w:rsidRDefault="00976636" w:rsidP="00E07128">
      <w:pPr>
        <w:rPr>
          <w:color w:val="000000"/>
          <w:lang w:val="es-ES_tradnl"/>
        </w:rPr>
      </w:pPr>
    </w:p>
    <w:p w14:paraId="2B89070F" w14:textId="77777777" w:rsidR="00976636" w:rsidRDefault="00976636" w:rsidP="00E23E53">
      <w:pPr>
        <w:rPr>
          <w:lang w:val="es-ES_tradnl"/>
        </w:rPr>
        <w:sectPr w:rsidR="00976636" w:rsidSect="0098468E">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14:paraId="7D0B1CC3" w14:textId="681CE36D" w:rsidR="007F6CC6" w:rsidRPr="00976636" w:rsidRDefault="007F6CC6" w:rsidP="00E23E53">
      <w:pPr>
        <w:rPr>
          <w:sz w:val="16"/>
          <w:szCs w:val="16"/>
          <w:lang w:val="es-ES_tradnl"/>
        </w:rPr>
      </w:pPr>
      <w:r w:rsidRPr="00777C85">
        <w:rPr>
          <w:lang w:val="es-ES_tradnl"/>
        </w:rPr>
        <w:lastRenderedPageBreak/>
        <w:t>3</w:t>
      </w:r>
      <w:r w:rsidRPr="00777C85">
        <w:rPr>
          <w:lang w:val="es-ES_tradnl"/>
        </w:rPr>
        <w:tab/>
      </w:r>
      <w:proofErr w:type="gramStart"/>
      <w:r w:rsidRPr="00777C85">
        <w:rPr>
          <w:lang w:val="es-ES_tradnl"/>
        </w:rPr>
        <w:t>En</w:t>
      </w:r>
      <w:proofErr w:type="gramEnd"/>
      <w:r w:rsidRPr="00777C85">
        <w:rPr>
          <w:lang w:val="es-ES_tradnl"/>
        </w:rPr>
        <w:t xml:space="preserve"> vista de lo que antecede, la Junta decidió que se podía aplicar el mismo concepto de agrupación en el contexto de los </w:t>
      </w:r>
      <w:r w:rsidR="00501A14" w:rsidRPr="00501A14">
        <w:rPr>
          <w:lang w:val="es-ES_tradnl"/>
        </w:rPr>
        <w:t>§ 6.5, 6.21 y 6.22</w:t>
      </w:r>
      <w:r w:rsidRPr="00777C85">
        <w:rPr>
          <w:lang w:val="es-ES_tradnl"/>
        </w:rPr>
        <w:t>. A juicio de la Junta, el concepto de agrupación significa que al calcular la interferencia a las inscripciones (adjudicaciones o asignaciones) que forman parte del grupo, sólo se ha de considerar la contribución a la interferencia de las inscripciones que no forman parte del mismo grupo. Por otro lado, para calcular la interferencia causada por las inscripciones que pertenecen a un grupo a las</w:t>
      </w:r>
      <w:r w:rsidR="00C81ACF">
        <w:rPr>
          <w:lang w:val="es-ES_tradnl"/>
        </w:rPr>
        <w:t xml:space="preserve"> </w:t>
      </w:r>
      <w:r w:rsidRPr="00777C85">
        <w:rPr>
          <w:lang w:val="es-ES_tradnl"/>
        </w:rPr>
        <w:t>inscripciones que no forman parte del mismo grupo, sólo se habrá de tener en cuenta la mayor contribución a la interferencia producida por dicho grupo</w:t>
      </w:r>
      <w:r w:rsidRPr="00976636">
        <w:rPr>
          <w:sz w:val="16"/>
          <w:szCs w:val="16"/>
          <w:lang w:val="es-ES_tradnl"/>
        </w:rPr>
        <w:t>.</w:t>
      </w:r>
      <w:r w:rsidR="00976636" w:rsidRPr="002F4903">
        <w:rPr>
          <w:rFonts w:eastAsiaTheme="minorEastAsia"/>
          <w:sz w:val="16"/>
          <w:szCs w:val="16"/>
          <w:lang w:val="es-ES_tradnl"/>
        </w:rPr>
        <w:t xml:space="preserve"> </w:t>
      </w:r>
      <w:r w:rsidR="00976636" w:rsidRPr="002F4903">
        <w:rPr>
          <w:sz w:val="16"/>
          <w:szCs w:val="16"/>
          <w:lang w:val="es-ES_tradnl"/>
        </w:rPr>
        <w:t>      </w:t>
      </w:r>
      <w:r w:rsidR="00976636" w:rsidRPr="00976636">
        <w:rPr>
          <w:bCs/>
          <w:sz w:val="16"/>
          <w:szCs w:val="16"/>
        </w:rPr>
        <w:t>(MOD RRB20/84)</w:t>
      </w:r>
    </w:p>
    <w:p w14:paraId="2E5B72E8" w14:textId="77777777" w:rsidR="007F6CC6" w:rsidRPr="00777C85" w:rsidRDefault="007F6CC6" w:rsidP="007F6CC6">
      <w:pPr>
        <w:rPr>
          <w:color w:val="000000"/>
          <w:lang w:val="es-ES_tradnl"/>
        </w:rPr>
      </w:pPr>
      <w:r w:rsidRPr="00777C85">
        <w:rPr>
          <w:color w:val="000000"/>
          <w:lang w:val="es-ES_tradnl"/>
        </w:rPr>
        <w:t>4</w:t>
      </w:r>
      <w:r w:rsidRPr="00777C85">
        <w:rPr>
          <w:color w:val="000000"/>
          <w:lang w:val="es-ES_tradnl"/>
        </w:rPr>
        <w:tab/>
      </w:r>
      <w:proofErr w:type="gramStart"/>
      <w:r w:rsidRPr="00777C85">
        <w:rPr>
          <w:color w:val="000000"/>
          <w:lang w:val="es-ES_tradnl"/>
        </w:rPr>
        <w:t>La</w:t>
      </w:r>
      <w:proofErr w:type="gramEnd"/>
      <w:r w:rsidRPr="00777C85">
        <w:rPr>
          <w:color w:val="000000"/>
          <w:lang w:val="es-ES_tradnl"/>
        </w:rPr>
        <w:t xml:space="preserve"> Junta no encontró ninguna justificación reglamentaria para ampliar la utilización de agrupaciones con el fin de incluir múltiples posiciones orbitales. No obstante, se podría considerar la agrupación de redes en diferentes posiciones orbitales antes de la inclusión de las asignaciones en la Lista para modificar la posición orbital de una red.</w:t>
      </w:r>
    </w:p>
    <w:p w14:paraId="0553F0BF" w14:textId="77777777" w:rsidR="007F6CC6" w:rsidRPr="00777C85" w:rsidRDefault="007F6CC6" w:rsidP="0047741C">
      <w:pPr>
        <w:rPr>
          <w:color w:val="000000"/>
          <w:lang w:val="es-ES_tradnl"/>
        </w:rPr>
      </w:pPr>
      <w:r w:rsidRPr="00777C85">
        <w:rPr>
          <w:color w:val="000000"/>
          <w:lang w:val="es-ES_tradnl"/>
        </w:rPr>
        <w:t>5</w:t>
      </w:r>
      <w:r w:rsidRPr="00777C85">
        <w:rPr>
          <w:color w:val="000000"/>
          <w:lang w:val="es-ES_tradnl"/>
        </w:rPr>
        <w:tab/>
      </w:r>
      <w:proofErr w:type="gramStart"/>
      <w:r w:rsidRPr="00777C85">
        <w:rPr>
          <w:color w:val="000000"/>
          <w:lang w:val="es-ES_tradnl"/>
        </w:rPr>
        <w:t>Para</w:t>
      </w:r>
      <w:proofErr w:type="gramEnd"/>
      <w:r w:rsidRPr="00777C85">
        <w:rPr>
          <w:color w:val="000000"/>
          <w:lang w:val="es-ES_tradnl"/>
        </w:rPr>
        <w:t xml:space="preserve"> aplicar de manera coherente el </w:t>
      </w:r>
      <w:r w:rsidRPr="00777C85">
        <w:rPr>
          <w:i/>
          <w:iCs/>
          <w:color w:val="000000"/>
          <w:lang w:val="es-ES_tradnl"/>
        </w:rPr>
        <w:t>encarga a la Oficina de Radiocomunica</w:t>
      </w:r>
      <w:r w:rsidR="00665D87" w:rsidRPr="00777C85">
        <w:rPr>
          <w:i/>
          <w:iCs/>
          <w:color w:val="000000"/>
          <w:lang w:val="es-ES_tradnl"/>
        </w:rPr>
        <w:softHyphen/>
      </w:r>
      <w:r w:rsidRPr="00777C85">
        <w:rPr>
          <w:i/>
          <w:iCs/>
          <w:color w:val="000000"/>
          <w:lang w:val="es-ES_tradnl"/>
        </w:rPr>
        <w:t>ciones</w:t>
      </w:r>
      <w:r w:rsidRPr="00777C85">
        <w:rPr>
          <w:color w:val="000000"/>
          <w:lang w:val="es-ES_tradnl"/>
        </w:rPr>
        <w:t> 2 de la Resolución</w:t>
      </w:r>
      <w:r w:rsidR="00C84F13" w:rsidRPr="00777C85">
        <w:rPr>
          <w:color w:val="000000"/>
          <w:lang w:val="es-ES_tradnl"/>
        </w:rPr>
        <w:t xml:space="preserve"> </w:t>
      </w:r>
      <w:r w:rsidRPr="00777C85">
        <w:rPr>
          <w:b/>
          <w:bCs/>
          <w:color w:val="000000"/>
          <w:lang w:val="es-ES_tradnl"/>
        </w:rPr>
        <w:t>148 (CMR-</w:t>
      </w:r>
      <w:r w:rsidR="0047741C">
        <w:rPr>
          <w:b/>
          <w:bCs/>
          <w:color w:val="000000"/>
          <w:lang w:val="es-ES_tradnl"/>
        </w:rPr>
        <w:t>15</w:t>
      </w:r>
      <w:r w:rsidRPr="00777C85">
        <w:rPr>
          <w:b/>
          <w:bCs/>
          <w:color w:val="000000"/>
          <w:lang w:val="es-ES_tradnl"/>
        </w:rPr>
        <w:t>)</w:t>
      </w:r>
      <w:r w:rsidRPr="00777C85">
        <w:rPr>
          <w:color w:val="000000"/>
          <w:lang w:val="es-ES_tradnl"/>
        </w:rPr>
        <w:t xml:space="preserve">, al calcular la interferencia de una sola fuente no se tendrá en cuenta la interferencia entre asignaciones a los «sistemas existentes», tal como se indica en los </w:t>
      </w:r>
      <w:r w:rsidRPr="00777C85">
        <w:rPr>
          <w:i/>
          <w:iCs/>
          <w:color w:val="000000"/>
          <w:lang w:val="es-ES_tradnl"/>
        </w:rPr>
        <w:t>considerando b)</w:t>
      </w:r>
      <w:r w:rsidRPr="00777C85">
        <w:rPr>
          <w:color w:val="000000"/>
          <w:lang w:val="es-ES_tradnl"/>
        </w:rPr>
        <w:t xml:space="preserve"> y </w:t>
      </w:r>
      <w:r w:rsidRPr="00777C85">
        <w:rPr>
          <w:i/>
          <w:iCs/>
          <w:color w:val="000000"/>
          <w:lang w:val="es-ES_tradnl"/>
        </w:rPr>
        <w:t>c)</w:t>
      </w:r>
      <w:r w:rsidRPr="00777C85">
        <w:rPr>
          <w:color w:val="000000"/>
          <w:lang w:val="es-ES_tradnl"/>
        </w:rPr>
        <w:t xml:space="preserve"> de dicha Resolución.</w:t>
      </w:r>
    </w:p>
    <w:p w14:paraId="0047874A" w14:textId="77777777" w:rsidR="007F6CC6" w:rsidRDefault="007F6CC6" w:rsidP="00C84F13">
      <w:pPr>
        <w:rPr>
          <w:color w:val="000000"/>
          <w:lang w:val="es-ES_tradnl"/>
        </w:rPr>
      </w:pPr>
      <w:r w:rsidRPr="00777C85">
        <w:rPr>
          <w:color w:val="000000"/>
          <w:lang w:val="es-ES_tradnl"/>
        </w:rPr>
        <w:t>6</w:t>
      </w:r>
      <w:r w:rsidRPr="00777C85">
        <w:rPr>
          <w:color w:val="000000"/>
          <w:lang w:val="es-ES_tradnl"/>
        </w:rPr>
        <w:tab/>
      </w:r>
      <w:proofErr w:type="gramStart"/>
      <w:r w:rsidRPr="00777C85">
        <w:rPr>
          <w:color w:val="000000"/>
          <w:lang w:val="es-ES_tradnl"/>
        </w:rPr>
        <w:t>Véase</w:t>
      </w:r>
      <w:proofErr w:type="gramEnd"/>
      <w:r w:rsidRPr="00777C85">
        <w:rPr>
          <w:color w:val="000000"/>
          <w:lang w:val="es-ES_tradnl"/>
        </w:rPr>
        <w:t xml:space="preserve"> asimismo la </w:t>
      </w:r>
      <w:r w:rsidRPr="00777C85">
        <w:rPr>
          <w:i/>
          <w:iCs/>
          <w:color w:val="000000"/>
          <w:lang w:val="es-ES_tradnl"/>
        </w:rPr>
        <w:t>Nota de la Secretaría</w:t>
      </w:r>
      <w:r w:rsidRPr="00777C85">
        <w:rPr>
          <w:color w:val="000000"/>
          <w:lang w:val="es-ES_tradnl"/>
        </w:rPr>
        <w:t xml:space="preserve"> relacionada con las «redes de múltiples haces» que se indica en la columna</w:t>
      </w:r>
      <w:r w:rsidR="00C84F13" w:rsidRPr="00777C85">
        <w:rPr>
          <w:color w:val="000000"/>
          <w:lang w:val="es-ES_tradnl"/>
        </w:rPr>
        <w:t xml:space="preserve"> </w:t>
      </w:r>
      <w:r w:rsidRPr="00777C85">
        <w:rPr>
          <w:color w:val="000000"/>
          <w:lang w:val="es-ES_tradnl"/>
        </w:rPr>
        <w:t>10 de los cuadros contenidos en el Artículo 10 del Apéndice</w:t>
      </w:r>
      <w:r w:rsidR="00665D87" w:rsidRPr="00777C85">
        <w:rPr>
          <w:color w:val="000000"/>
          <w:lang w:val="es-ES_tradnl"/>
        </w:rPr>
        <w:t> </w:t>
      </w:r>
      <w:r w:rsidRPr="00777C85">
        <w:rPr>
          <w:b/>
          <w:bCs/>
          <w:color w:val="000000"/>
          <w:lang w:val="es-ES_tradnl"/>
        </w:rPr>
        <w:t>30B</w:t>
      </w:r>
      <w:r w:rsidRPr="00777C85">
        <w:rPr>
          <w:color w:val="000000"/>
          <w:lang w:val="es-ES_tradnl"/>
        </w:rPr>
        <w:t>.</w:t>
      </w:r>
    </w:p>
    <w:p w14:paraId="531DC253" w14:textId="2AA03E20" w:rsidR="000359A6" w:rsidRPr="000359A6" w:rsidRDefault="000359A6" w:rsidP="006A389C">
      <w:pPr>
        <w:pStyle w:val="Heading8"/>
        <w:rPr>
          <w:color w:val="000000"/>
          <w:lang w:val="es-ES_tradnl"/>
        </w:rPr>
      </w:pPr>
      <w:r w:rsidRPr="000359A6">
        <w:rPr>
          <w:color w:val="000000"/>
          <w:lang w:val="es-ES_tradnl"/>
        </w:rPr>
        <w:t>6.6</w:t>
      </w:r>
      <w:r w:rsidRPr="000359A6">
        <w:rPr>
          <w:color w:val="000000"/>
          <w:lang w:val="es-ES_tradnl"/>
        </w:rPr>
        <w:tab/>
      </w:r>
      <w:r w:rsidRPr="00976636">
        <w:rPr>
          <w:color w:val="000000"/>
          <w:sz w:val="16"/>
          <w:szCs w:val="16"/>
          <w:lang w:val="es-ES_tradnl"/>
        </w:rPr>
        <w:tab/>
      </w:r>
      <w:r w:rsidR="00976636" w:rsidRPr="002F4903">
        <w:rPr>
          <w:bCs/>
          <w:color w:val="000000"/>
          <w:sz w:val="16"/>
          <w:szCs w:val="16"/>
          <w:lang w:val="es-ES_tradnl"/>
        </w:rPr>
        <w:t>(MOD RRB20/84)</w:t>
      </w:r>
    </w:p>
    <w:p w14:paraId="37B4DCF2" w14:textId="77777777" w:rsidR="000359A6" w:rsidRPr="000359A6" w:rsidRDefault="000359A6" w:rsidP="000359A6">
      <w:pPr>
        <w:pStyle w:val="Headingb0"/>
        <w:spacing w:before="40" w:after="40"/>
        <w:rPr>
          <w:rFonts w:asciiTheme="majorBidi" w:hAnsiTheme="majorBidi" w:cstheme="majorBidi"/>
          <w:lang w:val="es-ES_tradnl"/>
        </w:rPr>
      </w:pPr>
      <w:r w:rsidRPr="000359A6">
        <w:rPr>
          <w:rFonts w:asciiTheme="majorBidi" w:hAnsiTheme="majorBidi" w:cstheme="majorBidi"/>
          <w:lang w:val="es-ES_tradnl"/>
        </w:rPr>
        <w:t>Acuerdo de una administración cuyo territorio está parcial o totalmente incluido en la zona de servicio de una asignación</w:t>
      </w:r>
    </w:p>
    <w:p w14:paraId="308CFC44"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 xml:space="preserve">La Junta decidió que se requieren de manera explícita los acuerdos administrativos de las administraciones cuyos territorios están parcial o totalmente incluidos en la zona de servicio de una asignación en proceso de examen y habrán de obtenerse al incorporar la asignación a la Lista, con independencia de que sus adjudicaciones en el Plan o sus asignaciones estén identificadas como afectadas con arreglo al § 6.5. Si una administración identificada no formula comentarios ni responde a la solicitud de la administración notificante para recabar el acuerdo en virtud del § 6.6, se considerará que la primera administración está en desacuerdo con la inclusión de su territorio en la zona de servicio prevista de la asignación. </w:t>
      </w:r>
    </w:p>
    <w:p w14:paraId="23C7C86C" w14:textId="7000EF59" w:rsidR="0051045C" w:rsidRPr="002F4903" w:rsidRDefault="0051045C" w:rsidP="0051045C">
      <w:pPr>
        <w:spacing w:before="160" w:line="280" w:lineRule="exact"/>
        <w:rPr>
          <w:szCs w:val="22"/>
          <w:lang w:val="es-ES_tradnl"/>
        </w:rPr>
      </w:pPr>
      <w:r w:rsidRPr="002F4903">
        <w:rPr>
          <w:szCs w:val="22"/>
          <w:lang w:val="es-ES_tradnl"/>
        </w:rPr>
        <w:t xml:space="preserve">Si, en el examen de una red de satélites presentada en aplicación del § 6.17, la Oficina concluye que el territorio de una administración está parcial o totalmente incluido en la zona de servicio de la red sin haber obtenido un acuerdo explícito por parte de dicha administración antes de la notificación en virtud del § 6.17, pedirá a la administración notificante que excluya de la zona de servicio el territorio y los puntos de prueba asociados. Si la administración notificante insiste en mantener la zona de servicio sin cambios, la conclusión del examen en virtud del § 6.19 a) será desfavorable. </w:t>
      </w:r>
    </w:p>
    <w:p w14:paraId="17413E18" w14:textId="77777777" w:rsidR="000359A6" w:rsidRPr="000359A6" w:rsidRDefault="000359A6" w:rsidP="000359A6">
      <w:pPr>
        <w:rPr>
          <w:rFonts w:asciiTheme="majorBidi" w:hAnsiTheme="majorBidi" w:cstheme="majorBidi"/>
          <w:lang w:val="es-ES_tradnl"/>
        </w:rPr>
      </w:pPr>
      <w:r w:rsidRPr="000359A6">
        <w:rPr>
          <w:rFonts w:asciiTheme="majorBidi" w:hAnsiTheme="majorBidi" w:cstheme="majorBidi"/>
          <w:lang w:val="es-ES_tradnl"/>
        </w:rPr>
        <w:t>Toda administración que haya expresado su acuerdo para incluir su territorio en la zona de servicio de una asignación puede retirar dicho acuerdo en cualquier momento, con arreglo a lo dispuesto en el § 6.16.</w:t>
      </w:r>
    </w:p>
    <w:p w14:paraId="3CF7CFDF" w14:textId="77777777" w:rsidR="000359A6" w:rsidRDefault="000359A6">
      <w:pPr>
        <w:tabs>
          <w:tab w:val="clear" w:pos="1134"/>
          <w:tab w:val="clear" w:pos="1871"/>
          <w:tab w:val="clear" w:pos="2268"/>
        </w:tabs>
        <w:overflowPunct/>
        <w:autoSpaceDE/>
        <w:autoSpaceDN/>
        <w:adjustRightInd/>
        <w:spacing w:before="0"/>
        <w:jc w:val="left"/>
        <w:textAlignment w:val="auto"/>
        <w:rPr>
          <w:color w:val="000000"/>
          <w:sz w:val="16"/>
          <w:szCs w:val="16"/>
          <w:lang w:val="es-ES_tradnl"/>
        </w:rPr>
      </w:pPr>
      <w:r>
        <w:rPr>
          <w:color w:val="000000"/>
          <w:sz w:val="16"/>
          <w:szCs w:val="16"/>
          <w:lang w:val="es-ES_tradnl"/>
        </w:rPr>
        <w:br w:type="page"/>
      </w:r>
    </w:p>
    <w:p w14:paraId="09EE7DD9" w14:textId="77777777" w:rsidR="009F2058" w:rsidRPr="000359A6" w:rsidRDefault="009F2058" w:rsidP="006A389C">
      <w:pPr>
        <w:pStyle w:val="Heading8"/>
        <w:rPr>
          <w:color w:val="000000"/>
          <w:lang w:val="es-ES_tradnl"/>
        </w:rPr>
      </w:pPr>
      <w:r w:rsidRPr="000359A6">
        <w:rPr>
          <w:color w:val="000000"/>
          <w:lang w:val="es-ES_tradnl"/>
        </w:rPr>
        <w:t>6.</w:t>
      </w:r>
      <w:r>
        <w:rPr>
          <w:color w:val="000000"/>
          <w:lang w:val="es-ES_tradnl"/>
        </w:rPr>
        <w:t>1</w:t>
      </w:r>
      <w:r w:rsidRPr="000359A6">
        <w:rPr>
          <w:color w:val="000000"/>
          <w:lang w:val="es-ES_tradnl"/>
        </w:rPr>
        <w:t>6</w:t>
      </w:r>
      <w:r w:rsidRPr="000359A6">
        <w:rPr>
          <w:color w:val="000000"/>
          <w:lang w:val="es-ES_tradnl"/>
        </w:rPr>
        <w:tab/>
      </w:r>
      <w:r w:rsidRPr="000359A6">
        <w:rPr>
          <w:color w:val="000000"/>
          <w:lang w:val="es-ES_tradnl"/>
        </w:rPr>
        <w:tab/>
      </w:r>
    </w:p>
    <w:p w14:paraId="1D5EAD86" w14:textId="77777777" w:rsidR="00C81ACF" w:rsidRPr="00C81ACF" w:rsidRDefault="00C81ACF" w:rsidP="00C81ACF">
      <w:pPr>
        <w:rPr>
          <w:lang w:val="es-ES_tradnl"/>
        </w:rPr>
      </w:pPr>
      <w:r w:rsidRPr="00C81ACF">
        <w:rPr>
          <w:lang w:val="es-ES_tradnl"/>
        </w:rPr>
        <w:t>1</w:t>
      </w:r>
      <w:r w:rsidRPr="00C81ACF">
        <w:rPr>
          <w:lang w:val="es-ES_tradnl"/>
        </w:rPr>
        <w:tab/>
      </w:r>
      <w:proofErr w:type="gramStart"/>
      <w:r w:rsidRPr="00C81ACF">
        <w:rPr>
          <w:lang w:val="es-ES_tradnl"/>
        </w:rPr>
        <w:t>Cuando</w:t>
      </w:r>
      <w:proofErr w:type="gramEnd"/>
      <w:r w:rsidRPr="00C81ACF">
        <w:rPr>
          <w:lang w:val="es-ES_tradnl"/>
        </w:rPr>
        <w:t xml:space="preserve"> la Oficina reciba una objeción para su inclusión en la zona de servicio de una asignación de una administración, de conformidad con el § 6.16 del Apéndice </w:t>
      </w:r>
      <w:r w:rsidRPr="00C81ACF">
        <w:rPr>
          <w:b/>
          <w:bCs/>
          <w:lang w:val="es-ES_tradnl"/>
        </w:rPr>
        <w:t>30B</w:t>
      </w:r>
      <w:r w:rsidRPr="00C81ACF">
        <w:rPr>
          <w:lang w:val="es-ES_tradnl"/>
        </w:rPr>
        <w:t xml:space="preserve">, la Oficina publicará la zona de servicio modificada para su exclusión del territorio de la zona de servicio, si la asignación ya se ha incluido en la Lista. Si la asignación se encuentra en fase de coordinación y aún no se ha incluido en la Lista (es decir, sólo se ha publicado en una Sección Especial AP30B/A6A/--), la Oficina tendrá la objeción en cuenta a la hora de efectuar el examen de conformidad con el § 6.19 </w:t>
      </w:r>
      <w:r w:rsidRPr="00C81ACF">
        <w:rPr>
          <w:i/>
          <w:iCs/>
          <w:lang w:val="es-ES_tradnl"/>
        </w:rPr>
        <w:t>a)</w:t>
      </w:r>
      <w:r w:rsidRPr="00C81ACF">
        <w:rPr>
          <w:lang w:val="es-ES_tradnl"/>
        </w:rPr>
        <w:t xml:space="preserve"> cuando la administración notificante haya notificado la asignación en virtud del § 6.17. las características definitivas de la asignación en la Lista (es decir, las publicadas en una Sección Especial AP30B/A6B/--) no incluirán el territorio y los puntos de prueba que se encuentren dentro del territorio de la administración que presenta la objeción en la zona de servicio.</w:t>
      </w:r>
    </w:p>
    <w:p w14:paraId="5433B04A" w14:textId="77777777" w:rsidR="00C81ACF" w:rsidRDefault="00C81ACF" w:rsidP="00C81ACF">
      <w:pPr>
        <w:rPr>
          <w:lang w:val="es-ES_tradnl" w:eastAsia="zh-CN"/>
        </w:rPr>
      </w:pPr>
      <w:r w:rsidRPr="00C81ACF">
        <w:rPr>
          <w:lang w:val="es-ES_tradnl" w:eastAsia="zh-CN"/>
        </w:rPr>
        <w:t>2</w:t>
      </w:r>
      <w:r w:rsidRPr="00C81ACF">
        <w:rPr>
          <w:lang w:val="es-ES_tradnl" w:eastAsia="zh-CN"/>
        </w:rPr>
        <w:tab/>
      </w:r>
      <w:proofErr w:type="gramStart"/>
      <w:r w:rsidRPr="00C81ACF">
        <w:rPr>
          <w:lang w:val="es-ES_tradnl" w:eastAsia="zh-CN"/>
        </w:rPr>
        <w:t>No</w:t>
      </w:r>
      <w:proofErr w:type="gramEnd"/>
      <w:r w:rsidRPr="00C81ACF">
        <w:rPr>
          <w:lang w:val="es-ES_tradnl" w:eastAsia="zh-CN"/>
        </w:rPr>
        <w:t xml:space="preserve"> obstante, una administración puede oponerse a que se incluya su territorio en la zona de servicio de una asignación de otra administración que aún no figure en la Lista, y solicitar explícitamente que su objeción se tenga en cuenta a la hora de efectuar el examen de su propia red, notificada en virtud del § 6.17 del Apéndice </w:t>
      </w:r>
      <w:r w:rsidRPr="00C81ACF">
        <w:rPr>
          <w:b/>
          <w:bCs/>
          <w:lang w:val="es-ES_tradnl" w:eastAsia="zh-CN"/>
        </w:rPr>
        <w:t>30B</w:t>
      </w:r>
      <w:r w:rsidRPr="00C81ACF">
        <w:rPr>
          <w:lang w:val="es-ES_tradnl" w:eastAsia="zh-CN"/>
        </w:rPr>
        <w:t>,</w:t>
      </w:r>
      <w:r w:rsidRPr="00C81ACF">
        <w:rPr>
          <w:b/>
          <w:bCs/>
          <w:lang w:val="es-ES_tradnl" w:eastAsia="zh-CN"/>
        </w:rPr>
        <w:t xml:space="preserve"> </w:t>
      </w:r>
      <w:r w:rsidRPr="00C81ACF">
        <w:rPr>
          <w:lang w:val="es-ES_tradnl" w:eastAsia="zh-CN"/>
        </w:rPr>
        <w:t xml:space="preserve">a fin de facilitar la inclusión en la Lista de las asignaciones de su propia red. En este caso, la objeción debe considerarse definitiva. Entonces, de conformidad con el § 6.16 del Apéndice </w:t>
      </w:r>
      <w:r w:rsidRPr="00C81ACF">
        <w:rPr>
          <w:b/>
          <w:bCs/>
          <w:lang w:val="es-ES_tradnl" w:eastAsia="zh-CN"/>
        </w:rPr>
        <w:t>30B</w:t>
      </w:r>
      <w:r w:rsidRPr="00C81ACF">
        <w:rPr>
          <w:lang w:val="es-ES_tradnl" w:eastAsia="zh-CN"/>
        </w:rPr>
        <w:t xml:space="preserve">, la Oficina excluirá el territorio y los puntos de prueba que se encuentran en el territorio de la administración que presenta la objeción de la zona de servicio de la asignación objetada y publicará la zona de servicio modificada en la modificación de la Sección Especial </w:t>
      </w:r>
      <w:r w:rsidRPr="00C81ACF">
        <w:rPr>
          <w:lang w:val="es-ES_tradnl"/>
        </w:rPr>
        <w:t>AP30B/A6</w:t>
      </w:r>
      <w:r w:rsidRPr="00C81ACF">
        <w:rPr>
          <w:lang w:val="es-ES_tradnl" w:eastAsia="zh-CN"/>
        </w:rPr>
        <w:t>A/--</w:t>
      </w:r>
      <w:r w:rsidRPr="00C81ACF">
        <w:rPr>
          <w:lang w:val="es-ES_tradnl"/>
        </w:rPr>
        <w:t xml:space="preserve"> correspondiente. La modificación de la zona de servicio y la supresión de los puntos de prueba se tendrá en cuenta en los exámenes subsiguientes, incluidos los efectuados en virtud de los</w:t>
      </w:r>
      <w:r w:rsidRPr="00C81ACF">
        <w:rPr>
          <w:lang w:val="es-ES_tradnl" w:eastAsia="zh-CN"/>
        </w:rPr>
        <w:t xml:space="preserve"> § 6.21 y § 6.22 del Apéndice </w:t>
      </w:r>
      <w:r w:rsidRPr="00C81ACF">
        <w:rPr>
          <w:b/>
          <w:bCs/>
          <w:lang w:val="es-ES_tradnl" w:eastAsia="zh-CN"/>
        </w:rPr>
        <w:t>30B</w:t>
      </w:r>
      <w:r w:rsidRPr="00C81ACF">
        <w:rPr>
          <w:lang w:val="es-ES_tradnl" w:eastAsia="zh-CN"/>
        </w:rPr>
        <w:t xml:space="preserve"> de la red notificada por la administración que presenta la objeción en virtud del § 6.17 del Apéndice </w:t>
      </w:r>
      <w:r w:rsidRPr="00C81ACF">
        <w:rPr>
          <w:b/>
          <w:bCs/>
          <w:lang w:val="es-ES_tradnl" w:eastAsia="zh-CN"/>
        </w:rPr>
        <w:t>30B</w:t>
      </w:r>
      <w:r w:rsidRPr="00C81ACF">
        <w:rPr>
          <w:lang w:val="es-ES_tradnl" w:eastAsia="zh-CN"/>
        </w:rPr>
        <w:t>.</w:t>
      </w:r>
    </w:p>
    <w:p w14:paraId="5DFEF314" w14:textId="77777777" w:rsidR="00665D87" w:rsidRPr="00777C85" w:rsidRDefault="00665D87" w:rsidP="00665D87">
      <w:pPr>
        <w:pStyle w:val="Heading8"/>
        <w:rPr>
          <w:lang w:val="es-ES_tradnl"/>
        </w:rPr>
      </w:pPr>
      <w:r w:rsidRPr="00777C85">
        <w:rPr>
          <w:lang w:val="es-ES_tradnl"/>
        </w:rPr>
        <w:t>6.19</w:t>
      </w:r>
      <w:r w:rsidR="00630EB4" w:rsidRPr="00777C85">
        <w:rPr>
          <w:lang w:val="es-ES_tradnl"/>
        </w:rPr>
        <w:t xml:space="preserve"> </w:t>
      </w:r>
      <w:r w:rsidRPr="00777C85">
        <w:rPr>
          <w:i/>
          <w:iCs/>
          <w:lang w:val="es-ES_tradnl"/>
        </w:rPr>
        <w:t>b)</w:t>
      </w:r>
    </w:p>
    <w:p w14:paraId="18C02B32" w14:textId="77777777" w:rsidR="00665D87" w:rsidRPr="00777C85" w:rsidRDefault="00665D87" w:rsidP="00777C85">
      <w:pPr>
        <w:rPr>
          <w:lang w:val="es-ES_tradnl"/>
        </w:rPr>
      </w:pPr>
      <w:r w:rsidRPr="00777C85">
        <w:rPr>
          <w:bCs/>
          <w:szCs w:val="24"/>
          <w:lang w:val="es-ES_tradnl"/>
        </w:rPr>
        <w:t>Véanse las reglas de procedimiento relacionadas con el § 6.3</w:t>
      </w:r>
      <w:r w:rsidR="00777C85" w:rsidRPr="00777C85">
        <w:rPr>
          <w:bCs/>
          <w:szCs w:val="24"/>
          <w:lang w:val="es-ES_tradnl"/>
        </w:rPr>
        <w:t> </w:t>
      </w:r>
      <w:r w:rsidRPr="00777C85">
        <w:rPr>
          <w:bCs/>
          <w:i/>
          <w:iCs/>
          <w:szCs w:val="24"/>
          <w:lang w:val="es-ES_tradnl"/>
        </w:rPr>
        <w:t>a)</w:t>
      </w:r>
      <w:r w:rsidRPr="00777C85">
        <w:rPr>
          <w:bCs/>
          <w:szCs w:val="24"/>
          <w:lang w:val="es-ES_tradnl"/>
        </w:rPr>
        <w:t>.</w:t>
      </w:r>
    </w:p>
    <w:p w14:paraId="1F45EA58" w14:textId="77777777" w:rsidR="00633F5A" w:rsidRPr="00777C85" w:rsidRDefault="00633F5A" w:rsidP="00665D87">
      <w:pPr>
        <w:pStyle w:val="Heading8"/>
        <w:rPr>
          <w:lang w:val="es-ES_tradnl"/>
        </w:rPr>
      </w:pPr>
      <w:r w:rsidRPr="00777C85">
        <w:rPr>
          <w:lang w:val="es-ES_tradnl"/>
        </w:rPr>
        <w:t>6.21</w:t>
      </w:r>
    </w:p>
    <w:p w14:paraId="583BE8E4" w14:textId="77777777" w:rsidR="00633F5A" w:rsidRDefault="00633F5A" w:rsidP="00665D87">
      <w:pPr>
        <w:rPr>
          <w:lang w:val="es-ES_tradnl"/>
        </w:rPr>
      </w:pPr>
      <w:r w:rsidRPr="00777C85">
        <w:rPr>
          <w:lang w:val="es-ES_tradnl"/>
        </w:rPr>
        <w:t>Véanse las Reglas de Procedimiento relacionadas con el §</w:t>
      </w:r>
      <w:r w:rsidR="00665D87" w:rsidRPr="00777C85">
        <w:rPr>
          <w:lang w:val="es-ES_tradnl"/>
        </w:rPr>
        <w:t> </w:t>
      </w:r>
      <w:r w:rsidRPr="00777C85">
        <w:rPr>
          <w:lang w:val="es-ES_tradnl"/>
        </w:rPr>
        <w:t>6.5.</w:t>
      </w:r>
    </w:p>
    <w:p w14:paraId="0D625224" w14:textId="77777777" w:rsidR="00FC67B4" w:rsidRDefault="00FC67B4" w:rsidP="00665D87">
      <w:pPr>
        <w:rPr>
          <w:lang w:val="es-ES_tradnl"/>
        </w:rPr>
      </w:pPr>
    </w:p>
    <w:p w14:paraId="0FF5E45B" w14:textId="77777777" w:rsidR="00FC67B4" w:rsidRDefault="00FC67B4" w:rsidP="00665D87">
      <w:pPr>
        <w:rPr>
          <w:lang w:val="es-ES_tradnl"/>
        </w:rPr>
      </w:pPr>
    </w:p>
    <w:p w14:paraId="07CDC0E0" w14:textId="77777777" w:rsidR="00976636" w:rsidRDefault="00976636" w:rsidP="00E23E53">
      <w:pPr>
        <w:rPr>
          <w:lang w:val="es-ES_tradnl"/>
        </w:rPr>
        <w:sectPr w:rsidR="00976636" w:rsidSect="0098468E">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0AB231BF" w14:textId="7B6CFAF5" w:rsidR="007631EB" w:rsidRPr="007631EB" w:rsidRDefault="007631EB" w:rsidP="006A389C">
      <w:pPr>
        <w:pStyle w:val="Heading8"/>
        <w:ind w:right="7655"/>
        <w:rPr>
          <w:color w:val="000000"/>
          <w:lang w:val="es-ES_tradnl"/>
        </w:rPr>
      </w:pPr>
      <w:r w:rsidRPr="007631EB">
        <w:rPr>
          <w:lang w:val="es-ES_tradnl"/>
        </w:rPr>
        <w:t>6.25 to 6.29</w:t>
      </w:r>
    </w:p>
    <w:p w14:paraId="712B1D3D" w14:textId="77777777" w:rsidR="007631EB" w:rsidRPr="007631EB" w:rsidRDefault="007631EB" w:rsidP="006E37C2">
      <w:pPr>
        <w:rPr>
          <w:lang w:val="es-ES_tradnl"/>
        </w:rPr>
      </w:pPr>
      <w:r w:rsidRPr="007631EB">
        <w:rPr>
          <w:b/>
          <w:bCs/>
          <w:lang w:val="es-ES_tradnl"/>
        </w:rPr>
        <w:t>Nota</w:t>
      </w:r>
      <w:r w:rsidRPr="007631EB">
        <w:rPr>
          <w:lang w:val="es-ES_tradnl"/>
        </w:rPr>
        <w:t xml:space="preserve">: La CMR-15 tomó la decisión relativa a la introducción provisional de una asignación convertida en la Lista del Apéndice </w:t>
      </w:r>
      <w:r w:rsidRPr="007631EB">
        <w:rPr>
          <w:b/>
          <w:bCs/>
          <w:lang w:val="es-ES_tradnl"/>
        </w:rPr>
        <w:t>30B</w:t>
      </w:r>
      <w:r w:rsidRPr="007631EB">
        <w:rPr>
          <w:lang w:val="es-ES_tradnl"/>
        </w:rPr>
        <w:t xml:space="preserve"> del RR durante la 8ª Sesión Plenaria, </w:t>
      </w:r>
      <w:r w:rsidRPr="007631EB">
        <w:rPr>
          <w:szCs w:val="24"/>
          <w:lang w:val="es-ES_tradnl"/>
        </w:rPr>
        <w:t>§</w:t>
      </w:r>
      <w:r w:rsidRPr="007631EB">
        <w:rPr>
          <w:lang w:val="es-ES_tradnl"/>
        </w:rPr>
        <w:t> 1.39 a 1.42 del Documento CMR15/505, aprobación del Documento CMR15/416 en relación con la Sección 3.2.7.1 del Documento 4(Add.</w:t>
      </w:r>
      <w:proofErr w:type="gramStart"/>
      <w:r w:rsidRPr="007631EB">
        <w:rPr>
          <w:lang w:val="es-ES_tradnl"/>
        </w:rPr>
        <w:t>2)(</w:t>
      </w:r>
      <w:proofErr w:type="gramEnd"/>
      <w:r w:rsidRPr="007631EB">
        <w:rPr>
          <w:lang w:val="es-ES_tradnl"/>
        </w:rPr>
        <w:t>Rev.1), en los siguientes términos:</w:t>
      </w:r>
    </w:p>
    <w:p w14:paraId="1E0D977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«En la Sección 3.2.7.1 del Documento 4(Add.</w:t>
      </w:r>
      <w:proofErr w:type="gramStart"/>
      <w:r w:rsidRPr="007631EB">
        <w:rPr>
          <w:rFonts w:asciiTheme="majorBidi" w:hAnsiTheme="majorBidi" w:cstheme="majorBidi"/>
          <w:i/>
          <w:iCs/>
          <w:lang w:val="es-ES_tradnl"/>
        </w:rPr>
        <w:t>2)(</w:t>
      </w:r>
      <w:proofErr w:type="gramEnd"/>
      <w:r w:rsidRPr="007631EB">
        <w:rPr>
          <w:rFonts w:asciiTheme="majorBidi" w:hAnsiTheme="majorBidi" w:cstheme="majorBidi"/>
          <w:i/>
          <w:iCs/>
          <w:lang w:val="es-ES_tradnl"/>
        </w:rPr>
        <w:t>Rev.1) el Director pide a la Conferencia que confirme el siguiente enfoque:</w:t>
      </w:r>
    </w:p>
    <w:p w14:paraId="0A79404C"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 xml:space="preserve">Cuando una asignación convertida a partir de una adjudicación del Plan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 inscribe provisionalmente en la Lista, la adjudicación inicial no se suprimirá del Plan hasta que la inscripción de la asignación en la Lista sea definitiva. Cuando se reconvierta la asignación convertida, la administración notificante deberá elegir entre mantener su adjudicación original en el Plan o reconvertirla con las características de la Lista para sustituir la adjudicación inicial. En este último caso, las condiciones descritas en los § 6.26 a § 6.29 del Artículo 6 del Apéndice </w:t>
      </w:r>
      <w:r w:rsidRPr="007631EB">
        <w:rPr>
          <w:rFonts w:asciiTheme="majorBidi" w:hAnsiTheme="majorBidi" w:cstheme="majorBidi"/>
          <w:b/>
          <w:bCs/>
          <w:i/>
          <w:iCs/>
          <w:lang w:val="es-ES_tradnl"/>
        </w:rPr>
        <w:t>30B</w:t>
      </w:r>
      <w:r w:rsidRPr="007631EB">
        <w:rPr>
          <w:rFonts w:asciiTheme="majorBidi" w:hAnsiTheme="majorBidi" w:cstheme="majorBidi"/>
          <w:i/>
          <w:iCs/>
          <w:lang w:val="es-ES_tradnl"/>
        </w:rPr>
        <w:t xml:space="preserve"> seguirán aplicándose a la adjudicación reconvertida (es decir, que tiene la misma categoría que la asignación suprimida).</w:t>
      </w:r>
    </w:p>
    <w:p w14:paraId="68A46BB0" w14:textId="77777777" w:rsidR="007631EB" w:rsidRPr="007631EB" w:rsidRDefault="007631EB" w:rsidP="007631EB">
      <w:pPr>
        <w:spacing w:before="40" w:after="40"/>
        <w:rPr>
          <w:rFonts w:asciiTheme="majorBidi" w:hAnsiTheme="majorBidi" w:cstheme="majorBidi"/>
          <w:i/>
          <w:iCs/>
          <w:lang w:val="es-ES_tradnl"/>
        </w:rPr>
      </w:pPr>
      <w:r w:rsidRPr="007631EB">
        <w:rPr>
          <w:rFonts w:asciiTheme="majorBidi" w:hAnsiTheme="majorBidi" w:cstheme="majorBidi"/>
          <w:i/>
          <w:iCs/>
          <w:lang w:val="es-ES_tradnl"/>
        </w:rPr>
        <w:t>La CMR-15 consideró y confirmó las medidas presentadas en esta sección.»</w:t>
      </w:r>
    </w:p>
    <w:p w14:paraId="06C4351A" w14:textId="77777777" w:rsidR="00326380" w:rsidRPr="00777C85" w:rsidRDefault="00326380" w:rsidP="0003469D">
      <w:pPr>
        <w:pStyle w:val="Heading8"/>
        <w:rPr>
          <w:color w:val="000000"/>
          <w:lang w:val="es-ES_tradnl"/>
        </w:rPr>
      </w:pPr>
      <w:r w:rsidRPr="00777C85">
        <w:rPr>
          <w:color w:val="000000"/>
          <w:lang w:val="es-ES_tradnl"/>
        </w:rPr>
        <w:t xml:space="preserve">Art. </w:t>
      </w:r>
      <w:r w:rsidR="00465D59" w:rsidRPr="00777C85">
        <w:rPr>
          <w:color w:val="000000"/>
          <w:lang w:val="es-ES_tradnl"/>
        </w:rPr>
        <w:t>7</w:t>
      </w:r>
    </w:p>
    <w:p w14:paraId="3035EB15" w14:textId="77777777" w:rsidR="00665D87" w:rsidRPr="00777C85" w:rsidRDefault="00665D87" w:rsidP="0003469D">
      <w:pPr>
        <w:pStyle w:val="AnnexNotitle"/>
        <w:spacing w:before="240"/>
      </w:pPr>
      <w:r w:rsidRPr="00777C85">
        <w:t>Procedimiento para la adición de una nueva adjudicación en el Plan</w:t>
      </w:r>
      <w:r w:rsidRPr="00777C85">
        <w:br/>
        <w:t>para un nuevo Estado Miembro de la Unión</w:t>
      </w:r>
    </w:p>
    <w:p w14:paraId="1F8846CB" w14:textId="77777777" w:rsidR="00665D87" w:rsidRPr="00777C85" w:rsidRDefault="00665D87" w:rsidP="0003469D">
      <w:pPr>
        <w:pStyle w:val="Heading8"/>
        <w:spacing w:before="240"/>
        <w:rPr>
          <w:lang w:val="es-ES_tradnl"/>
        </w:rPr>
      </w:pPr>
      <w:r w:rsidRPr="00777C85">
        <w:rPr>
          <w:lang w:val="es-ES_tradnl"/>
        </w:rPr>
        <w:t>7.3</w:t>
      </w:r>
    </w:p>
    <w:p w14:paraId="4A109C22" w14:textId="77777777" w:rsidR="00665D87" w:rsidRPr="00777C85" w:rsidRDefault="00665D87" w:rsidP="0003469D">
      <w:pPr>
        <w:overflowPunct/>
        <w:textAlignment w:val="auto"/>
        <w:rPr>
          <w:sz w:val="16"/>
          <w:szCs w:val="16"/>
          <w:lang w:val="es-ES_tradnl"/>
        </w:rPr>
      </w:pPr>
      <w:r w:rsidRPr="00777C85">
        <w:rPr>
          <w:b/>
          <w:bCs/>
          <w:szCs w:val="24"/>
          <w:lang w:val="es-ES_tradnl"/>
        </w:rPr>
        <w:t>Adición de una nueva adjudicación en el Plan para un nuevo Estado Miembro de la Unión</w:t>
      </w:r>
    </w:p>
    <w:p w14:paraId="7A429BA4" w14:textId="77777777" w:rsidR="00665D87" w:rsidRPr="00777C85" w:rsidRDefault="00665D87" w:rsidP="00665D87">
      <w:pPr>
        <w:spacing w:before="180"/>
        <w:rPr>
          <w:lang w:val="es-ES_tradnl"/>
        </w:rPr>
      </w:pPr>
      <w:r w:rsidRPr="00777C85">
        <w:rPr>
          <w:lang w:val="es-ES_tradnl"/>
        </w:rPr>
        <w:t>1</w:t>
      </w:r>
      <w:r w:rsidRPr="00777C85">
        <w:rPr>
          <w:lang w:val="es-ES_tradnl"/>
        </w:rPr>
        <w:tab/>
      </w:r>
      <w:proofErr w:type="gramStart"/>
      <w:r w:rsidRPr="00777C85">
        <w:rPr>
          <w:lang w:val="es-ES_tradnl"/>
        </w:rPr>
        <w:t>En</w:t>
      </w:r>
      <w:proofErr w:type="gramEnd"/>
      <w:r w:rsidRPr="00777C85">
        <w:rPr>
          <w:lang w:val="es-ES_tradnl"/>
        </w:rPr>
        <w:t xml:space="preserve"> la disposición del § 7.3 del Apéndice </w:t>
      </w:r>
      <w:r w:rsidRPr="00777C85">
        <w:rPr>
          <w:b/>
          <w:bCs/>
          <w:lang w:val="es-ES_tradnl"/>
        </w:rPr>
        <w:t xml:space="preserve">30B </w:t>
      </w:r>
      <w:r w:rsidRPr="00777C85">
        <w:rPr>
          <w:lang w:val="es-ES_tradnl"/>
        </w:rPr>
        <w:t>se solicita a la Oficina que, al recibir una solicitud de un nuevo Estado Miembro, identifique las características técnicas adecuadas y las correspondientes posiciones orbitales para una posible adjudicación nacional.</w:t>
      </w:r>
    </w:p>
    <w:p w14:paraId="6859D3DE" w14:textId="77777777" w:rsidR="00665D87" w:rsidRPr="00777C85" w:rsidRDefault="00665D87" w:rsidP="00665D87">
      <w:pPr>
        <w:spacing w:before="180"/>
        <w:rPr>
          <w:lang w:val="es-ES_tradnl"/>
        </w:rPr>
      </w:pPr>
      <w:r w:rsidRPr="00777C85">
        <w:rPr>
          <w:lang w:val="es-ES_tradnl"/>
        </w:rPr>
        <w:t xml:space="preserve">La Oficina aplicará los procedimientos descritos </w:t>
      </w:r>
      <w:r w:rsidRPr="00777C85">
        <w:rPr>
          <w:i/>
          <w:iCs/>
          <w:lang w:val="es-ES_tradnl"/>
        </w:rPr>
        <w:t xml:space="preserve">infra </w:t>
      </w:r>
      <w:r w:rsidRPr="00777C85">
        <w:rPr>
          <w:lang w:val="es-ES_tradnl"/>
        </w:rPr>
        <w:t xml:space="preserve">con el fin de encontrar una posición orbital adecuada para una adjudicación en el Plan del Apéndice </w:t>
      </w:r>
      <w:r w:rsidRPr="00777C85">
        <w:rPr>
          <w:b/>
          <w:bCs/>
          <w:lang w:val="es-ES_tradnl"/>
        </w:rPr>
        <w:t xml:space="preserve">30B </w:t>
      </w:r>
      <w:r w:rsidRPr="00777C85">
        <w:rPr>
          <w:lang w:val="es-ES_tradnl"/>
        </w:rPr>
        <w:t>a un nuevo Estado Miembro.</w:t>
      </w:r>
    </w:p>
    <w:p w14:paraId="5921DE10" w14:textId="77777777" w:rsidR="00665D87" w:rsidRDefault="00665D87" w:rsidP="00FA5983">
      <w:pPr>
        <w:spacing w:before="180"/>
        <w:rPr>
          <w:lang w:val="es-ES_tradnl"/>
        </w:rPr>
      </w:pPr>
      <w:r w:rsidRPr="00777C85">
        <w:rPr>
          <w:lang w:val="es-ES_tradnl"/>
        </w:rPr>
        <w:t>2</w:t>
      </w:r>
      <w:r w:rsidRPr="00777C85">
        <w:rPr>
          <w:lang w:val="es-ES_tradnl"/>
        </w:rPr>
        <w:tab/>
      </w:r>
      <w:proofErr w:type="gramStart"/>
      <w:r w:rsidRPr="00777C85">
        <w:rPr>
          <w:lang w:val="es-ES_tradnl"/>
        </w:rPr>
        <w:t>La</w:t>
      </w:r>
      <w:proofErr w:type="gramEnd"/>
      <w:r w:rsidRPr="00777C85">
        <w:rPr>
          <w:lang w:val="es-ES_tradnl"/>
        </w:rPr>
        <w:t xml:space="preserve"> Oficina asegurará que todos los puntos de prueba presentados están situados dentro del territorio nacional del nuevo Estado Miembro. Los emplazamientos de los puntos de prueba se verificarán utilizando el mapa mundial digitalizado de la UIT. Además, en ausencia de una altura sobre el nivel del mar, la Oficina supondrá un valor de cero metros.</w:t>
      </w:r>
    </w:p>
    <w:p w14:paraId="0350F3AB" w14:textId="77777777" w:rsidR="00E23E53" w:rsidRDefault="00E23E53" w:rsidP="009A6D41">
      <w:pPr>
        <w:spacing w:before="120"/>
        <w:rPr>
          <w:lang w:val="es-ES_tradnl"/>
        </w:rPr>
      </w:pPr>
      <w:r>
        <w:rPr>
          <w:lang w:val="es-ES_tradnl"/>
        </w:rPr>
        <w:br w:type="page"/>
      </w:r>
    </w:p>
    <w:p w14:paraId="53A09128" w14:textId="77777777" w:rsidR="00665D87" w:rsidRPr="00777C85" w:rsidRDefault="00665D87" w:rsidP="009A6D41">
      <w:pPr>
        <w:spacing w:before="120"/>
        <w:rPr>
          <w:lang w:val="es-ES_tradnl"/>
        </w:rPr>
      </w:pPr>
      <w:r w:rsidRPr="00777C85">
        <w:rPr>
          <w:lang w:val="es-ES_tradnl"/>
        </w:rPr>
        <w:t>3</w:t>
      </w:r>
      <w:r w:rsidRPr="00777C85">
        <w:rPr>
          <w:lang w:val="es-ES_tradnl"/>
        </w:rPr>
        <w:tab/>
        <w:t xml:space="preserve">Para facilitar la aplicación del método de selección de la posición orbital descrito en el § 8 </w:t>
      </w:r>
      <w:r w:rsidRPr="00777C85">
        <w:rPr>
          <w:i/>
          <w:iCs/>
          <w:lang w:val="es-ES_tradnl"/>
        </w:rPr>
        <w:t>infra</w:t>
      </w:r>
      <w:r w:rsidRPr="00777C85">
        <w:rPr>
          <w:lang w:val="es-ES_tradnl"/>
        </w:rPr>
        <w:t>, el nuevo Estado Miembro puede proporcionar con arreglo al § 7.2 </w:t>
      </w:r>
      <w:r w:rsidRPr="00777C85">
        <w:rPr>
          <w:i/>
          <w:iCs/>
          <w:lang w:val="es-ES_tradnl"/>
        </w:rPr>
        <w:t xml:space="preserve">c) </w:t>
      </w:r>
      <w:r w:rsidRPr="00777C85">
        <w:rPr>
          <w:lang w:val="es-ES_tradnl"/>
        </w:rPr>
        <w:t xml:space="preserve">del Artículo 7 del Apéndice </w:t>
      </w:r>
      <w:r w:rsidRPr="00777C85">
        <w:rPr>
          <w:b/>
          <w:bCs/>
          <w:lang w:val="es-ES_tradnl"/>
        </w:rPr>
        <w:t xml:space="preserve">30B </w:t>
      </w:r>
      <w:r w:rsidRPr="00777C85">
        <w:rPr>
          <w:lang w:val="es-ES_tradnl"/>
        </w:rPr>
        <w:t>sus posiciones orbitales preferidas y/o sus arcos orbitales prefe</w:t>
      </w:r>
      <w:r w:rsidRPr="00777C85">
        <w:rPr>
          <w:lang w:val="es-ES_tradnl"/>
        </w:rPr>
        <w:softHyphen/>
        <w:t>ridos, teniendo en cuenta que la aplicación de estas preferencias puede que no sea posible debido a los excesos de interferencia causada a otras adjudicaciones, sistemas o asignaciones existentes del Apéndice </w:t>
      </w:r>
      <w:r w:rsidRPr="00777C85">
        <w:rPr>
          <w:b/>
          <w:bCs/>
          <w:lang w:val="es-ES_tradnl"/>
        </w:rPr>
        <w:t>30B</w:t>
      </w:r>
      <w:r w:rsidRPr="00777C85">
        <w:rPr>
          <w:lang w:val="es-ES_tradnl"/>
        </w:rPr>
        <w:t>, o procedente de los mismos.</w:t>
      </w:r>
    </w:p>
    <w:p w14:paraId="51ED818D" w14:textId="77777777" w:rsidR="00665D87" w:rsidRPr="00777C85" w:rsidRDefault="00665D87" w:rsidP="00E07128">
      <w:pPr>
        <w:spacing w:before="60"/>
        <w:rPr>
          <w:lang w:val="es-ES_tradnl"/>
        </w:rPr>
      </w:pPr>
      <w:r w:rsidRPr="00777C85">
        <w:rPr>
          <w:lang w:val="es-ES_tradnl"/>
        </w:rPr>
        <w:t>4</w:t>
      </w:r>
      <w:r w:rsidRPr="00777C85">
        <w:rPr>
          <w:lang w:val="es-ES_tradnl"/>
        </w:rPr>
        <w:tab/>
      </w:r>
      <w:proofErr w:type="gramStart"/>
      <w:r w:rsidRPr="00777C85">
        <w:rPr>
          <w:lang w:val="es-ES_tradnl"/>
        </w:rPr>
        <w:t>La</w:t>
      </w:r>
      <w:proofErr w:type="gramEnd"/>
      <w:r w:rsidRPr="00777C85">
        <w:rPr>
          <w:lang w:val="es-ES_tradnl"/>
        </w:rPr>
        <w:t xml:space="preserve"> Oficina establecerá los ángulos mínimos de elevación necesarios asociados con cada punto de prueba de conformidad con el §</w:t>
      </w:r>
      <w:r w:rsidR="00777C85" w:rsidRPr="00777C85">
        <w:rPr>
          <w:lang w:val="es-ES_tradnl"/>
        </w:rPr>
        <w:t> </w:t>
      </w:r>
      <w:r w:rsidRPr="00777C85">
        <w:rPr>
          <w:lang w:val="es-ES_tradnl"/>
        </w:rPr>
        <w:t xml:space="preserve">1.3 del Anexo 1 al Apéndice </w:t>
      </w:r>
      <w:r w:rsidRPr="00777C85">
        <w:rPr>
          <w:b/>
          <w:bCs/>
          <w:lang w:val="es-ES_tradnl"/>
        </w:rPr>
        <w:t>30B</w:t>
      </w:r>
      <w:r w:rsidRPr="00777C85">
        <w:rPr>
          <w:lang w:val="es-ES_tradnl"/>
        </w:rPr>
        <w:t xml:space="preserve">. A </w:t>
      </w:r>
      <w:proofErr w:type="gramStart"/>
      <w:r w:rsidRPr="00777C85">
        <w:rPr>
          <w:lang w:val="es-ES_tradnl"/>
        </w:rPr>
        <w:t>continuación</w:t>
      </w:r>
      <w:proofErr w:type="gramEnd"/>
      <w:r w:rsidRPr="00777C85">
        <w:rPr>
          <w:lang w:val="es-ES_tradnl"/>
        </w:rPr>
        <w:t xml:space="preserve"> se calculará el arco de servicio para satisfacer los ángulos mínimos de elevación requeridos de todos los puntos de prueba.</w:t>
      </w:r>
    </w:p>
    <w:p w14:paraId="1F8FDCC9" w14:textId="77777777" w:rsidR="00665D87" w:rsidRPr="00777C85" w:rsidRDefault="00665D87" w:rsidP="00637D5F">
      <w:pPr>
        <w:spacing w:before="60"/>
        <w:rPr>
          <w:lang w:val="es-ES_tradnl"/>
        </w:rPr>
      </w:pPr>
      <w:r w:rsidRPr="00777C85">
        <w:rPr>
          <w:lang w:val="es-ES_tradnl"/>
        </w:rPr>
        <w:t>5</w:t>
      </w:r>
      <w:r w:rsidRPr="00777C85">
        <w:rPr>
          <w:lang w:val="es-ES_tradnl"/>
        </w:rPr>
        <w:tab/>
      </w:r>
      <w:proofErr w:type="gramStart"/>
      <w:r w:rsidRPr="00777C85">
        <w:rPr>
          <w:lang w:val="es-ES_tradnl"/>
        </w:rPr>
        <w:t>Con</w:t>
      </w:r>
      <w:proofErr w:type="gramEnd"/>
      <w:r w:rsidRPr="00777C85">
        <w:rPr>
          <w:lang w:val="es-ES_tradnl"/>
        </w:rPr>
        <w:t xml:space="preserve"> respecto a la generación de la elipse mínima para cubrir el territorio nacional de un nuevo Estado Miembro, la Oficina utilizará un error de puntería del haz de antena de la estación espacial de 0,</w:t>
      </w:r>
      <w:r w:rsidRPr="00777C85">
        <w:rPr>
          <w:rFonts w:ascii="Symbol" w:hAnsi="Symbol"/>
          <w:lang w:val="es-ES_tradnl"/>
        </w:rPr>
        <w:t></w:t>
      </w:r>
      <w:r w:rsidRPr="00777C85">
        <w:rPr>
          <w:rFonts w:ascii="Symbol" w:hAnsi="Symbol"/>
          <w:lang w:val="es-ES_tradnl"/>
        </w:rPr>
        <w:t></w:t>
      </w:r>
      <w:r w:rsidRPr="00777C85">
        <w:rPr>
          <w:lang w:val="es-ES_tradnl"/>
        </w:rPr>
        <w:t xml:space="preserve"> para la generación de los haces elípticos con arreglo al Artículo 7 del Apéndice </w:t>
      </w:r>
      <w:r w:rsidRPr="00777C85">
        <w:rPr>
          <w:b/>
          <w:bCs/>
          <w:lang w:val="es-ES_tradnl"/>
        </w:rPr>
        <w:t>30B</w:t>
      </w:r>
      <w:r w:rsidRPr="00777C85">
        <w:rPr>
          <w:lang w:val="es-ES_tradnl"/>
        </w:rPr>
        <w:t>.</w:t>
      </w:r>
    </w:p>
    <w:p w14:paraId="6D15C756" w14:textId="77777777" w:rsidR="00665D87" w:rsidRPr="00777C85" w:rsidRDefault="00665D87" w:rsidP="00637D5F">
      <w:pPr>
        <w:spacing w:before="60"/>
        <w:rPr>
          <w:lang w:val="es-ES_tradnl"/>
        </w:rPr>
      </w:pPr>
      <w:r w:rsidRPr="00777C85">
        <w:rPr>
          <w:lang w:val="es-ES_tradnl"/>
        </w:rPr>
        <w:t>6</w:t>
      </w:r>
      <w:r w:rsidRPr="00777C85">
        <w:rPr>
          <w:lang w:val="es-ES_tradnl"/>
        </w:rPr>
        <w:tab/>
      </w:r>
      <w:proofErr w:type="gramStart"/>
      <w:r w:rsidRPr="00777C85">
        <w:rPr>
          <w:lang w:val="es-ES_tradnl"/>
        </w:rPr>
        <w:t>Con</w:t>
      </w:r>
      <w:proofErr w:type="gramEnd"/>
      <w:r w:rsidRPr="00777C85">
        <w:rPr>
          <w:lang w:val="es-ES_tradnl"/>
        </w:rPr>
        <w:t xml:space="preserve"> respecto a los máximos valores de la ganancia de antena de la estación espacial transmisora y receptora, en función de los ejes mayor y menor de la elipse, en vez de utilizar la definición contenida en el § 1.7.2 del Anexo 1 al Apéndice </w:t>
      </w:r>
      <w:r w:rsidRPr="00777C85">
        <w:rPr>
          <w:b/>
          <w:bCs/>
          <w:lang w:val="es-ES_tradnl"/>
        </w:rPr>
        <w:t>30B</w:t>
      </w:r>
      <w:r w:rsidRPr="00777C85">
        <w:rPr>
          <w:lang w:val="es-ES_tradnl"/>
        </w:rPr>
        <w:t>, la Oficina empleará la fórmula más precisa definida en el §</w:t>
      </w:r>
      <w:r w:rsidR="00777C85" w:rsidRPr="00777C85">
        <w:rPr>
          <w:lang w:val="es-ES_tradnl"/>
        </w:rPr>
        <w:t> </w:t>
      </w:r>
      <w:r w:rsidRPr="00777C85">
        <w:rPr>
          <w:lang w:val="es-ES_tradnl"/>
        </w:rPr>
        <w:t>3.13.1 del Anexo 5 y el §</w:t>
      </w:r>
      <w:r w:rsidR="00777C85" w:rsidRPr="00777C85">
        <w:rPr>
          <w:lang w:val="es-ES_tradnl"/>
        </w:rPr>
        <w:t> </w:t>
      </w:r>
      <w:r w:rsidRPr="00777C85">
        <w:rPr>
          <w:lang w:val="es-ES_tradnl"/>
        </w:rPr>
        <w:t>3.7.1 del Anexo</w:t>
      </w:r>
      <w:r w:rsidR="00777C85" w:rsidRPr="00777C85">
        <w:rPr>
          <w:lang w:val="es-ES_tradnl"/>
        </w:rPr>
        <w:t> </w:t>
      </w:r>
      <w:r w:rsidRPr="00777C85">
        <w:rPr>
          <w:lang w:val="es-ES_tradnl"/>
        </w:rPr>
        <w:t>3 a los Apéndices </w:t>
      </w:r>
      <w:r w:rsidRPr="00777C85">
        <w:rPr>
          <w:b/>
          <w:bCs/>
          <w:lang w:val="es-ES_tradnl"/>
        </w:rPr>
        <w:t xml:space="preserve">30 </w:t>
      </w:r>
      <w:r w:rsidRPr="00777C85">
        <w:rPr>
          <w:lang w:val="es-ES_tradnl"/>
        </w:rPr>
        <w:t xml:space="preserve">y </w:t>
      </w:r>
      <w:r w:rsidRPr="00777C85">
        <w:rPr>
          <w:b/>
          <w:bCs/>
          <w:lang w:val="es-ES_tradnl"/>
        </w:rPr>
        <w:t>30A</w:t>
      </w:r>
      <w:r w:rsidRPr="00777C85">
        <w:rPr>
          <w:lang w:val="es-ES_tradnl"/>
        </w:rPr>
        <w:t>, respectivamente.</w:t>
      </w:r>
    </w:p>
    <w:p w14:paraId="778D108C" w14:textId="77777777" w:rsidR="00665D87" w:rsidRPr="00777C85" w:rsidRDefault="00665D87" w:rsidP="00E07128">
      <w:pPr>
        <w:spacing w:before="60"/>
        <w:rPr>
          <w:lang w:val="es-ES_tradnl"/>
        </w:rPr>
      </w:pPr>
      <w:r w:rsidRPr="00777C85">
        <w:rPr>
          <w:lang w:val="es-ES_tradnl"/>
        </w:rPr>
        <w:t>7</w:t>
      </w:r>
      <w:r w:rsidRPr="00777C85">
        <w:rPr>
          <w:lang w:val="es-ES_tradnl"/>
        </w:rPr>
        <w:tab/>
        <w:t>Con respecto al cálculo de los máximos valores de densidad de potencia, la Oficina supondrá las condiciones de caso más desfavorable en términos de error de puntería de la antena de la estación espacial y exactitud en la rotación para el cálculo de la ganancia de antena en dirección de cada punto de prueba, a fin de asegurar que en todos los puntos de</w:t>
      </w:r>
      <w:r w:rsidR="00777C85" w:rsidRPr="00777C85">
        <w:rPr>
          <w:lang w:val="es-ES_tradnl"/>
        </w:rPr>
        <w:t> </w:t>
      </w:r>
      <w:r w:rsidRPr="00777C85">
        <w:rPr>
          <w:lang w:val="es-ES_tradnl"/>
        </w:rPr>
        <w:t xml:space="preserve">prueba se satisface el objetivo de la relación </w:t>
      </w:r>
      <w:r w:rsidRPr="00777C85">
        <w:rPr>
          <w:i/>
          <w:iCs/>
          <w:lang w:val="es-ES_tradnl"/>
        </w:rPr>
        <w:t>C</w:t>
      </w:r>
      <w:r w:rsidRPr="00777C85">
        <w:rPr>
          <w:lang w:val="es-ES_tradnl"/>
        </w:rPr>
        <w:t>/</w:t>
      </w:r>
      <w:r w:rsidRPr="00777C85">
        <w:rPr>
          <w:i/>
          <w:iCs/>
          <w:lang w:val="es-ES_tradnl"/>
        </w:rPr>
        <w:t xml:space="preserve">N </w:t>
      </w:r>
      <w:r w:rsidRPr="00777C85">
        <w:rPr>
          <w:lang w:val="es-ES_tradnl"/>
        </w:rPr>
        <w:t>definida en el §</w:t>
      </w:r>
      <w:r w:rsidR="00777C85" w:rsidRPr="00777C85">
        <w:rPr>
          <w:lang w:val="es-ES_tradnl"/>
        </w:rPr>
        <w:t> </w:t>
      </w:r>
      <w:r w:rsidRPr="00777C85">
        <w:rPr>
          <w:lang w:val="es-ES_tradnl"/>
        </w:rPr>
        <w:t>1.2 del Anexo 1 al Apéndice </w:t>
      </w:r>
      <w:r w:rsidRPr="00777C85">
        <w:rPr>
          <w:b/>
          <w:bCs/>
          <w:lang w:val="es-ES_tradnl"/>
        </w:rPr>
        <w:t>30B</w:t>
      </w:r>
      <w:r w:rsidRPr="00777C85">
        <w:rPr>
          <w:lang w:val="es-ES_tradnl"/>
        </w:rPr>
        <w:t>; es decir, se supone un mínimo valor de la ganancia de antena teniendo en cuenta un error de puntería de 0,1° y una exactitud en la rotación de </w:t>
      </w:r>
      <w:r w:rsidRPr="00777C85">
        <w:rPr>
          <w:rFonts w:ascii="Symbol" w:hAnsi="Symbol"/>
          <w:lang w:val="es-ES_tradnl"/>
        </w:rPr>
        <w:t></w:t>
      </w:r>
      <w:r w:rsidRPr="00777C85">
        <w:rPr>
          <w:lang w:val="es-ES_tradnl"/>
        </w:rPr>
        <w:t>1,0°.</w:t>
      </w:r>
    </w:p>
    <w:p w14:paraId="79C0B0AF" w14:textId="77777777" w:rsidR="00665D87" w:rsidRPr="00777C85" w:rsidRDefault="00665D87" w:rsidP="00637D5F">
      <w:pPr>
        <w:spacing w:before="60"/>
        <w:rPr>
          <w:lang w:val="es-ES_tradnl"/>
        </w:rPr>
      </w:pPr>
      <w:r w:rsidRPr="00777C85">
        <w:rPr>
          <w:lang w:val="es-ES_tradnl"/>
        </w:rPr>
        <w:t>8</w:t>
      </w:r>
      <w:r w:rsidRPr="00777C85">
        <w:rPr>
          <w:lang w:val="es-ES_tradnl"/>
        </w:rPr>
        <w:tab/>
      </w:r>
      <w:proofErr w:type="gramStart"/>
      <w:r w:rsidRPr="00777C85">
        <w:rPr>
          <w:lang w:val="es-ES_tradnl"/>
        </w:rPr>
        <w:t>Con</w:t>
      </w:r>
      <w:proofErr w:type="gramEnd"/>
      <w:r w:rsidRPr="00777C85">
        <w:rPr>
          <w:lang w:val="es-ES_tradnl"/>
        </w:rPr>
        <w:t xml:space="preserve"> respecto a la selección de las posiciones orbitales, la Oficina utilizará un método automatizado basado en un proceso iterativo, a saber:</w:t>
      </w:r>
    </w:p>
    <w:p w14:paraId="70472414" w14:textId="77777777" w:rsidR="00665D87" w:rsidRPr="00777C85" w:rsidRDefault="00665D87" w:rsidP="00637D5F">
      <w:pPr>
        <w:spacing w:before="60"/>
        <w:rPr>
          <w:lang w:val="es-ES_tradnl"/>
        </w:rPr>
      </w:pPr>
      <w:r w:rsidRPr="00777C85">
        <w:rPr>
          <w:lang w:val="es-ES_tradnl"/>
        </w:rPr>
        <w:t>8.1</w:t>
      </w:r>
      <w:r w:rsidRPr="00777C85">
        <w:rPr>
          <w:lang w:val="es-ES_tradnl"/>
        </w:rPr>
        <w:tab/>
        <w:t>Una vez calculado el arco de servicio, como se menciona en el §</w:t>
      </w:r>
      <w:r w:rsidR="00777C85" w:rsidRPr="00777C85">
        <w:rPr>
          <w:lang w:val="es-ES_tradnl"/>
        </w:rPr>
        <w:t> </w:t>
      </w:r>
      <w:r w:rsidRPr="00777C85">
        <w:rPr>
          <w:lang w:val="es-ES_tradnl"/>
        </w:rPr>
        <w:t>4 anterior, se realiza un proceso iterativo a fin de identificar la posición o posiciones orbitales adecuadas dentro de dicho arco para la adjudicación al nuevo Estado Miembro en cuestión.</w:t>
      </w:r>
    </w:p>
    <w:p w14:paraId="744012DE" w14:textId="77777777" w:rsidR="00665D87" w:rsidRPr="00777C85" w:rsidRDefault="00665D87" w:rsidP="00637D5F">
      <w:pPr>
        <w:spacing w:before="60"/>
        <w:rPr>
          <w:lang w:val="es-ES_tradnl"/>
        </w:rPr>
      </w:pPr>
      <w:r w:rsidRPr="00777C85">
        <w:rPr>
          <w:lang w:val="es-ES_tradnl"/>
        </w:rPr>
        <w:t>8.2</w:t>
      </w:r>
      <w:r w:rsidRPr="00777C85">
        <w:rPr>
          <w:lang w:val="es-ES_tradnl"/>
        </w:rPr>
        <w:tab/>
        <w:t>La Oficina supondrá un mínimo paso de la posición orbital de 0,1</w:t>
      </w:r>
      <w:r w:rsidRPr="00777C85">
        <w:rPr>
          <w:rFonts w:ascii="Symbol" w:hAnsi="Symbol"/>
          <w:lang w:val="es-ES_tradnl"/>
        </w:rPr>
        <w:t></w:t>
      </w:r>
      <w:r w:rsidRPr="00777C85">
        <w:rPr>
          <w:lang w:val="es-ES_tradnl"/>
        </w:rPr>
        <w:t xml:space="preserve"> en este proceso.</w:t>
      </w:r>
    </w:p>
    <w:p w14:paraId="5920B560" w14:textId="77777777" w:rsidR="00665D87" w:rsidRPr="00777C85" w:rsidRDefault="00665D87" w:rsidP="00637D5F">
      <w:pPr>
        <w:spacing w:before="60"/>
        <w:rPr>
          <w:lang w:val="es-ES_tradnl"/>
        </w:rPr>
      </w:pPr>
      <w:r w:rsidRPr="00777C85">
        <w:rPr>
          <w:lang w:val="es-ES_tradnl"/>
        </w:rPr>
        <w:t>8.3</w:t>
      </w:r>
      <w:r w:rsidRPr="00777C85">
        <w:rPr>
          <w:lang w:val="es-ES_tradnl"/>
        </w:rPr>
        <w:tab/>
        <w:t>Cada nueva posible posición orbital será examinada por la Oficina de la forma siguiente:</w:t>
      </w:r>
    </w:p>
    <w:p w14:paraId="56DAFEE9" w14:textId="77777777" w:rsidR="00665D87" w:rsidRPr="00777C85" w:rsidRDefault="00665D87" w:rsidP="00637D5F">
      <w:pPr>
        <w:pStyle w:val="enumlev1"/>
        <w:spacing w:before="20"/>
        <w:rPr>
          <w:lang w:val="es-ES_tradnl"/>
        </w:rPr>
      </w:pPr>
      <w:r w:rsidRPr="00777C85">
        <w:rPr>
          <w:lang w:val="es-ES_tradnl"/>
        </w:rPr>
        <w:t>–</w:t>
      </w:r>
      <w:r w:rsidRPr="00777C85">
        <w:rPr>
          <w:lang w:val="es-ES_tradnl"/>
        </w:rPr>
        <w:tab/>
        <w:t>se regeneran los parámetros del haz elíptico;</w:t>
      </w:r>
    </w:p>
    <w:p w14:paraId="2A722516" w14:textId="77777777" w:rsidR="00665D87" w:rsidRPr="00777C85" w:rsidRDefault="00665D87" w:rsidP="00637D5F">
      <w:pPr>
        <w:pStyle w:val="enumlev1"/>
        <w:spacing w:before="20"/>
        <w:rPr>
          <w:lang w:val="es-ES_tradnl"/>
        </w:rPr>
      </w:pPr>
      <w:r w:rsidRPr="00777C85">
        <w:rPr>
          <w:lang w:val="es-ES_tradnl"/>
        </w:rPr>
        <w:t>–</w:t>
      </w:r>
      <w:r w:rsidRPr="00777C85">
        <w:rPr>
          <w:lang w:val="es-ES_tradnl"/>
        </w:rPr>
        <w:tab/>
        <w:t>se realiza un nuevo cálculo de los valores de densidad de potencia necesarios;</w:t>
      </w:r>
    </w:p>
    <w:p w14:paraId="78057ACE" w14:textId="77777777" w:rsidR="006E37C2" w:rsidRDefault="006E37C2" w:rsidP="00637D5F">
      <w:pPr>
        <w:pStyle w:val="enumlev1"/>
        <w:spacing w:before="20"/>
        <w:jc w:val="left"/>
        <w:rPr>
          <w:lang w:val="es-ES_tradnl"/>
        </w:rPr>
      </w:pPr>
      <w:r>
        <w:rPr>
          <w:lang w:val="es-ES_tradnl"/>
        </w:rPr>
        <w:br w:type="page"/>
      </w:r>
    </w:p>
    <w:p w14:paraId="05452B6C" w14:textId="77777777" w:rsidR="004E44D8" w:rsidRDefault="00665D87" w:rsidP="00637D5F">
      <w:pPr>
        <w:pStyle w:val="enumlev1"/>
        <w:spacing w:before="20"/>
        <w:jc w:val="left"/>
        <w:rPr>
          <w:lang w:val="es-ES_tradnl"/>
        </w:rPr>
      </w:pPr>
      <w:r w:rsidRPr="00777C85">
        <w:rPr>
          <w:lang w:val="es-ES_tradnl"/>
        </w:rPr>
        <w:t>–</w:t>
      </w:r>
      <w:r w:rsidRPr="00777C85">
        <w:rPr>
          <w:lang w:val="es-ES_tradnl"/>
        </w:rPr>
        <w:tab/>
        <w:t>utilizando los criterios</w:t>
      </w:r>
      <w:r w:rsidR="00B422C2" w:rsidRPr="00777C85">
        <w:rPr>
          <w:rStyle w:val="FootnoteReference"/>
          <w:sz w:val="20"/>
          <w:lang w:val="es-ES_tradnl"/>
        </w:rPr>
        <w:footnoteReference w:customMarkFollows="1" w:id="3"/>
        <w:t>3</w:t>
      </w:r>
      <w:r w:rsidRPr="00777C85">
        <w:rPr>
          <w:lang w:val="es-ES_tradnl"/>
        </w:rPr>
        <w:t xml:space="preserve"> del Anexo 3 y del Anexo 4 del Apéndice </w:t>
      </w:r>
      <w:r w:rsidRPr="00777C85">
        <w:rPr>
          <w:b/>
          <w:bCs/>
          <w:lang w:val="es-ES_tradnl"/>
        </w:rPr>
        <w:t>30B</w:t>
      </w:r>
      <w:r w:rsidRPr="00777C85">
        <w:rPr>
          <w:lang w:val="es-ES_tradnl"/>
        </w:rPr>
        <w:t>, se determina si la nueva adjudicación en dicha posición orbital es compatible con las adjudicaciones y con las asignaciones según se indica en el §</w:t>
      </w:r>
      <w:r w:rsidR="00FA5983" w:rsidRPr="00777C85">
        <w:rPr>
          <w:lang w:val="es-ES_tradnl"/>
        </w:rPr>
        <w:t> </w:t>
      </w:r>
      <w:r w:rsidRPr="00777C85">
        <w:rPr>
          <w:lang w:val="es-ES_tradnl"/>
        </w:rPr>
        <w:t>7.5 del Artículo</w:t>
      </w:r>
      <w:r w:rsidR="007E640D" w:rsidRPr="00777C85">
        <w:rPr>
          <w:lang w:val="es-ES_tradnl"/>
        </w:rPr>
        <w:t> </w:t>
      </w:r>
      <w:r w:rsidRPr="00777C85">
        <w:rPr>
          <w:lang w:val="es-ES_tradnl"/>
        </w:rPr>
        <w:t>7.</w:t>
      </w:r>
    </w:p>
    <w:p w14:paraId="499F8801" w14:textId="77777777" w:rsidR="00637D5F" w:rsidRDefault="00637D5F" w:rsidP="00637D5F">
      <w:pPr>
        <w:pStyle w:val="enumlev1"/>
        <w:spacing w:before="60"/>
        <w:jc w:val="left"/>
        <w:rPr>
          <w:szCs w:val="24"/>
          <w:lang w:val="es-ES_tradnl"/>
        </w:rPr>
      </w:pPr>
      <w:r w:rsidRPr="00777C85">
        <w:rPr>
          <w:lang w:val="es-ES_tradnl"/>
        </w:rPr>
        <w:t>9</w:t>
      </w:r>
      <w:r w:rsidRPr="00777C85">
        <w:rPr>
          <w:lang w:val="es-ES_tradnl"/>
        </w:rPr>
        <w:tab/>
      </w:r>
      <w:proofErr w:type="gramStart"/>
      <w:r w:rsidRPr="00777C85">
        <w:rPr>
          <w:lang w:val="es-ES_tradnl"/>
        </w:rPr>
        <w:t>La</w:t>
      </w:r>
      <w:proofErr w:type="gramEnd"/>
      <w:r w:rsidRPr="00777C85">
        <w:rPr>
          <w:lang w:val="es-ES_tradnl"/>
        </w:rPr>
        <w:t xml:space="preserve"> Oficina identificará las posiciones orbitales más adecuadas con objeto de mini</w:t>
      </w:r>
      <w:r w:rsidRPr="00777C85">
        <w:rPr>
          <w:lang w:val="es-ES_tradnl"/>
        </w:rPr>
        <w:softHyphen/>
        <w:t xml:space="preserve">mizar </w:t>
      </w:r>
      <w:r w:rsidRPr="00777C85">
        <w:rPr>
          <w:szCs w:val="24"/>
          <w:lang w:val="es-ES_tradnl"/>
        </w:rPr>
        <w:t xml:space="preserve">el valor en exceso de la relación </w:t>
      </w:r>
      <w:r w:rsidRPr="00777C85">
        <w:rPr>
          <w:i/>
          <w:iCs/>
          <w:szCs w:val="24"/>
          <w:lang w:val="es-ES_tradnl"/>
        </w:rPr>
        <w:t>C</w:t>
      </w:r>
      <w:r w:rsidRPr="00777C85">
        <w:rPr>
          <w:szCs w:val="24"/>
          <w:lang w:val="es-ES_tradnl"/>
        </w:rPr>
        <w:t>/</w:t>
      </w:r>
      <w:r w:rsidRPr="00777C85">
        <w:rPr>
          <w:i/>
          <w:iCs/>
          <w:szCs w:val="24"/>
          <w:lang w:val="es-ES_tradnl"/>
        </w:rPr>
        <w:t>I</w:t>
      </w:r>
      <w:r w:rsidRPr="00777C85">
        <w:rPr>
          <w:szCs w:val="24"/>
          <w:lang w:val="es-ES_tradnl"/>
        </w:rPr>
        <w:t xml:space="preserve"> causado o recibido de otras adjudicaciones o asignaciones del Apéndice </w:t>
      </w:r>
      <w:r w:rsidRPr="00777C85">
        <w:rPr>
          <w:b/>
          <w:bCs/>
          <w:szCs w:val="24"/>
          <w:lang w:val="es-ES_tradnl"/>
        </w:rPr>
        <w:t>30B</w:t>
      </w:r>
      <w:r w:rsidRPr="00777C85">
        <w:rPr>
          <w:szCs w:val="24"/>
          <w:lang w:val="es-ES_tradnl"/>
        </w:rPr>
        <w:t>, y enviará esa información a la Administración solicitante, de conformidad con lo dispuesto en el § 7.3 del Artículo 7.</w:t>
      </w:r>
    </w:p>
    <w:p w14:paraId="083169EE" w14:textId="77777777" w:rsidR="00EA091D" w:rsidRPr="00777C85" w:rsidRDefault="00EA091D" w:rsidP="00EA091D">
      <w:pPr>
        <w:pStyle w:val="Heading8"/>
        <w:spacing w:before="240"/>
        <w:rPr>
          <w:lang w:val="es-ES_tradnl"/>
        </w:rPr>
      </w:pPr>
      <w:r w:rsidRPr="00777C85">
        <w:rPr>
          <w:lang w:val="es-ES_tradnl"/>
        </w:rPr>
        <w:t xml:space="preserve">7.5 </w:t>
      </w:r>
      <w:r w:rsidRPr="00777C85">
        <w:rPr>
          <w:i/>
          <w:iCs/>
          <w:lang w:val="es-ES_tradnl"/>
        </w:rPr>
        <w:t>a)</w:t>
      </w:r>
    </w:p>
    <w:p w14:paraId="6AB98196" w14:textId="77777777" w:rsidR="00EA091D" w:rsidRDefault="00EA091D" w:rsidP="00EA091D">
      <w:pPr>
        <w:rPr>
          <w:bCs/>
          <w:szCs w:val="24"/>
          <w:lang w:val="es-ES_tradnl"/>
        </w:rPr>
      </w:pPr>
      <w:r w:rsidRPr="00777C85">
        <w:rPr>
          <w:bCs/>
          <w:szCs w:val="24"/>
          <w:lang w:val="es-ES_tradnl"/>
        </w:rPr>
        <w:t>Véanse las Reglas de Procedimiento relacionadas con el § 6.3 </w:t>
      </w:r>
      <w:r w:rsidRPr="00777C85">
        <w:rPr>
          <w:bCs/>
          <w:i/>
          <w:iCs/>
          <w:szCs w:val="24"/>
          <w:lang w:val="es-ES_tradnl"/>
        </w:rPr>
        <w:t>a)</w:t>
      </w:r>
      <w:r w:rsidRPr="00777C85">
        <w:rPr>
          <w:bCs/>
          <w:szCs w:val="24"/>
          <w:lang w:val="es-ES_tradnl"/>
        </w:rPr>
        <w:t>.</w:t>
      </w:r>
    </w:p>
    <w:p w14:paraId="69AD452F" w14:textId="77777777" w:rsidR="0047741C" w:rsidRPr="00777C85" w:rsidRDefault="0047741C" w:rsidP="0047741C">
      <w:pPr>
        <w:pStyle w:val="Heading8"/>
        <w:spacing w:before="240"/>
        <w:rPr>
          <w:lang w:val="es-ES_tradnl"/>
        </w:rPr>
      </w:pPr>
      <w:r>
        <w:rPr>
          <w:lang w:val="es-ES_tradnl"/>
        </w:rPr>
        <w:t>Art. 8</w:t>
      </w:r>
      <w:r>
        <w:rPr>
          <w:lang w:val="es-ES_tradnl"/>
        </w:rPr>
        <w:tab/>
      </w:r>
    </w:p>
    <w:p w14:paraId="37441948" w14:textId="77777777" w:rsidR="0086410F" w:rsidRPr="0086410F" w:rsidRDefault="0086410F" w:rsidP="00EA091D">
      <w:pPr>
        <w:rPr>
          <w:bCs/>
          <w:sz w:val="16"/>
          <w:szCs w:val="16"/>
          <w:lang w:val="es-ES_tradnl"/>
        </w:rPr>
      </w:pPr>
    </w:p>
    <w:p w14:paraId="4A8AA6A3" w14:textId="77777777" w:rsidR="0086410F" w:rsidRPr="0086410F" w:rsidRDefault="0086410F" w:rsidP="00192C9F">
      <w:pPr>
        <w:pStyle w:val="AppArttitle"/>
      </w:pPr>
      <w:r w:rsidRPr="00BF736E">
        <w:t>Procedimiento para la notificación e inscripción en el Registro Internacional</w:t>
      </w:r>
      <w:r>
        <w:t xml:space="preserve"> </w:t>
      </w:r>
      <w:r w:rsidRPr="00BF736E">
        <w:t xml:space="preserve">de asignaciones en las bandas planificadas </w:t>
      </w:r>
      <w:r w:rsidR="00192C9F">
        <w:br/>
      </w:r>
      <w:r w:rsidRPr="00BF736E">
        <w:t>del servicio fijo por satélite</w:t>
      </w:r>
    </w:p>
    <w:p w14:paraId="44279FFE" w14:textId="77777777" w:rsidR="00EA091D" w:rsidRPr="00777C85" w:rsidRDefault="00EA091D" w:rsidP="00073492">
      <w:pPr>
        <w:pStyle w:val="Heading8"/>
        <w:spacing w:before="240"/>
        <w:rPr>
          <w:lang w:val="es-ES_tradnl"/>
        </w:rPr>
      </w:pPr>
      <w:r w:rsidRPr="00777C85">
        <w:rPr>
          <w:lang w:val="es-ES_tradnl"/>
        </w:rPr>
        <w:t>8.8</w:t>
      </w:r>
      <w:r w:rsidR="0047741C">
        <w:rPr>
          <w:lang w:val="es-ES_tradnl"/>
        </w:rPr>
        <w:tab/>
      </w:r>
    </w:p>
    <w:p w14:paraId="3F31B8E0" w14:textId="77777777" w:rsidR="00EA091D" w:rsidRDefault="00EA091D" w:rsidP="00EA091D">
      <w:pPr>
        <w:rPr>
          <w:lang w:val="es-ES_tradnl"/>
        </w:rPr>
      </w:pPr>
      <w:r w:rsidRPr="00777C85">
        <w:rPr>
          <w:lang w:val="es-ES_tradnl"/>
        </w:rPr>
        <w:t>Véanse las Reglas de Procedimiento relacionadas con el § 6.3 </w:t>
      </w:r>
      <w:r w:rsidRPr="00777C85">
        <w:rPr>
          <w:i/>
          <w:iCs/>
          <w:lang w:val="es-ES_tradnl"/>
        </w:rPr>
        <w:t>a)</w:t>
      </w:r>
      <w:r w:rsidRPr="00777C85">
        <w:rPr>
          <w:lang w:val="es-ES_tradnl"/>
        </w:rPr>
        <w:t>.</w:t>
      </w:r>
    </w:p>
    <w:p w14:paraId="718E4EE6" w14:textId="77777777" w:rsidR="00EA091D" w:rsidRPr="00CA68AE" w:rsidRDefault="00EA091D" w:rsidP="00EA091D">
      <w:pPr>
        <w:pStyle w:val="Heading8"/>
        <w:spacing w:before="240"/>
        <w:jc w:val="left"/>
        <w:rPr>
          <w:lang w:val="es-ES_tradnl"/>
        </w:rPr>
      </w:pPr>
      <w:r w:rsidRPr="00CA68AE">
        <w:rPr>
          <w:lang w:val="es-ES_tradnl"/>
        </w:rPr>
        <w:t xml:space="preserve">Anexos 3 </w:t>
      </w:r>
      <w:r w:rsidRPr="00CA68AE">
        <w:rPr>
          <w:lang w:val="es-ES_tradnl"/>
        </w:rPr>
        <w:br/>
        <w:t>y 4</w:t>
      </w:r>
    </w:p>
    <w:p w14:paraId="7B75D279"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1</w:t>
      </w:r>
      <w:r w:rsidRPr="00EA091D">
        <w:rPr>
          <w:rFonts w:eastAsia="SimSun"/>
          <w:lang w:val="es-ES_tradnl" w:eastAsia="zh-CN"/>
        </w:rPr>
        <w:tab/>
      </w:r>
      <w:proofErr w:type="gramStart"/>
      <w:r w:rsidRPr="00EA091D">
        <w:rPr>
          <w:rFonts w:eastAsia="SimSun"/>
          <w:lang w:val="es-ES_tradnl" w:eastAsia="zh-CN"/>
        </w:rPr>
        <w:t>En</w:t>
      </w:r>
      <w:proofErr w:type="gramEnd"/>
      <w:r w:rsidRPr="00EA091D">
        <w:rPr>
          <w:rFonts w:eastAsia="SimSun"/>
          <w:lang w:val="es-ES_tradnl" w:eastAsia="zh-CN"/>
        </w:rPr>
        <w:t xml:space="preserve"> la CMR-07 se revisó el Apéndice </w:t>
      </w:r>
      <w:r w:rsidRPr="00EA091D">
        <w:rPr>
          <w:rFonts w:eastAsia="SimSun"/>
          <w:b/>
          <w:bCs/>
          <w:lang w:val="es-ES_tradnl" w:eastAsia="zh-CN"/>
        </w:rPr>
        <w:t>30B</w:t>
      </w:r>
      <w:r w:rsidRPr="00EA091D">
        <w:rPr>
          <w:rFonts w:eastAsia="SimSun"/>
          <w:lang w:val="es-ES_tradnl" w:eastAsia="zh-CN"/>
        </w:rPr>
        <w:t xml:space="preserve"> y se introdujeron límites a la densidad de flujo de potencia en el Anexo 3 de dicho Apéndice con el fin de proteger las adjudicaciones y asignaciones al SFS contra la interferencia que pudieran causar otras asignaciones al SFS situadas fuera de los arcos orbitales definidos en el Anexo 4. Aunque la anchura de banda de referencia de estos límites en el Anexo 3 es de 1 MHz, las máximas densidades de potencia utilizadas en los cálculos de las densidades de flujo de potencia se comunican en dB (W/Hz) promediada en la anchura de banda necesaria (C.8.h) y en 4 kHz (C.8.b.2) de conformidad con el Apéndice </w:t>
      </w:r>
      <w:r w:rsidRPr="00EA091D">
        <w:rPr>
          <w:rFonts w:eastAsia="SimSun"/>
          <w:b/>
          <w:bCs/>
          <w:lang w:val="es-ES_tradnl" w:eastAsia="zh-CN"/>
        </w:rPr>
        <w:t>4</w:t>
      </w:r>
      <w:r w:rsidRPr="00EA091D">
        <w:rPr>
          <w:rFonts w:eastAsia="SimSun"/>
          <w:lang w:val="es-ES_tradnl" w:eastAsia="zh-CN"/>
        </w:rPr>
        <w:t xml:space="preserve">. La discrepancia entre la anchura de banda de referencia para los límites y la anchura de banda promediada para la comunicación pudiera dar lugar a una sobreestimación de la interferencia cuando se utilizan unas pocas portadoras de banda estrecha, por </w:t>
      </w:r>
      <w:proofErr w:type="gramStart"/>
      <w:r w:rsidRPr="00EA091D">
        <w:rPr>
          <w:rFonts w:eastAsia="SimSun"/>
          <w:lang w:val="es-ES_tradnl" w:eastAsia="zh-CN"/>
        </w:rPr>
        <w:t>ejemplo</w:t>
      </w:r>
      <w:proofErr w:type="gramEnd"/>
      <w:r w:rsidRPr="00EA091D">
        <w:rPr>
          <w:rFonts w:eastAsia="SimSun"/>
          <w:lang w:val="es-ES_tradnl" w:eastAsia="zh-CN"/>
        </w:rPr>
        <w:t xml:space="preserve"> las portadoras para seguimiento, telemedida y telemando. Por otra parte, la portadora de banda estrecha puede causar una interferencia considerable a otras portadoras de banda estrecha si éstas se superponen unas con otras de manera fortuita.</w:t>
      </w:r>
    </w:p>
    <w:p w14:paraId="72187526" w14:textId="77777777" w:rsidR="006E37C2" w:rsidRDefault="006E37C2" w:rsidP="00EA091D">
      <w:pPr>
        <w:spacing w:before="120"/>
        <w:rPr>
          <w:rFonts w:eastAsia="SimSun"/>
          <w:szCs w:val="22"/>
          <w:lang w:val="es-ES_tradnl" w:eastAsia="zh-CN"/>
        </w:rPr>
      </w:pPr>
      <w:r>
        <w:rPr>
          <w:rFonts w:eastAsia="SimSun"/>
          <w:szCs w:val="22"/>
          <w:lang w:val="es-ES_tradnl" w:eastAsia="zh-CN"/>
        </w:rPr>
        <w:br w:type="page"/>
      </w:r>
    </w:p>
    <w:p w14:paraId="2F532320" w14:textId="77777777" w:rsidR="00EA091D" w:rsidRPr="00EA091D" w:rsidRDefault="00EA091D" w:rsidP="00EA091D">
      <w:pPr>
        <w:spacing w:before="120"/>
        <w:rPr>
          <w:rFonts w:eastAsia="SimSun"/>
          <w:lang w:val="es-ES_tradnl" w:eastAsia="zh-CN"/>
        </w:rPr>
      </w:pPr>
      <w:r w:rsidRPr="00EA091D">
        <w:rPr>
          <w:rFonts w:eastAsia="SimSun"/>
          <w:szCs w:val="22"/>
          <w:lang w:val="es-ES_tradnl" w:eastAsia="zh-CN"/>
        </w:rPr>
        <w:t>2</w:t>
      </w:r>
      <w:r w:rsidRPr="00EA091D">
        <w:rPr>
          <w:rFonts w:eastAsia="SimSun"/>
          <w:szCs w:val="22"/>
          <w:lang w:val="es-ES_tradnl" w:eastAsia="zh-CN"/>
        </w:rPr>
        <w:tab/>
      </w:r>
      <w:proofErr w:type="gramStart"/>
      <w:r w:rsidRPr="00EA091D">
        <w:rPr>
          <w:rFonts w:eastAsia="SimSun"/>
          <w:szCs w:val="22"/>
          <w:lang w:val="es-ES_tradnl" w:eastAsia="zh-CN"/>
        </w:rPr>
        <w:t>Para</w:t>
      </w:r>
      <w:proofErr w:type="gramEnd"/>
      <w:r w:rsidRPr="00EA091D">
        <w:rPr>
          <w:rFonts w:eastAsia="SimSun"/>
          <w:szCs w:val="22"/>
          <w:lang w:val="es-ES_tradnl" w:eastAsia="zh-CN"/>
        </w:rPr>
        <w:t xml:space="preserve"> evitar la sobreestimación de la interferencia causada por portadoras de banda estrecha a portadoras de banda ancha debido a la integración de la potencia de las portadoras de banda estrecha de 1 Hz a 1 MHz y para facilitar un mecanismo que resuelva </w:t>
      </w:r>
      <w:r w:rsidRPr="00EA091D">
        <w:rPr>
          <w:rFonts w:eastAsia="SimSun"/>
          <w:lang w:val="es-ES_tradnl" w:eastAsia="zh-CN"/>
        </w:rPr>
        <w:t>la interferencia imprevista entre portadoras de banda estrecha, la Junta decidió adoptar las medidas que se describen a continuación.</w:t>
      </w:r>
    </w:p>
    <w:p w14:paraId="237740E4" w14:textId="77777777" w:rsidR="00EA091D" w:rsidRPr="00EA091D" w:rsidRDefault="00EA091D" w:rsidP="00EA091D">
      <w:pPr>
        <w:spacing w:before="120"/>
        <w:rPr>
          <w:rFonts w:eastAsia="SimSun"/>
          <w:lang w:val="es-ES_tradnl" w:eastAsia="zh-CN"/>
        </w:rPr>
      </w:pPr>
      <w:r w:rsidRPr="00EA091D">
        <w:rPr>
          <w:rFonts w:eastAsia="SimSun"/>
          <w:lang w:val="es-ES_tradnl" w:eastAsia="zh-CN"/>
        </w:rPr>
        <w:t>2.1</w:t>
      </w:r>
      <w:r w:rsidRPr="00EA091D">
        <w:rPr>
          <w:rFonts w:eastAsia="SimSun"/>
          <w:lang w:val="es-ES_tradnl" w:eastAsia="zh-CN"/>
        </w:rPr>
        <w:tab/>
        <w:t>En el caso de que:</w:t>
      </w:r>
    </w:p>
    <w:p w14:paraId="3101427F"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a)</w:t>
      </w:r>
      <w:r w:rsidRPr="00EA091D">
        <w:rPr>
          <w:rFonts w:eastAsia="SimSun"/>
          <w:lang w:val="es-ES_tradnl" w:eastAsia="zh-CN"/>
        </w:rPr>
        <w:tab/>
        <w:t>la densidad de potencia máxima a la entrada de la antena, expresada en dB(W/Hz) y promediada en la banda de 1 MHz más desfavorable, habida cuenta del número de portadoras y el nivel de potencia de cada una que funciona en la anchura de banda promediada de 1 MHz;</w:t>
      </w:r>
    </w:p>
    <w:p w14:paraId="1860C98C" w14:textId="77777777" w:rsidR="00EA091D" w:rsidRPr="00EA091D" w:rsidRDefault="00EA091D" w:rsidP="00EA091D">
      <w:pPr>
        <w:keepNext/>
        <w:rPr>
          <w:rFonts w:eastAsia="SimSun"/>
          <w:lang w:val="es-ES_tradnl" w:eastAsia="zh-CN"/>
        </w:rPr>
      </w:pPr>
      <w:r w:rsidRPr="00EA091D">
        <w:rPr>
          <w:rFonts w:eastAsia="SimSun"/>
          <w:lang w:val="es-ES_tradnl" w:eastAsia="zh-CN"/>
        </w:rPr>
        <w:t>sea inferior a:</w:t>
      </w:r>
    </w:p>
    <w:p w14:paraId="5420B74E" w14:textId="77777777" w:rsidR="00EA091D" w:rsidRPr="00EA091D" w:rsidRDefault="00EA091D" w:rsidP="00EA091D">
      <w:pPr>
        <w:pStyle w:val="enumlev1"/>
        <w:rPr>
          <w:rFonts w:eastAsia="SimSun"/>
          <w:lang w:val="es-ES_tradnl" w:eastAsia="zh-CN"/>
        </w:rPr>
      </w:pPr>
      <w:r w:rsidRPr="00EA091D">
        <w:rPr>
          <w:rFonts w:eastAsia="SimSun"/>
          <w:i/>
          <w:iCs/>
          <w:lang w:val="es-ES_tradnl" w:eastAsia="zh-CN"/>
        </w:rPr>
        <w:t>b)</w:t>
      </w:r>
      <w:r w:rsidRPr="00EA091D">
        <w:rPr>
          <w:rFonts w:eastAsia="SimSun"/>
          <w:lang w:val="es-ES_tradnl" w:eastAsia="zh-CN"/>
        </w:rPr>
        <w:tab/>
        <w:t>la densidad de potencia máxima en dB(W/Hz), promediada en la anchura de banda necesaria (C.8.h);</w:t>
      </w:r>
    </w:p>
    <w:p w14:paraId="06251510" w14:textId="77777777" w:rsidR="00EA091D" w:rsidRPr="00EA091D" w:rsidRDefault="00EA091D" w:rsidP="00EA091D">
      <w:pPr>
        <w:rPr>
          <w:rFonts w:eastAsia="SimSun"/>
          <w:lang w:val="es-ES_tradnl" w:eastAsia="zh-CN"/>
        </w:rPr>
      </w:pPr>
      <w:r w:rsidRPr="00EA091D">
        <w:rPr>
          <w:rFonts w:eastAsia="SimSun"/>
          <w:lang w:val="es-ES_tradnl" w:eastAsia="zh-CN"/>
        </w:rPr>
        <w:t>2.2</w:t>
      </w:r>
      <w:r w:rsidRPr="00EA091D">
        <w:rPr>
          <w:rFonts w:eastAsia="SimSun"/>
          <w:lang w:val="es-ES_tradnl" w:eastAsia="zh-CN"/>
        </w:rPr>
        <w:tab/>
        <w:t xml:space="preserve">la administración notificante deberá comunicar el valor de la densidad de potencia descrita en el inciso a) precedente, junto con la información pertinente del Apéndice </w:t>
      </w:r>
      <w:r w:rsidRPr="00EA091D">
        <w:rPr>
          <w:rFonts w:eastAsia="SimSun"/>
          <w:b/>
          <w:bCs/>
          <w:lang w:val="es-ES_tradnl" w:eastAsia="zh-CN"/>
        </w:rPr>
        <w:t>4</w:t>
      </w:r>
      <w:r w:rsidRPr="00EA091D">
        <w:rPr>
          <w:rFonts w:eastAsia="SimSun"/>
          <w:lang w:val="es-ES_tradnl" w:eastAsia="zh-CN"/>
        </w:rPr>
        <w:t>;</w:t>
      </w:r>
    </w:p>
    <w:p w14:paraId="57A5C59A" w14:textId="77777777" w:rsidR="00EA091D" w:rsidRPr="00EA091D" w:rsidRDefault="00EA091D" w:rsidP="00EA091D">
      <w:pPr>
        <w:rPr>
          <w:rFonts w:eastAsia="SimSun"/>
          <w:lang w:val="es-ES_tradnl" w:eastAsia="zh-CN"/>
        </w:rPr>
      </w:pPr>
      <w:r w:rsidRPr="00EA091D">
        <w:rPr>
          <w:rFonts w:eastAsia="SimSun"/>
          <w:lang w:val="es-ES_tradnl" w:eastAsia="zh-CN"/>
        </w:rPr>
        <w:t>2.3</w:t>
      </w:r>
      <w:r w:rsidRPr="00EA091D">
        <w:rPr>
          <w:rFonts w:eastAsia="SimSun"/>
          <w:lang w:val="es-ES_tradnl" w:eastAsia="zh-CN"/>
        </w:rPr>
        <w:tab/>
        <w:t>la Oficina utilizará el valor comunicado de la densidad de flujo de potencia, descrito en el inciso 2.1a) anterior, para efectuar el examen con arreglo a los Anexos 3 y 4 y lo publicará en la correspondiente Sección Especial;</w:t>
      </w:r>
    </w:p>
    <w:p w14:paraId="0D9A8708" w14:textId="77777777" w:rsidR="00FF4DC9" w:rsidRDefault="00EA091D" w:rsidP="006947A3">
      <w:pPr>
        <w:rPr>
          <w:rFonts w:eastAsia="SimSun"/>
          <w:lang w:val="es-ES_tradnl" w:eastAsia="zh-CN"/>
        </w:rPr>
      </w:pPr>
      <w:r w:rsidRPr="00EA091D">
        <w:rPr>
          <w:rFonts w:eastAsia="SimSun"/>
          <w:lang w:val="es-ES_tradnl" w:eastAsia="zh-CN"/>
        </w:rPr>
        <w:t>2.4</w:t>
      </w:r>
      <w:r w:rsidRPr="00EA091D">
        <w:rPr>
          <w:rFonts w:eastAsia="SimSun"/>
          <w:lang w:val="es-ES_tradnl" w:eastAsia="zh-CN"/>
        </w:rPr>
        <w:tab/>
        <w:t>las asignaciones cuyo valor de la densidad de potencia descrito en el inciso 2.1b) precedente sea mayor que el valor del inciso 2.1a) no deberán causar interferencia perjudicial a las asignaciones previamente inscritas en el MIFR, ni reclamarán protección contra las mismas.</w:t>
      </w:r>
    </w:p>
    <w:p w14:paraId="39817B33" w14:textId="77777777" w:rsidR="008901CB" w:rsidRDefault="008901CB" w:rsidP="006947A3">
      <w:pPr>
        <w:rPr>
          <w:rFonts w:eastAsia="SimSun"/>
          <w:lang w:val="es-ES_tradnl" w:eastAsia="zh-CN"/>
        </w:rPr>
        <w:sectPr w:rsidR="008901CB" w:rsidSect="0098468E">
          <w:headerReference w:type="even" r:id="rId12"/>
          <w:headerReference w:type="default" r:id="rId13"/>
          <w:footnotePr>
            <w:pos w:val="beneathText"/>
          </w:footnotePr>
          <w:pgSz w:w="11907" w:h="16840" w:code="9"/>
          <w:pgMar w:top="1701" w:right="851" w:bottom="1134" w:left="1985" w:header="720" w:footer="482" w:gutter="0"/>
          <w:cols w:space="720"/>
          <w:vAlign w:val="both"/>
        </w:sectPr>
      </w:pPr>
    </w:p>
    <w:p w14:paraId="54B86A37" w14:textId="77777777" w:rsidR="008901CB" w:rsidRPr="006B420B" w:rsidRDefault="008901CB" w:rsidP="004808B6">
      <w:pPr>
        <w:spacing w:before="0"/>
        <w:rPr>
          <w:lang w:val="es-ES_tradnl"/>
        </w:rPr>
      </w:pPr>
      <w:r w:rsidRPr="006B420B">
        <w:rPr>
          <w:bCs/>
          <w:color w:val="000000"/>
          <w:sz w:val="16"/>
          <w:szCs w:val="16"/>
          <w:lang w:val="es-ES_tradnl"/>
        </w:rPr>
        <w:t>(ADD RRB20/85)</w:t>
      </w:r>
    </w:p>
    <w:p w14:paraId="1B404AC7" w14:textId="77777777" w:rsidR="006B420B" w:rsidRPr="006B420B" w:rsidRDefault="006B420B" w:rsidP="004808B6">
      <w:pPr>
        <w:spacing w:before="80"/>
        <w:rPr>
          <w:rFonts w:eastAsia="SimSun"/>
          <w:lang w:val="es-ES_tradnl" w:eastAsia="zh-CN"/>
        </w:rPr>
      </w:pPr>
      <w:r w:rsidRPr="006B420B">
        <w:rPr>
          <w:rFonts w:eastAsia="SimSun"/>
          <w:b/>
          <w:bCs/>
          <w:lang w:val="es-ES_tradnl" w:eastAsia="zh-CN"/>
        </w:rPr>
        <w:t>Nota</w:t>
      </w:r>
      <w:r w:rsidRPr="006B420B">
        <w:rPr>
          <w:rFonts w:eastAsia="SimSun"/>
          <w:lang w:val="es-ES_tradnl" w:eastAsia="zh-CN"/>
        </w:rPr>
        <w:t xml:space="preserve">: En su 10ª Sesión Plenaria la CMR-19 tomó la siguiente decisión con respecto a los Anexos 3 y 4 del Apéndice </w:t>
      </w:r>
      <w:r w:rsidRPr="006B420B">
        <w:rPr>
          <w:rFonts w:eastAsia="SimSun"/>
          <w:b/>
          <w:bCs/>
          <w:lang w:val="es-ES_tradnl" w:eastAsia="zh-CN"/>
        </w:rPr>
        <w:t>30B</w:t>
      </w:r>
      <w:r w:rsidRPr="006B420B">
        <w:rPr>
          <w:rFonts w:eastAsia="SimSun"/>
          <w:lang w:val="es-ES_tradnl" w:eastAsia="zh-CN"/>
        </w:rPr>
        <w:t xml:space="preserve">; véanse los apartados 13.7 a 13.9 del Documento CMR19/571, aprobación del Documento CMR19/510 (véanse asimismo las Reglas de Procedimiento relativas a la Resolución </w:t>
      </w:r>
      <w:r w:rsidRPr="006B420B">
        <w:rPr>
          <w:rFonts w:eastAsia="SimSun"/>
          <w:b/>
          <w:bCs/>
          <w:lang w:val="es-ES_tradnl" w:eastAsia="zh-CN"/>
        </w:rPr>
        <w:t>170 (CMR-19)</w:t>
      </w:r>
      <w:r w:rsidRPr="006B420B">
        <w:rPr>
          <w:rFonts w:eastAsia="SimSun"/>
          <w:lang w:val="es-ES_tradnl" w:eastAsia="zh-CN"/>
        </w:rPr>
        <w:t>):</w:t>
      </w:r>
    </w:p>
    <w:p w14:paraId="0C81624D" w14:textId="7EA6381B" w:rsidR="006B420B" w:rsidRPr="00C06EA0" w:rsidRDefault="006B420B" w:rsidP="004808B6">
      <w:pPr>
        <w:spacing w:before="80"/>
        <w:rPr>
          <w:rFonts w:eastAsia="SimSun"/>
          <w:b/>
          <w:bCs/>
          <w:i/>
          <w:iCs/>
          <w:lang w:val="es-ES_tradnl" w:eastAsia="zh-CN"/>
        </w:rPr>
      </w:pPr>
      <w:r w:rsidRPr="006B420B">
        <w:rPr>
          <w:rFonts w:eastAsia="SimSun"/>
          <w:b/>
          <w:bCs/>
          <w:i/>
          <w:iCs/>
          <w:lang w:val="es-ES_tradnl" w:eastAsia="zh-CN"/>
        </w:rPr>
        <w:t>«Instrucciones a la Oficina de Radiocomunicaciones en aplicación del Anexo 3 y el Anexo</w:t>
      </w:r>
      <w:r w:rsidR="004808B6">
        <w:rPr>
          <w:rFonts w:eastAsia="SimSun"/>
          <w:b/>
          <w:bCs/>
          <w:i/>
          <w:iCs/>
          <w:lang w:val="es-ES_tradnl" w:eastAsia="zh-CN"/>
        </w:rPr>
        <w:t> </w:t>
      </w:r>
      <w:r w:rsidRPr="006B420B">
        <w:rPr>
          <w:rFonts w:eastAsia="SimSun"/>
          <w:b/>
          <w:bCs/>
          <w:i/>
          <w:iCs/>
          <w:lang w:val="es-ES_tradnl" w:eastAsia="zh-CN"/>
        </w:rPr>
        <w:t>4 del Apéndice 30B del RR, así como de los criterios a los que se hace referencia en la Resolución [A7(E)-AP30B] (CMR</w:t>
      </w:r>
      <w:r w:rsidRPr="006B420B">
        <w:rPr>
          <w:rFonts w:eastAsia="SimSun"/>
          <w:b/>
          <w:bCs/>
          <w:i/>
          <w:iCs/>
          <w:lang w:val="es-ES_tradnl" w:eastAsia="zh-CN"/>
        </w:rPr>
        <w:noBreakHyphen/>
        <w:t>19) en su tramitación, después del 22 de noviembre de 2019, de las notificaciones recibidas en virtud de dicho Apéndice</w:t>
      </w:r>
      <w:bookmarkStart w:id="0" w:name="_GoBack"/>
    </w:p>
    <w:p w14:paraId="5AA4EBAD" w14:textId="77777777" w:rsidR="006B420B" w:rsidRPr="00C06EA0" w:rsidRDefault="006B420B" w:rsidP="004808B6">
      <w:pPr>
        <w:spacing w:before="80"/>
        <w:rPr>
          <w:rFonts w:eastAsia="SimSun"/>
          <w:i/>
          <w:iCs/>
          <w:lang w:val="es-ES_tradnl" w:eastAsia="zh-CN"/>
        </w:rPr>
      </w:pPr>
      <w:r w:rsidRPr="00C06EA0">
        <w:rPr>
          <w:rFonts w:eastAsia="SimSun"/>
          <w:i/>
          <w:iCs/>
          <w:lang w:val="es-ES_tradnl" w:eastAsia="zh-CN"/>
        </w:rPr>
        <w:t>La Oficina de Radiocomunicaciones seguirá calculando y actualizando valores procedentes de una sola fuente ya aceptados, tanto del enlace ascendente como del enlace descendente, para todas las redes de satélites del Apéndice </w:t>
      </w:r>
      <w:r w:rsidRPr="00C06EA0">
        <w:rPr>
          <w:rFonts w:eastAsia="SimSun"/>
          <w:b/>
          <w:bCs/>
          <w:i/>
          <w:iCs/>
          <w:lang w:val="es-ES_tradnl" w:eastAsia="zh-CN"/>
        </w:rPr>
        <w:t>30B</w:t>
      </w:r>
      <w:r w:rsidRPr="00C06EA0">
        <w:rPr>
          <w:rFonts w:eastAsia="SimSun"/>
          <w:i/>
          <w:iCs/>
          <w:lang w:val="es-ES_tradnl" w:eastAsia="zh-CN"/>
        </w:rPr>
        <w:t xml:space="preserve"> del RR de acuerdo con lo dispuesto en las notas X2 y X3 al punto 2.1 del Anexo 4 del Apéndice </w:t>
      </w:r>
      <w:r w:rsidRPr="00C06EA0">
        <w:rPr>
          <w:rFonts w:eastAsia="SimSun"/>
          <w:b/>
          <w:bCs/>
          <w:i/>
          <w:iCs/>
          <w:lang w:val="es-ES_tradnl" w:eastAsia="zh-CN"/>
        </w:rPr>
        <w:t>30B</w:t>
      </w:r>
      <w:r w:rsidRPr="00C06EA0">
        <w:rPr>
          <w:rFonts w:eastAsia="SimSun"/>
          <w:i/>
          <w:iCs/>
          <w:lang w:val="es-ES_tradnl" w:eastAsia="zh-CN"/>
        </w:rPr>
        <w:t xml:space="preserve"> </w:t>
      </w:r>
      <w:r w:rsidRPr="00C06EA0">
        <w:rPr>
          <w:rFonts w:eastAsia="SimSun"/>
          <w:b/>
          <w:bCs/>
          <w:i/>
          <w:iCs/>
          <w:lang w:val="es-ES_tradnl" w:eastAsia="zh-CN"/>
        </w:rPr>
        <w:t>(Rev.CMR-19)</w:t>
      </w:r>
      <w:r w:rsidRPr="00C06EA0">
        <w:rPr>
          <w:rFonts w:eastAsia="SimSun"/>
          <w:i/>
          <w:iCs/>
          <w:lang w:val="es-ES_tradnl" w:eastAsia="zh-CN"/>
        </w:rPr>
        <w:t xml:space="preserve"> del RR, de manera que dicha información pueda ser utilizada por las administraciones durante la coordinación de sus redes respectivas. La Oficina de Radiocomunicaciones aplicará:</w:t>
      </w:r>
    </w:p>
    <w:p w14:paraId="03F24589"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1</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 </w:t>
      </w:r>
      <w:bookmarkStart w:id="1" w:name="_Hlk24908567"/>
      <w:r w:rsidRPr="00C06EA0">
        <w:rPr>
          <w:rFonts w:eastAsia="SimSun"/>
          <w:i/>
          <w:iCs/>
          <w:lang w:val="es-ES_tradnl" w:eastAsia="zh-CN"/>
        </w:rPr>
        <w:t>recibidas por la Oficina antes del 23 de noviembre de 2019</w:t>
      </w:r>
      <w:bookmarkEnd w:id="1"/>
      <w:r w:rsidRPr="00C06EA0">
        <w:rPr>
          <w:rFonts w:eastAsia="SimSun"/>
          <w:i/>
          <w:iCs/>
          <w:lang w:val="es-ES_tradnl" w:eastAsia="zh-CN"/>
        </w:rPr>
        <w:t>:</w:t>
      </w:r>
    </w:p>
    <w:p w14:paraId="00624BA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6.3 b);</w:t>
      </w:r>
    </w:p>
    <w:p w14:paraId="55FCDF98"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6.5.</w:t>
      </w:r>
    </w:p>
    <w:p w14:paraId="611A9E37"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ab/>
        <w:t>Nota: Incluida la protección de las notificaciones en el marco del Tema E examinadas antes de la Parte A.</w:t>
      </w:r>
    </w:p>
    <w:p w14:paraId="55347D9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2</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6.17 recibidas por la Oficina antes del 23 de noviembre de 2019:</w:t>
      </w:r>
    </w:p>
    <w:p w14:paraId="59C31359"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2BCA2316"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(Rev.CMR-07) en su examen en virtud del § 6.21;</w:t>
      </w:r>
    </w:p>
    <w:p w14:paraId="04B0D019"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nueva nota al § 6.21 c);</w:t>
      </w:r>
    </w:p>
    <w:p w14:paraId="0E2BFF0A" w14:textId="77777777" w:rsidR="006B420B" w:rsidRPr="00C06EA0" w:rsidRDefault="006B420B" w:rsidP="004808B6">
      <w:pPr>
        <w:spacing w:before="80"/>
        <w:ind w:left="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(Rev.CMR-07) en su examen en virtud del § 6.22.</w:t>
      </w:r>
    </w:p>
    <w:p w14:paraId="48E3DFB3" w14:textId="77777777" w:rsidR="006B420B" w:rsidRPr="00C06EA0" w:rsidRDefault="006B420B" w:rsidP="004808B6">
      <w:pPr>
        <w:spacing w:before="80"/>
        <w:ind w:left="1134" w:hanging="1134"/>
        <w:rPr>
          <w:rFonts w:eastAsia="SimSun"/>
          <w:i/>
          <w:iCs/>
          <w:lang w:val="es-ES_tradnl" w:eastAsia="zh-CN"/>
        </w:rPr>
      </w:pPr>
      <w:r w:rsidRPr="00C06EA0">
        <w:rPr>
          <w:rFonts w:eastAsia="SimSun"/>
          <w:i/>
          <w:iCs/>
          <w:lang w:val="es-ES_tradnl" w:eastAsia="zh-CN"/>
        </w:rPr>
        <w:tab/>
        <w:t>Nota: Incluida la protección de las notificaciones en el marco del Tema E examinadas antes de la Parte B.</w:t>
      </w:r>
    </w:p>
    <w:p w14:paraId="6909B14A"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3</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6.17 recibidas por la Oficina después del 22 de noviembre de 2019, </w:t>
      </w:r>
      <w:bookmarkStart w:id="2" w:name="_Hlk24908899"/>
      <w:r w:rsidRPr="00C06EA0">
        <w:rPr>
          <w:rFonts w:eastAsia="SimSun"/>
          <w:i/>
          <w:iCs/>
          <w:lang w:val="es-ES_tradnl" w:eastAsia="zh-CN"/>
        </w:rPr>
        <w:t>relacionadas con las notificaciones completas con arreglo al § 6.1 recibidas por la Oficina antes del 23 de noviembre de 2019</w:t>
      </w:r>
      <w:bookmarkEnd w:id="2"/>
      <w:r w:rsidRPr="00C06EA0">
        <w:rPr>
          <w:rFonts w:eastAsia="SimSun"/>
          <w:i/>
          <w:iCs/>
          <w:lang w:val="es-ES_tradnl" w:eastAsia="zh-CN"/>
        </w:rPr>
        <w:t>:</w:t>
      </w:r>
    </w:p>
    <w:p w14:paraId="33E346D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(CMR-07) en su examen en virtud del § 6.19 c);</w:t>
      </w:r>
    </w:p>
    <w:p w14:paraId="3122641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w:t>
      </w:r>
      <w:bookmarkStart w:id="3" w:name="_Hlk24976503"/>
      <w:r w:rsidRPr="00C06EA0">
        <w:rPr>
          <w:rFonts w:eastAsia="SimSun"/>
          <w:i/>
          <w:iCs/>
          <w:lang w:val="es-ES_tradnl" w:eastAsia="zh-CN"/>
        </w:rPr>
        <w:t>Rev.</w:t>
      </w:r>
      <w:bookmarkEnd w:id="3"/>
      <w:r w:rsidRPr="00C06EA0">
        <w:rPr>
          <w:rFonts w:eastAsia="SimSun"/>
          <w:i/>
          <w:iCs/>
          <w:lang w:val="es-ES_tradnl" w:eastAsia="zh-CN"/>
        </w:rPr>
        <w:t>CMR-07) en su examen en virtud del § 6.21;</w:t>
      </w:r>
    </w:p>
    <w:p w14:paraId="0F670ECB"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(Rev.CMR-07) en su examen adicional con arreglo a la nota YY al § 6.21 c) si las demás asignaciones afectadas están inscritas en la Lista antes del 23 de noviembre de 2019;</w:t>
      </w:r>
    </w:p>
    <w:p w14:paraId="7FAF30F3"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en su examen adicional con arreglo a la nota YY al § 6.21 c) si las demás asignaciones afectadas están inscritas en la Lista después del 22 de noviembre de 2019;</w:t>
      </w:r>
    </w:p>
    <w:p w14:paraId="7EF5C4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e)</w:t>
      </w:r>
      <w:r w:rsidRPr="00C06EA0">
        <w:rPr>
          <w:rFonts w:eastAsia="SimSun"/>
          <w:i/>
          <w:iCs/>
          <w:lang w:val="es-ES_tradnl" w:eastAsia="zh-CN"/>
        </w:rPr>
        <w:tab/>
        <w:t>el Anexo 4 (Rev.CMR-19) en su examen en virtud del § 6.22.</w:t>
      </w:r>
    </w:p>
    <w:p w14:paraId="3589D7F0"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b/>
        <w:t>Nota: Incluida la protección de las notificaciones en el marco del Tema E examinadas antes de la Parte A y/o de la Parte B.</w:t>
      </w:r>
    </w:p>
    <w:p w14:paraId="24BC5508" w14:textId="77777777" w:rsidR="004808B6" w:rsidRPr="00C06EA0" w:rsidRDefault="004808B6" w:rsidP="004808B6">
      <w:pPr>
        <w:spacing w:before="0"/>
        <w:rPr>
          <w:rFonts w:eastAsia="SimSun"/>
          <w:i/>
          <w:iCs/>
          <w:lang w:val="es-ES_tradnl" w:eastAsia="zh-CN"/>
        </w:rPr>
      </w:pPr>
      <w:r w:rsidRPr="00C06EA0">
        <w:rPr>
          <w:rFonts w:eastAsia="SimSun"/>
          <w:i/>
          <w:iCs/>
          <w:lang w:val="es-ES_tradnl" w:eastAsia="zh-CN"/>
        </w:rPr>
        <w:br w:type="page"/>
      </w:r>
    </w:p>
    <w:p w14:paraId="042DD21B" w14:textId="6BB89F18"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4</w:t>
      </w:r>
      <w:r w:rsidRPr="00C06EA0">
        <w:rPr>
          <w:rFonts w:eastAsia="SimSun"/>
          <w:i/>
          <w:iCs/>
          <w:lang w:val="es-ES_tradnl" w:eastAsia="zh-CN"/>
        </w:rPr>
        <w:tab/>
      </w:r>
      <w:bookmarkStart w:id="4" w:name="_Hlk24909044"/>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 </w:t>
      </w:r>
      <w:bookmarkEnd w:id="4"/>
      <w:r w:rsidRPr="00C06EA0">
        <w:rPr>
          <w:rFonts w:eastAsia="SimSun"/>
          <w:i/>
          <w:iCs/>
          <w:lang w:val="es-ES_tradnl" w:eastAsia="zh-CN"/>
        </w:rPr>
        <w:t>recibidas por la Oficina después del 22 de noviembre de 2019:</w:t>
      </w:r>
    </w:p>
    <w:p w14:paraId="6CE206F6"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631EB34"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6.5.</w:t>
      </w:r>
    </w:p>
    <w:p w14:paraId="3418E9A8"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5</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6.17 recibidas por la Oficina después del 22 de noviembre de 2019, relacionadas con las notificaciones completas con arreglo al § 6.1 recibidas por la Oficina después del 22 de noviembre de 2019:</w:t>
      </w:r>
    </w:p>
    <w:p w14:paraId="3AC89B9D"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3D0697BF"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en su examen en virtud del § 6.21;</w:t>
      </w:r>
    </w:p>
    <w:p w14:paraId="40F85FB1"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en su examen en virtud del § 6.22.</w:t>
      </w:r>
    </w:p>
    <w:p w14:paraId="137BD2F5"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6</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 en aplicación de la Resolución </w:t>
      </w:r>
      <w:r w:rsidRPr="00C06EA0">
        <w:rPr>
          <w:rFonts w:eastAsia="SimSun"/>
          <w:b/>
          <w:bCs/>
          <w:i/>
          <w:iCs/>
          <w:lang w:val="es-ES_tradnl" w:eastAsia="zh-CN"/>
        </w:rPr>
        <w:t>[A7(E)</w:t>
      </w:r>
      <w:r w:rsidRPr="00C06EA0">
        <w:rPr>
          <w:rFonts w:eastAsia="SimSun"/>
          <w:b/>
          <w:bCs/>
          <w:i/>
          <w:iCs/>
          <w:lang w:val="es-ES_tradnl" w:eastAsia="zh-CN"/>
        </w:rPr>
        <w:noBreakHyphen/>
        <w:t>AP30B] (CMR</w:t>
      </w:r>
      <w:r w:rsidRPr="00C06EA0">
        <w:rPr>
          <w:rFonts w:eastAsia="SimSun"/>
          <w:b/>
          <w:bCs/>
          <w:i/>
          <w:iCs/>
          <w:lang w:val="es-ES_tradnl" w:eastAsia="zh-CN"/>
        </w:rPr>
        <w:noBreakHyphen/>
        <w:t>19)</w:t>
      </w:r>
      <w:r w:rsidRPr="00C06EA0">
        <w:rPr>
          <w:rFonts w:eastAsia="SimSun"/>
          <w:i/>
          <w:iCs/>
          <w:lang w:val="es-ES_tradnl" w:eastAsia="zh-CN"/>
        </w:rPr>
        <w:t>:</w:t>
      </w:r>
    </w:p>
    <w:p w14:paraId="1058C9B0"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6.3 b);</w:t>
      </w:r>
    </w:p>
    <w:p w14:paraId="393E1FC2"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6.5, según corresponda.</w:t>
      </w:r>
    </w:p>
    <w:p w14:paraId="1F551F82"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b/>
        <w:t>Nota: Incluido el examen de las notificaciones en el marco del Tema E antes del examen de la última Parte A y/o Parte B normal recibidas antes del 23 de noviembre de 2019.</w:t>
      </w:r>
    </w:p>
    <w:p w14:paraId="1FA68363" w14:textId="77777777" w:rsidR="006B420B" w:rsidRPr="00C06EA0" w:rsidRDefault="006B420B" w:rsidP="004808B6">
      <w:pPr>
        <w:tabs>
          <w:tab w:val="left" w:pos="567"/>
        </w:tabs>
        <w:spacing w:before="80"/>
        <w:ind w:left="567" w:hanging="567"/>
        <w:rPr>
          <w:rFonts w:eastAsia="SimSun"/>
          <w:i/>
          <w:iCs/>
          <w:lang w:val="es-ES_tradnl" w:eastAsia="zh-CN"/>
        </w:rPr>
      </w:pPr>
      <w:r w:rsidRPr="00C06EA0">
        <w:rPr>
          <w:rFonts w:eastAsia="SimSun"/>
          <w:i/>
          <w:iCs/>
          <w:lang w:val="es-ES_tradnl" w:eastAsia="zh-CN"/>
        </w:rPr>
        <w:t>7</w:t>
      </w:r>
      <w:r w:rsidRPr="00C06EA0">
        <w:rPr>
          <w:rFonts w:eastAsia="SimSun"/>
          <w:i/>
          <w:iCs/>
          <w:lang w:val="es-ES_tradnl" w:eastAsia="zh-CN"/>
        </w:rPr>
        <w:tab/>
      </w:r>
      <w:proofErr w:type="gramStart"/>
      <w:r w:rsidRPr="00C06EA0">
        <w:rPr>
          <w:rFonts w:eastAsia="SimSun"/>
          <w:i/>
          <w:iCs/>
          <w:lang w:val="es-ES_tradnl" w:eastAsia="zh-CN"/>
        </w:rPr>
        <w:t>Para</w:t>
      </w:r>
      <w:proofErr w:type="gramEnd"/>
      <w:r w:rsidRPr="00C06EA0">
        <w:rPr>
          <w:rFonts w:eastAsia="SimSun"/>
          <w:i/>
          <w:iCs/>
          <w:lang w:val="es-ES_tradnl" w:eastAsia="zh-CN"/>
        </w:rPr>
        <w:t xml:space="preserve"> las notificaciones completas con arreglo al § 6.17 en aplicación de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la Oficina aplicará:</w:t>
      </w:r>
    </w:p>
    <w:p w14:paraId="520B398A"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a)</w:t>
      </w:r>
      <w:r w:rsidRPr="00C06EA0">
        <w:rPr>
          <w:rFonts w:eastAsia="SimSun"/>
          <w:i/>
          <w:iCs/>
          <w:lang w:val="es-ES_tradnl" w:eastAsia="zh-CN"/>
        </w:rPr>
        <w:tab/>
        <w:t>el Anexo 3 (Rev.CMR-19) en su examen en virtud del § 6.19 c);</w:t>
      </w:r>
    </w:p>
    <w:p w14:paraId="13AB5567"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b)</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6.21, según corresponda;</w:t>
      </w:r>
    </w:p>
    <w:p w14:paraId="2EF803F8"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c)</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adicional con arreglo a la nota YY al § 6.21 c), según corresponda;</w:t>
      </w:r>
    </w:p>
    <w:p w14:paraId="7BBD19BB" w14:textId="77777777" w:rsidR="006B420B" w:rsidRPr="00C06EA0" w:rsidRDefault="006B420B" w:rsidP="004808B6">
      <w:pPr>
        <w:spacing w:before="80"/>
        <w:ind w:left="1134" w:hanging="567"/>
        <w:rPr>
          <w:rFonts w:eastAsia="SimSun"/>
          <w:i/>
          <w:iCs/>
          <w:lang w:val="es-ES_tradnl" w:eastAsia="zh-CN"/>
        </w:rPr>
      </w:pPr>
      <w:r w:rsidRPr="00C06EA0">
        <w:rPr>
          <w:rFonts w:eastAsia="SimSun"/>
          <w:i/>
          <w:iCs/>
          <w:lang w:val="es-ES_tradnl" w:eastAsia="zh-CN"/>
        </w:rPr>
        <w:t>d)</w:t>
      </w:r>
      <w:r w:rsidRPr="00C06EA0">
        <w:rPr>
          <w:rFonts w:eastAsia="SimSun"/>
          <w:i/>
          <w:iCs/>
          <w:lang w:val="es-ES_tradnl" w:eastAsia="zh-CN"/>
        </w:rPr>
        <w:tab/>
        <w:t>el Anexo 4 (Rev.CMR-19) y los nuevos criterios a los que se hace referencia en la Resolución </w:t>
      </w:r>
      <w:r w:rsidRPr="00C06EA0">
        <w:rPr>
          <w:rFonts w:eastAsia="SimSun"/>
          <w:b/>
          <w:bCs/>
          <w:i/>
          <w:iCs/>
          <w:lang w:val="es-ES_tradnl" w:eastAsia="zh-CN"/>
        </w:rPr>
        <w:t>[A7(E)</w:t>
      </w:r>
      <w:r w:rsidRPr="00C06EA0">
        <w:rPr>
          <w:rFonts w:eastAsia="SimSun"/>
          <w:b/>
          <w:bCs/>
          <w:i/>
          <w:iCs/>
          <w:lang w:val="es-ES_tradnl" w:eastAsia="zh-CN"/>
        </w:rPr>
        <w:noBreakHyphen/>
        <w:t>AP30B] (CMR-19)</w:t>
      </w:r>
      <w:r w:rsidRPr="00C06EA0">
        <w:rPr>
          <w:rFonts w:eastAsia="SimSun"/>
          <w:i/>
          <w:iCs/>
          <w:lang w:val="es-ES_tradnl" w:eastAsia="zh-CN"/>
        </w:rPr>
        <w:t xml:space="preserve"> en su examen en virtud del § 6.22, según corresponda.</w:t>
      </w:r>
    </w:p>
    <w:p w14:paraId="20911691"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6.16:</w:t>
      </w:r>
    </w:p>
    <w:p w14:paraId="791B876C"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Al excluir los territorios de las administraciones concernidas, la Oficina aplicará el Anexo 4 (Rev.CMR-07) hasta que haya sido examinada la última notificación completa con arreglo al § 6.1 o al § 6.17 recibida por la Oficina antes del 23 de noviembre de 2019, y después el Anexo 4 (Rev.CMR-19).</w:t>
      </w:r>
    </w:p>
    <w:p w14:paraId="302736C4"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Si se presenta la solicitud del § 6.16 a fin de que se tome en cuenta para el examen de una notificación completa con arreglo al § 6.17, al examinar dichas notificaciones, la Oficina aplicará el Anexo 4 apropiado utilizado en el examen con arreglo al § 6.21 y al § 6.22 según se indica más arriba.</w:t>
      </w:r>
    </w:p>
    <w:p w14:paraId="6FEA7AD8" w14:textId="77777777" w:rsidR="004808B6" w:rsidRPr="00C06EA0" w:rsidRDefault="004808B6" w:rsidP="004808B6">
      <w:pPr>
        <w:spacing w:before="120"/>
        <w:rPr>
          <w:rFonts w:eastAsia="SimSun"/>
          <w:i/>
          <w:iCs/>
          <w:lang w:val="es-ES_tradnl" w:eastAsia="zh-CN"/>
        </w:rPr>
        <w:sectPr w:rsidR="004808B6" w:rsidRPr="00C06EA0" w:rsidSect="0098468E">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14:paraId="6B6CD2D8" w14:textId="15C2DECF"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6.27 al actualizar los criterios:</w:t>
      </w:r>
    </w:p>
    <w:p w14:paraId="48E199E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La Oficina aplicará el Anexo 4 (Rev.CMR-07) hasta que se haya examinado la última notificación completa con arreglo al § 6.1 o § 6.17 recibida por la Oficina antes del 23 de noviembre de 2019, y después el Anexo 4 (Rev.CMR-19).</w:t>
      </w:r>
    </w:p>
    <w:p w14:paraId="11DA59C9" w14:textId="77777777" w:rsidR="006B420B" w:rsidRPr="00C06EA0" w:rsidRDefault="006B420B" w:rsidP="004808B6">
      <w:pPr>
        <w:spacing w:before="120"/>
        <w:rPr>
          <w:rFonts w:eastAsia="SimSun"/>
          <w:i/>
          <w:iCs/>
          <w:lang w:val="es-ES_tradnl" w:eastAsia="zh-CN"/>
        </w:rPr>
      </w:pPr>
      <w:r w:rsidRPr="00C06EA0">
        <w:rPr>
          <w:rFonts w:eastAsia="SimSun"/>
          <w:i/>
          <w:iCs/>
          <w:lang w:val="es-ES_tradnl" w:eastAsia="zh-CN"/>
        </w:rPr>
        <w:t>Aplicación del § 7.5:</w:t>
      </w:r>
    </w:p>
    <w:p w14:paraId="00B33B35"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antes del 23 de noviembre de 2019, la Oficina aplicará el Anexo 3 (CMR-07) y el Anexo 4 (Rev.CMR-07).</w:t>
      </w:r>
    </w:p>
    <w:p w14:paraId="76F302CB" w14:textId="77777777" w:rsidR="006B420B" w:rsidRPr="00C06EA0" w:rsidRDefault="006B420B" w:rsidP="004808B6">
      <w:pPr>
        <w:tabs>
          <w:tab w:val="left" w:pos="567"/>
        </w:tabs>
        <w:spacing w:before="120"/>
        <w:ind w:left="567" w:hanging="567"/>
        <w:rPr>
          <w:rFonts w:eastAsia="SimSun"/>
          <w:i/>
          <w:iCs/>
          <w:lang w:val="es-ES_tradnl" w:eastAsia="zh-CN"/>
        </w:rPr>
      </w:pPr>
      <w:r w:rsidRPr="00C06EA0">
        <w:rPr>
          <w:rFonts w:eastAsia="SimSun"/>
          <w:i/>
          <w:iCs/>
          <w:lang w:val="es-ES_tradnl" w:eastAsia="zh-CN"/>
        </w:rPr>
        <w:t>–</w:t>
      </w:r>
      <w:r w:rsidRPr="00C06EA0">
        <w:rPr>
          <w:rFonts w:eastAsia="SimSun"/>
          <w:i/>
          <w:iCs/>
          <w:lang w:val="es-ES_tradnl" w:eastAsia="zh-CN"/>
        </w:rPr>
        <w:tab/>
        <w:t>Para una solicitud con arreglo al Artículo </w:t>
      </w:r>
      <w:r w:rsidRPr="00C06EA0">
        <w:rPr>
          <w:rFonts w:eastAsia="SimSun"/>
          <w:b/>
          <w:bCs/>
          <w:i/>
          <w:iCs/>
          <w:lang w:val="es-ES_tradnl" w:eastAsia="zh-CN"/>
        </w:rPr>
        <w:t>7</w:t>
      </w:r>
      <w:r w:rsidRPr="00C06EA0">
        <w:rPr>
          <w:rFonts w:eastAsia="SimSun"/>
          <w:i/>
          <w:iCs/>
          <w:lang w:val="es-ES_tradnl" w:eastAsia="zh-CN"/>
        </w:rPr>
        <w:t xml:space="preserve"> recibida después del 22 de noviembre de 2019, la Oficina aplicará el Anexo 3 (Rev.CMR-19) y el Anexo 4 (Rev.CMR-19).</w:t>
      </w:r>
    </w:p>
    <w:p w14:paraId="63BF1BD5" w14:textId="77777777" w:rsidR="006B420B" w:rsidRPr="006B420B" w:rsidRDefault="006B420B" w:rsidP="004808B6">
      <w:pPr>
        <w:spacing w:before="120"/>
        <w:rPr>
          <w:rFonts w:eastAsia="SimSun"/>
          <w:lang w:val="es-ES" w:eastAsia="zh-CN"/>
        </w:rPr>
      </w:pPr>
      <w:r w:rsidRPr="00C06EA0">
        <w:rPr>
          <w:rFonts w:eastAsia="SimSun"/>
          <w:i/>
          <w:iCs/>
          <w:lang w:val="es-ES_tradnl" w:eastAsia="zh-CN"/>
        </w:rPr>
        <w:t xml:space="preserve">En su examen en virtud del 6.21 c), la Oficina también tendrá en cuenta las notificaciones completas con arreglo al § 6.1 en aplicación de la Resolución </w:t>
      </w:r>
      <w:r w:rsidRPr="00C06EA0">
        <w:rPr>
          <w:rFonts w:eastAsia="SimSun"/>
          <w:b/>
          <w:bCs/>
          <w:i/>
          <w:iCs/>
          <w:lang w:val="es-ES_tradnl" w:eastAsia="zh-CN"/>
        </w:rPr>
        <w:t>[A7(E)-AP30B] (CMR-19)</w:t>
      </w:r>
      <w:r w:rsidRPr="00C06EA0">
        <w:rPr>
          <w:rFonts w:eastAsia="SimSun"/>
          <w:i/>
          <w:iCs/>
          <w:lang w:val="es-ES_tradnl" w:eastAsia="zh-CN"/>
        </w:rPr>
        <w:t xml:space="preserve"> y la solicitud del Artículo </w:t>
      </w:r>
      <w:r w:rsidRPr="00C06EA0">
        <w:rPr>
          <w:rFonts w:eastAsia="SimSun"/>
          <w:b/>
          <w:bCs/>
          <w:i/>
          <w:iCs/>
          <w:lang w:val="es-ES_tradnl" w:eastAsia="zh-CN"/>
        </w:rPr>
        <w:t>7</w:t>
      </w:r>
      <w:r w:rsidRPr="00C06EA0">
        <w:rPr>
          <w:rFonts w:eastAsia="SimSun"/>
          <w:i/>
          <w:iCs/>
          <w:lang w:val="es-ES_tradnl" w:eastAsia="zh-CN"/>
        </w:rPr>
        <w:t xml:space="preserve"> transferida al Artículo </w:t>
      </w:r>
      <w:r w:rsidRPr="00C06EA0">
        <w:rPr>
          <w:rFonts w:eastAsia="SimSun"/>
          <w:b/>
          <w:bCs/>
          <w:i/>
          <w:iCs/>
          <w:lang w:val="es-ES_tradnl" w:eastAsia="zh-CN"/>
        </w:rPr>
        <w:t>6</w:t>
      </w:r>
      <w:r w:rsidRPr="00C06EA0">
        <w:rPr>
          <w:rFonts w:eastAsia="SimSun"/>
          <w:i/>
          <w:iCs/>
          <w:lang w:val="es-ES_tradnl" w:eastAsia="zh-CN"/>
        </w:rPr>
        <w:t xml:space="preserve"> con arreglo al § 7.7 que ha sido examinada antes de la fecha de recepción de la notificación examinada presentada con arreglo al § 6.1</w:t>
      </w:r>
      <w:bookmarkEnd w:id="0"/>
      <w:proofErr w:type="gramStart"/>
      <w:r w:rsidRPr="006B420B">
        <w:rPr>
          <w:rFonts w:eastAsia="SimSun"/>
          <w:lang w:val="es-ES_tradnl" w:eastAsia="zh-CN"/>
        </w:rPr>
        <w:t>».</w:t>
      </w:r>
      <w:r w:rsidRPr="006B420B">
        <w:rPr>
          <w:rFonts w:eastAsia="SimSun"/>
          <w:lang w:val="es-ES" w:eastAsia="zh-CN"/>
        </w:rPr>
        <w:t>*</w:t>
      </w:r>
      <w:proofErr w:type="gramEnd"/>
    </w:p>
    <w:p w14:paraId="359BA9F3" w14:textId="77777777" w:rsidR="006B420B" w:rsidRPr="006B420B" w:rsidRDefault="006B420B" w:rsidP="004808B6">
      <w:pPr>
        <w:spacing w:before="120"/>
        <w:rPr>
          <w:rFonts w:eastAsia="SimSun"/>
          <w:lang w:val="es-ES" w:eastAsia="zh-CN"/>
        </w:rPr>
      </w:pPr>
      <w:r w:rsidRPr="006B420B">
        <w:rPr>
          <w:rFonts w:eastAsia="SimSun"/>
          <w:i/>
          <w:iCs/>
          <w:lang w:val="es-ES" w:eastAsia="zh-CN"/>
        </w:rPr>
        <w:t xml:space="preserve">* Nota de la Secretaría: </w:t>
      </w:r>
      <w:r w:rsidRPr="006B420B">
        <w:rPr>
          <w:rFonts w:eastAsia="SimSun"/>
          <w:lang w:val="es-ES" w:eastAsia="zh-CN"/>
        </w:rPr>
        <w:t xml:space="preserve">El número definitivo de la Resolución </w:t>
      </w:r>
      <w:r w:rsidRPr="006B420B">
        <w:rPr>
          <w:rFonts w:eastAsia="SimSun"/>
          <w:b/>
          <w:bCs/>
          <w:lang w:val="es-ES" w:eastAsia="zh-CN"/>
        </w:rPr>
        <w:t>[A7(E)-AP30B] WRC-19 (CMR</w:t>
      </w:r>
      <w:r w:rsidRPr="006B420B">
        <w:rPr>
          <w:rFonts w:eastAsia="SimSun"/>
          <w:b/>
          <w:bCs/>
          <w:lang w:val="es-ES" w:eastAsia="zh-CN"/>
        </w:rPr>
        <w:noBreakHyphen/>
        <w:t>19)]</w:t>
      </w:r>
      <w:r w:rsidRPr="006B420B">
        <w:rPr>
          <w:rFonts w:eastAsia="SimSun"/>
          <w:lang w:val="es-ES" w:eastAsia="zh-CN"/>
        </w:rPr>
        <w:t xml:space="preserve"> es Resolución </w:t>
      </w:r>
      <w:r w:rsidRPr="006B420B">
        <w:rPr>
          <w:rFonts w:eastAsia="SimSun"/>
          <w:b/>
          <w:bCs/>
          <w:lang w:val="es-ES" w:eastAsia="zh-CN"/>
        </w:rPr>
        <w:t>170 (CMR-19)</w:t>
      </w:r>
      <w:r w:rsidRPr="006B420B">
        <w:rPr>
          <w:rFonts w:eastAsia="SimSun"/>
          <w:lang w:val="es-ES" w:eastAsia="zh-CN"/>
        </w:rPr>
        <w:t xml:space="preserve">. Además, los números definitivos de las notas X1, X2 e YY del Apéndice </w:t>
      </w:r>
      <w:r w:rsidRPr="006B420B">
        <w:rPr>
          <w:rFonts w:eastAsia="SimSun"/>
          <w:b/>
          <w:bCs/>
          <w:lang w:val="es-ES" w:eastAsia="zh-CN"/>
        </w:rPr>
        <w:t>30B</w:t>
      </w:r>
      <w:r w:rsidRPr="006B420B">
        <w:rPr>
          <w:rFonts w:eastAsia="SimSun"/>
          <w:lang w:val="es-ES" w:eastAsia="zh-CN"/>
        </w:rPr>
        <w:t xml:space="preserve"> son 17</w:t>
      </w:r>
      <w:r w:rsidRPr="006B420B">
        <w:rPr>
          <w:rFonts w:eastAsia="SimSun"/>
          <w:vertAlign w:val="superscript"/>
          <w:lang w:val="es-ES" w:eastAsia="zh-CN"/>
        </w:rPr>
        <w:t>bis</w:t>
      </w:r>
      <w:r w:rsidRPr="006B420B">
        <w:rPr>
          <w:rFonts w:eastAsia="SimSun"/>
          <w:lang w:val="es-ES" w:eastAsia="zh-CN"/>
        </w:rPr>
        <w:t>, 20</w:t>
      </w:r>
      <w:r w:rsidRPr="006B420B">
        <w:rPr>
          <w:rFonts w:eastAsia="SimSun"/>
          <w:vertAlign w:val="superscript"/>
          <w:lang w:val="es-ES" w:eastAsia="zh-CN"/>
        </w:rPr>
        <w:t>bis</w:t>
      </w:r>
      <w:r w:rsidRPr="006B420B">
        <w:rPr>
          <w:rFonts w:eastAsia="SimSun"/>
          <w:lang w:val="es-ES" w:eastAsia="zh-CN"/>
        </w:rPr>
        <w:t xml:space="preserve"> y 7</w:t>
      </w:r>
      <w:r w:rsidRPr="006B420B">
        <w:rPr>
          <w:rFonts w:eastAsia="SimSun"/>
          <w:vertAlign w:val="superscript"/>
          <w:lang w:val="es-ES" w:eastAsia="zh-CN"/>
        </w:rPr>
        <w:t>bis</w:t>
      </w:r>
      <w:r w:rsidRPr="006B420B">
        <w:rPr>
          <w:rFonts w:eastAsia="SimSun"/>
          <w:lang w:val="es-ES" w:eastAsia="zh-CN"/>
        </w:rPr>
        <w:t xml:space="preserve"> respectivamente. Por último, por «notificaciones en virtud del tema E» se entienden las notificaciones en virtud del procedimiento especial descrito en el Adjunto 1 de la Resolución </w:t>
      </w:r>
      <w:r w:rsidRPr="006B420B">
        <w:rPr>
          <w:rFonts w:eastAsia="SimSun"/>
          <w:b/>
          <w:bCs/>
          <w:lang w:val="es-ES" w:eastAsia="zh-CN"/>
        </w:rPr>
        <w:t>170 (CMR-19)</w:t>
      </w:r>
      <w:r w:rsidRPr="006B420B">
        <w:rPr>
          <w:rFonts w:eastAsia="SimSun"/>
          <w:lang w:val="es-ES" w:eastAsia="zh-CN"/>
        </w:rPr>
        <w:t>.</w:t>
      </w:r>
    </w:p>
    <w:p w14:paraId="7C3AE876" w14:textId="3A3D8C65" w:rsidR="006E37C2" w:rsidRDefault="006E37C2" w:rsidP="006947A3">
      <w:pPr>
        <w:rPr>
          <w:rFonts w:eastAsia="SimSun"/>
          <w:lang w:val="es-ES" w:eastAsia="zh-CN"/>
        </w:rPr>
      </w:pPr>
    </w:p>
    <w:p w14:paraId="663FBFF4" w14:textId="36B3D57F" w:rsidR="004808B6" w:rsidRDefault="004808B6" w:rsidP="006947A3">
      <w:pPr>
        <w:rPr>
          <w:rFonts w:eastAsia="SimSun"/>
          <w:lang w:val="es-ES" w:eastAsia="zh-CN"/>
        </w:rPr>
      </w:pPr>
    </w:p>
    <w:p w14:paraId="2C124B85" w14:textId="54E7F3C0" w:rsidR="004808B6" w:rsidRDefault="004808B6" w:rsidP="006947A3">
      <w:pPr>
        <w:rPr>
          <w:rFonts w:eastAsia="SimSun"/>
          <w:lang w:val="es-ES" w:eastAsia="zh-CN"/>
        </w:rPr>
      </w:pPr>
    </w:p>
    <w:p w14:paraId="617EDCB2" w14:textId="5AE59199" w:rsidR="004808B6" w:rsidRDefault="004808B6" w:rsidP="006947A3">
      <w:pPr>
        <w:rPr>
          <w:rFonts w:eastAsia="SimSun"/>
          <w:lang w:val="es-ES" w:eastAsia="zh-CN"/>
        </w:rPr>
      </w:pPr>
    </w:p>
    <w:p w14:paraId="340F7ADE" w14:textId="50E959C9" w:rsidR="004808B6" w:rsidRDefault="004808B6" w:rsidP="006947A3">
      <w:pPr>
        <w:rPr>
          <w:rFonts w:eastAsia="SimSun"/>
          <w:lang w:val="es-ES" w:eastAsia="zh-CN"/>
        </w:rPr>
      </w:pPr>
    </w:p>
    <w:p w14:paraId="23264445" w14:textId="0E15D327" w:rsidR="004808B6" w:rsidRDefault="004808B6" w:rsidP="006947A3">
      <w:pPr>
        <w:rPr>
          <w:rFonts w:eastAsia="SimSun"/>
          <w:lang w:val="es-ES" w:eastAsia="zh-CN"/>
        </w:rPr>
      </w:pPr>
    </w:p>
    <w:p w14:paraId="7652289A" w14:textId="48EC86F1" w:rsidR="004808B6" w:rsidRDefault="004808B6" w:rsidP="006947A3">
      <w:pPr>
        <w:rPr>
          <w:rFonts w:eastAsia="SimSun"/>
          <w:lang w:val="es-ES" w:eastAsia="zh-CN"/>
        </w:rPr>
      </w:pPr>
    </w:p>
    <w:p w14:paraId="3501B414" w14:textId="1D6625A8" w:rsidR="004808B6" w:rsidRDefault="004808B6" w:rsidP="006947A3">
      <w:pPr>
        <w:rPr>
          <w:rFonts w:eastAsia="SimSun"/>
          <w:lang w:val="es-ES" w:eastAsia="zh-CN"/>
        </w:rPr>
      </w:pPr>
    </w:p>
    <w:p w14:paraId="72BF4EF5" w14:textId="3044FE4C" w:rsidR="004808B6" w:rsidRDefault="004808B6" w:rsidP="006947A3">
      <w:pPr>
        <w:rPr>
          <w:rFonts w:eastAsia="SimSun"/>
          <w:lang w:val="es-ES" w:eastAsia="zh-CN"/>
        </w:rPr>
      </w:pPr>
    </w:p>
    <w:p w14:paraId="61DC75A9" w14:textId="619ABC3E" w:rsidR="004808B6" w:rsidRDefault="004808B6" w:rsidP="006947A3">
      <w:pPr>
        <w:rPr>
          <w:rFonts w:eastAsia="SimSun"/>
          <w:lang w:val="es-ES" w:eastAsia="zh-CN"/>
        </w:rPr>
      </w:pPr>
    </w:p>
    <w:p w14:paraId="08348D4A" w14:textId="631CFF89" w:rsidR="004808B6" w:rsidRDefault="004808B6" w:rsidP="006947A3">
      <w:pPr>
        <w:rPr>
          <w:rFonts w:eastAsia="SimSun"/>
          <w:lang w:val="es-ES" w:eastAsia="zh-CN"/>
        </w:rPr>
      </w:pPr>
    </w:p>
    <w:p w14:paraId="6A8418B0" w14:textId="77777777" w:rsidR="004808B6" w:rsidRPr="006B420B" w:rsidRDefault="004808B6" w:rsidP="006947A3">
      <w:pPr>
        <w:rPr>
          <w:rFonts w:eastAsia="SimSun"/>
          <w:lang w:val="es-ES" w:eastAsia="zh-CN"/>
        </w:rPr>
      </w:pPr>
    </w:p>
    <w:p w14:paraId="7983EA17" w14:textId="77777777" w:rsidR="008901CB" w:rsidRDefault="008901CB" w:rsidP="006947A3">
      <w:pPr>
        <w:rPr>
          <w:rFonts w:eastAsia="SimSun"/>
          <w:lang w:val="es-ES_tradnl" w:eastAsia="zh-CN"/>
        </w:rPr>
      </w:pPr>
    </w:p>
    <w:p w14:paraId="7AF4FDA9" w14:textId="77777777" w:rsidR="006E37C2" w:rsidRDefault="006E37C2" w:rsidP="006947A3">
      <w:pPr>
        <w:rPr>
          <w:rFonts w:eastAsia="SimSun"/>
          <w:lang w:val="es-ES_tradnl" w:eastAsia="zh-CN"/>
        </w:rPr>
      </w:pPr>
    </w:p>
    <w:p w14:paraId="23B433E8" w14:textId="77777777" w:rsidR="006E37C2" w:rsidRDefault="006E37C2" w:rsidP="006947A3">
      <w:pPr>
        <w:rPr>
          <w:rFonts w:eastAsia="SimSun"/>
          <w:lang w:val="es-ES_tradnl" w:eastAsia="zh-CN"/>
        </w:rPr>
      </w:pPr>
    </w:p>
    <w:p w14:paraId="02152711" w14:textId="77777777" w:rsidR="00C73395" w:rsidRDefault="00C73395" w:rsidP="006E37C2">
      <w:pPr>
        <w:rPr>
          <w:lang w:val="es-ES_tradnl"/>
        </w:rPr>
        <w:sectPr w:rsidR="00C73395" w:rsidSect="0098468E">
          <w:headerReference w:type="default" r:id="rId16"/>
          <w:footnotePr>
            <w:pos w:val="beneathText"/>
          </w:footnotePr>
          <w:pgSz w:w="11907" w:h="16840" w:code="9"/>
          <w:pgMar w:top="1701" w:right="851" w:bottom="1134" w:left="1985" w:header="720" w:footer="482" w:gutter="0"/>
          <w:cols w:space="720"/>
          <w:vAlign w:val="both"/>
        </w:sectPr>
      </w:pPr>
    </w:p>
    <w:p w14:paraId="2A56FA8F" w14:textId="0FFE6B94" w:rsidR="00AB0D24" w:rsidRPr="0061696D" w:rsidRDefault="00AB0D24" w:rsidP="006A389C">
      <w:pPr>
        <w:pStyle w:val="Heading8"/>
        <w:spacing w:before="0" w:line="240" w:lineRule="exact"/>
        <w:jc w:val="left"/>
        <w:rPr>
          <w:lang w:val="es-ES_tradnl"/>
        </w:rPr>
      </w:pPr>
      <w:r w:rsidRPr="0061696D">
        <w:rPr>
          <w:lang w:val="es-ES_tradnl"/>
        </w:rPr>
        <w:t>Anexo 4</w:t>
      </w:r>
    </w:p>
    <w:p w14:paraId="65D704F5" w14:textId="77777777" w:rsidR="00D13F8A" w:rsidRPr="0061696D" w:rsidRDefault="00D13F8A" w:rsidP="00811FF8">
      <w:pPr>
        <w:pStyle w:val="AnnexTitle"/>
        <w:spacing w:before="240"/>
        <w:rPr>
          <w:rFonts w:eastAsia="SimSun"/>
          <w:lang w:val="es-ES_tradnl" w:eastAsia="zh-CN"/>
        </w:rPr>
      </w:pPr>
      <w:r w:rsidRPr="0061696D">
        <w:rPr>
          <w:rFonts w:eastAsia="SimSun"/>
          <w:lang w:val="es-ES_tradnl" w:eastAsia="zh-CN"/>
        </w:rPr>
        <w:t>Criterios para determinar si se considera</w:t>
      </w:r>
      <w:r w:rsidRPr="0061696D">
        <w:rPr>
          <w:rFonts w:eastAsia="SimSun"/>
          <w:lang w:val="es-ES_tradnl" w:eastAsia="zh-CN"/>
        </w:rPr>
        <w:br/>
        <w:t>afectada una adjudicación o una asignación</w:t>
      </w:r>
    </w:p>
    <w:p w14:paraId="04E61003" w14:textId="0B50652A" w:rsidR="00A35712" w:rsidRPr="00066E8B" w:rsidRDefault="00A35712" w:rsidP="00811FF8">
      <w:pPr>
        <w:pStyle w:val="Heading8"/>
        <w:pBdr>
          <w:top w:val="double" w:sz="4" w:space="1" w:color="auto"/>
          <w:left w:val="double" w:sz="4" w:space="1" w:color="auto"/>
          <w:bottom w:val="double" w:sz="4" w:space="1" w:color="auto"/>
          <w:right w:val="double" w:sz="4" w:space="1" w:color="auto"/>
        </w:pBdr>
        <w:spacing w:before="120" w:line="240" w:lineRule="exact"/>
        <w:rPr>
          <w:sz w:val="16"/>
          <w:szCs w:val="16"/>
          <w:lang w:val="es-ES_tradnl"/>
        </w:rPr>
      </w:pPr>
      <w:r w:rsidRPr="00A35712">
        <w:rPr>
          <w:lang w:val="es-ES_tradnl"/>
        </w:rPr>
        <w:t>2.</w:t>
      </w:r>
      <w:r w:rsidR="003579AB">
        <w:rPr>
          <w:lang w:val="es-ES_tradnl"/>
        </w:rPr>
        <w:t>1</w:t>
      </w:r>
      <w:r w:rsidR="00066E8B" w:rsidRPr="002F4903">
        <w:rPr>
          <w:sz w:val="16"/>
          <w:szCs w:val="16"/>
          <w:lang w:val="es-ES_tradnl"/>
        </w:rPr>
        <w:tab/>
      </w:r>
      <w:r w:rsidR="00066E8B" w:rsidRPr="002F4903">
        <w:rPr>
          <w:sz w:val="16"/>
          <w:szCs w:val="16"/>
          <w:lang w:val="es-ES_tradnl"/>
        </w:rPr>
        <w:tab/>
      </w:r>
      <w:r w:rsidR="00066E8B" w:rsidRPr="002F4903">
        <w:rPr>
          <w:bCs/>
          <w:sz w:val="16"/>
          <w:szCs w:val="16"/>
          <w:lang w:val="es-ES_tradnl"/>
        </w:rPr>
        <w:t>(MOD RRB20/84)</w:t>
      </w:r>
    </w:p>
    <w:p w14:paraId="3BE83BB0" w14:textId="35816094" w:rsidR="003579AB" w:rsidRPr="002F4903" w:rsidRDefault="003579AB" w:rsidP="000C701A">
      <w:pPr>
        <w:spacing w:before="160" w:line="280" w:lineRule="exact"/>
        <w:rPr>
          <w:rFonts w:eastAsia="SimSun"/>
          <w:szCs w:val="22"/>
          <w:lang w:val="es-ES_tradnl" w:eastAsia="zh-CN"/>
        </w:rPr>
      </w:pPr>
      <w:r w:rsidRPr="002F4903">
        <w:rPr>
          <w:rFonts w:eastAsia="SimSun"/>
          <w:szCs w:val="22"/>
          <w:lang w:val="es-ES_tradnl" w:eastAsia="zh-CN"/>
        </w:rPr>
        <w:t>1</w:t>
      </w:r>
      <w:r w:rsidRPr="002F4903">
        <w:rPr>
          <w:rFonts w:eastAsia="SimSun"/>
          <w:szCs w:val="22"/>
          <w:lang w:val="es-ES_tradnl" w:eastAsia="zh-CN"/>
        </w:rPr>
        <w:tab/>
      </w:r>
      <w:proofErr w:type="gramStart"/>
      <w:r w:rsidRPr="002F4903">
        <w:rPr>
          <w:rFonts w:eastAsia="SimSun"/>
          <w:szCs w:val="22"/>
          <w:lang w:val="es-ES_tradnl" w:eastAsia="zh-CN"/>
        </w:rPr>
        <w:t>Para</w:t>
      </w:r>
      <w:proofErr w:type="gramEnd"/>
      <w:r w:rsidRPr="002F4903">
        <w:rPr>
          <w:rFonts w:eastAsia="SimSun"/>
          <w:szCs w:val="22"/>
          <w:lang w:val="es-ES_tradnl" w:eastAsia="zh-CN"/>
        </w:rPr>
        <w:t xml:space="preserve"> proteger adecuadamente las redes existentes en toda su zona de servicio</w:t>
      </w:r>
      <w:r w:rsidRPr="002F4903">
        <w:rPr>
          <w:szCs w:val="22"/>
          <w:lang w:val="es-ES_tradnl"/>
        </w:rPr>
        <w:t xml:space="preserve"> </w:t>
      </w:r>
      <w:r w:rsidRPr="002F4903">
        <w:rPr>
          <w:rFonts w:eastAsia="SimSun"/>
          <w:szCs w:val="22"/>
          <w:lang w:val="es-ES_tradnl" w:eastAsia="zh-CN"/>
        </w:rPr>
        <w:t>de enlace descendente, se introdujo un examen</w:t>
      </w:r>
      <w:r w:rsidRPr="002F4903">
        <w:rPr>
          <w:szCs w:val="22"/>
          <w:lang w:val="es-ES_tradnl"/>
        </w:rPr>
        <w:t xml:space="preserve"> </w:t>
      </w:r>
      <w:r w:rsidRPr="002F4903">
        <w:rPr>
          <w:rFonts w:eastAsia="SimSun"/>
          <w:szCs w:val="22"/>
          <w:lang w:val="es-ES_tradnl" w:eastAsia="zh-CN"/>
        </w:rPr>
        <w:t xml:space="preserve">basado en un criterio de </w:t>
      </w:r>
      <w:r w:rsidRPr="002F4903">
        <w:rPr>
          <w:color w:val="000000"/>
          <w:lang w:val="es-ES_tradnl"/>
        </w:rPr>
        <w:t>interferencia</w:t>
      </w:r>
      <w:r w:rsidRPr="002F4903">
        <w:rPr>
          <w:szCs w:val="22"/>
          <w:lang w:val="es-ES_tradnl"/>
        </w:rPr>
        <w:t xml:space="preserve"> </w:t>
      </w:r>
      <w:r w:rsidRPr="002F4903">
        <w:rPr>
          <w:color w:val="000000"/>
          <w:lang w:val="es-ES_tradnl"/>
        </w:rPr>
        <w:t xml:space="preserve">de una sola fuente </w:t>
      </w:r>
      <w:r w:rsidRPr="002F4903">
        <w:rPr>
          <w:rFonts w:eastAsia="SimSun"/>
          <w:szCs w:val="22"/>
          <w:lang w:val="es-ES_tradnl" w:eastAsia="zh-CN"/>
        </w:rPr>
        <w:t>a lo largo de toda la zona de servicio del enlace descendente con arreglo al § 2.1 del Anexo 4 al Apéndice </w:t>
      </w:r>
      <w:r w:rsidRPr="002F4903">
        <w:rPr>
          <w:rFonts w:eastAsia="SimSun"/>
          <w:b/>
          <w:bCs/>
          <w:szCs w:val="22"/>
          <w:lang w:val="es-ES_tradnl" w:eastAsia="zh-CN"/>
        </w:rPr>
        <w:t>30B</w:t>
      </w:r>
      <w:r w:rsidRPr="002F4903">
        <w:rPr>
          <w:rFonts w:eastAsia="SimSun"/>
          <w:szCs w:val="22"/>
          <w:lang w:val="es-ES_tradnl" w:eastAsia="zh-CN"/>
        </w:rPr>
        <w:t xml:space="preserve">. </w:t>
      </w:r>
    </w:p>
    <w:p w14:paraId="5746900D" w14:textId="3F62EFFF" w:rsidR="003579AB" w:rsidRPr="002F4903" w:rsidRDefault="003579AB" w:rsidP="00DC46FB">
      <w:pPr>
        <w:spacing w:before="160" w:after="120"/>
        <w:rPr>
          <w:szCs w:val="22"/>
          <w:lang w:val="es-ES_tradnl"/>
        </w:rPr>
      </w:pPr>
      <w:r w:rsidRPr="002F4903">
        <w:rPr>
          <w:rFonts w:eastAsia="SimSun"/>
          <w:szCs w:val="24"/>
          <w:lang w:val="es-ES_tradnl" w:eastAsia="zh-CN"/>
        </w:rPr>
        <w:t>2</w:t>
      </w:r>
      <w:r w:rsidRPr="002F4903">
        <w:rPr>
          <w:rFonts w:eastAsia="SimSun"/>
          <w:szCs w:val="24"/>
          <w:lang w:val="es-ES_tradnl" w:eastAsia="zh-CN"/>
        </w:rPr>
        <w:tab/>
      </w:r>
      <w:proofErr w:type="gramStart"/>
      <w:r w:rsidRPr="002F4903">
        <w:rPr>
          <w:szCs w:val="22"/>
          <w:lang w:val="es-ES_tradnl"/>
        </w:rPr>
        <w:t>Como</w:t>
      </w:r>
      <w:proofErr w:type="gramEnd"/>
      <w:r w:rsidRPr="002F4903">
        <w:rPr>
          <w:szCs w:val="22"/>
          <w:lang w:val="es-ES_tradnl"/>
        </w:rPr>
        <w:t xml:space="preserve"> indica la nota 19 del § 2.1 del Anexo 4 al Apéndice </w:t>
      </w:r>
      <w:r w:rsidRPr="002F4903">
        <w:rPr>
          <w:b/>
          <w:bCs/>
          <w:szCs w:val="22"/>
          <w:lang w:val="es-ES_tradnl"/>
        </w:rPr>
        <w:t>30B (Rev.CMR-19)</w:t>
      </w:r>
      <w:r w:rsidRPr="002F4903">
        <w:rPr>
          <w:szCs w:val="22"/>
          <w:lang w:val="es-ES_tradnl"/>
        </w:rPr>
        <w:t>, los valores de referencia en la zona de servicio del enlace descendente se interpolan a partir de los valores de referencia en los puntos de prueba correspondientes. Para calcular los valores interpolados en los puntos de la retícula</w:t>
      </w:r>
      <w:r w:rsidRPr="002F4903">
        <w:rPr>
          <w:position w:val="6"/>
          <w:sz w:val="18"/>
          <w:szCs w:val="22"/>
          <w:lang w:val="es-ES_tradnl"/>
        </w:rPr>
        <w:footnoteReference w:customMarkFollows="1" w:id="4"/>
        <w:t>4</w:t>
      </w:r>
      <w:r w:rsidRPr="002F4903">
        <w:rPr>
          <w:szCs w:val="22"/>
          <w:lang w:val="es-ES_tradnl"/>
        </w:rPr>
        <w:t xml:space="preserve"> dentro de la zona de servicio del enlace descendente se utilizará la siguiente fórmula y condición de interpolación:</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8"/>
        <w:gridCol w:w="7911"/>
        <w:gridCol w:w="688"/>
      </w:tblGrid>
      <w:tr w:rsidR="006D6A1C" w14:paraId="5184D85A" w14:textId="77777777" w:rsidTr="00224106">
        <w:tc>
          <w:tcPr>
            <w:tcW w:w="688" w:type="dxa"/>
            <w:vAlign w:val="center"/>
          </w:tcPr>
          <w:p w14:paraId="2BE6C208" w14:textId="77777777" w:rsidR="006D6A1C" w:rsidRPr="006D6A1C" w:rsidRDefault="006D6A1C" w:rsidP="002F4903">
            <w:pPr>
              <w:tabs>
                <w:tab w:val="left" w:pos="0"/>
                <w:tab w:val="left" w:pos="709"/>
              </w:tabs>
              <w:spacing w:before="0"/>
              <w:rPr>
                <w:rFonts w:eastAsia="SimSun"/>
                <w:color w:val="000000"/>
                <w:szCs w:val="24"/>
                <w:lang w:val="es-ES_tradnl"/>
              </w:rPr>
            </w:pPr>
          </w:p>
        </w:tc>
        <w:tc>
          <w:tcPr>
            <w:tcW w:w="7911" w:type="dxa"/>
            <w:vAlign w:val="center"/>
          </w:tcPr>
          <w:p w14:paraId="4EAE8505" w14:textId="77777777" w:rsidR="006D6A1C" w:rsidRDefault="006D6A1C" w:rsidP="002F4903">
            <w:pPr>
              <w:tabs>
                <w:tab w:val="left" w:pos="0"/>
                <w:tab w:val="left" w:pos="709"/>
              </w:tabs>
              <w:spacing w:before="0"/>
              <w:jc w:val="center"/>
              <w:rPr>
                <w:rFonts w:eastAsia="SimSun"/>
                <w:color w:val="000000"/>
                <w:szCs w:val="24"/>
              </w:rPr>
            </w:pPr>
            <w:r w:rsidRPr="00326947">
              <w:rPr>
                <w:rFonts w:eastAsia="SimSun"/>
              </w:rPr>
              <w:object w:dxaOrig="1600" w:dyaOrig="960" w14:anchorId="70C6F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45pt;height:60.35pt" o:ole="">
                  <v:imagedata r:id="rId17" o:title=""/>
                </v:shape>
                <o:OLEObject Type="Embed" ProgID="Equation.3" ShapeID="_x0000_i1025" DrawAspect="Content" ObjectID="_1667303835" r:id="rId18"/>
              </w:object>
            </w:r>
          </w:p>
        </w:tc>
        <w:tc>
          <w:tcPr>
            <w:tcW w:w="688" w:type="dxa"/>
            <w:vAlign w:val="center"/>
          </w:tcPr>
          <w:p w14:paraId="18320209" w14:textId="77777777" w:rsidR="006D6A1C" w:rsidRDefault="006D6A1C" w:rsidP="002F4903">
            <w:pPr>
              <w:tabs>
                <w:tab w:val="left" w:pos="0"/>
                <w:tab w:val="left" w:pos="709"/>
              </w:tabs>
              <w:spacing w:before="0"/>
              <w:jc w:val="right"/>
              <w:rPr>
                <w:rFonts w:eastAsia="SimSun"/>
                <w:color w:val="000000"/>
                <w:szCs w:val="24"/>
              </w:rPr>
            </w:pPr>
            <w:r w:rsidRPr="00326947">
              <w:rPr>
                <w:rFonts w:eastAsia="SimSun"/>
              </w:rPr>
              <w:t>(1)</w:t>
            </w:r>
          </w:p>
        </w:tc>
      </w:tr>
    </w:tbl>
    <w:p w14:paraId="706CE0AA" w14:textId="77777777" w:rsidR="00A35712" w:rsidRPr="00A35712" w:rsidRDefault="00A35712" w:rsidP="00A0135B">
      <w:pPr>
        <w:spacing w:line="240" w:lineRule="exact"/>
        <w:rPr>
          <w:lang w:val="es-ES_tradnl"/>
        </w:rPr>
      </w:pPr>
      <w:r w:rsidRPr="00A35712">
        <w:rPr>
          <w:lang w:val="es-ES_tradnl"/>
        </w:rPr>
        <w:t>siendo:</w:t>
      </w:r>
    </w:p>
    <w:p w14:paraId="1BF3D026" w14:textId="77777777" w:rsidR="00A35712" w:rsidRPr="00A35712" w:rsidRDefault="00A35712" w:rsidP="00811FF8">
      <w:pPr>
        <w:spacing w:before="0" w:line="240" w:lineRule="exact"/>
        <w:ind w:left="2268" w:hanging="510"/>
        <w:rPr>
          <w:lang w:val="es-ES_tradnl"/>
        </w:rPr>
      </w:pPr>
      <w:r w:rsidRPr="00A35712">
        <w:rPr>
          <w:rFonts w:eastAsia="SimSun"/>
          <w:i/>
          <w:iCs/>
          <w:lang w:val="es-ES_tradnl"/>
        </w:rPr>
        <w:t>Th</w:t>
      </w:r>
      <w:r w:rsidRPr="00A35712">
        <w:rPr>
          <w:rFonts w:eastAsia="SimSun"/>
          <w:lang w:val="es-ES_tradnl"/>
        </w:rPr>
        <w:t>:</w:t>
      </w:r>
      <w:r w:rsidRPr="00A35712">
        <w:rPr>
          <w:rFonts w:eastAsia="SimSun"/>
          <w:lang w:val="es-ES_tradnl"/>
        </w:rPr>
        <w:tab/>
      </w:r>
      <w:r w:rsidRPr="00A35712">
        <w:rPr>
          <w:lang w:val="es-ES_tradnl"/>
        </w:rPr>
        <w:t>el número del punto de prueba h de la zona de servicio del enlace descendente deseado;</w:t>
      </w:r>
    </w:p>
    <w:p w14:paraId="7384F4FA" w14:textId="77777777" w:rsidR="00A35712" w:rsidRPr="00A35712" w:rsidRDefault="00A35712" w:rsidP="00B255C3">
      <w:pPr>
        <w:spacing w:line="240" w:lineRule="exact"/>
        <w:ind w:left="2268" w:hanging="511"/>
        <w:rPr>
          <w:lang w:val="es-ES_tradnl"/>
        </w:rPr>
      </w:pPr>
      <w:r w:rsidRPr="00A35712">
        <w:rPr>
          <w:rFonts w:eastAsia="SimSun"/>
          <w:i/>
          <w:iCs/>
          <w:lang w:val="es-ES_tradnl"/>
        </w:rPr>
        <w:t>Eg</w:t>
      </w:r>
      <w:r w:rsidRPr="00A35712">
        <w:rPr>
          <w:rFonts w:eastAsia="SimSun"/>
          <w:lang w:val="es-ES_tradnl"/>
        </w:rPr>
        <w:t>:</w:t>
      </w:r>
      <w:r w:rsidRPr="00A35712">
        <w:rPr>
          <w:rFonts w:eastAsia="SimSun"/>
          <w:lang w:val="es-ES_tradnl"/>
        </w:rPr>
        <w:tab/>
      </w:r>
      <w:r w:rsidRPr="00A35712">
        <w:rPr>
          <w:lang w:val="es-ES_tradnl"/>
        </w:rPr>
        <w:t>el número del punto g de la retícula de los puntos de prueba en la zona de servicio del enlace descendente deseado;</w:t>
      </w:r>
    </w:p>
    <w:p w14:paraId="4EB71D58" w14:textId="77777777" w:rsidR="00A35712" w:rsidRPr="00A35712" w:rsidRDefault="00A35712" w:rsidP="00B255C3">
      <w:pPr>
        <w:spacing w:line="240" w:lineRule="exact"/>
        <w:ind w:left="2268" w:hanging="511"/>
        <w:rPr>
          <w:lang w:val="es-ES_tradnl"/>
        </w:rPr>
      </w:pPr>
      <w:r w:rsidRPr="00A35712">
        <w:rPr>
          <w:rFonts w:eastAsia="SimSun"/>
          <w:i/>
          <w:iCs/>
          <w:lang w:val="es-ES_tradnl"/>
        </w:rPr>
        <w:t>Nt</w:t>
      </w:r>
      <w:r w:rsidRPr="00A35712">
        <w:rPr>
          <w:rFonts w:eastAsia="SimSun"/>
          <w:lang w:val="es-ES_tradnl"/>
        </w:rPr>
        <w:t>:</w:t>
      </w:r>
      <w:r w:rsidRPr="00A35712">
        <w:rPr>
          <w:rFonts w:eastAsia="SimSun"/>
          <w:lang w:val="es-ES_tradnl"/>
        </w:rPr>
        <w:tab/>
      </w:r>
      <w:r w:rsidRPr="00A35712">
        <w:rPr>
          <w:lang w:val="es-ES_tradnl"/>
        </w:rPr>
        <w:t>el número total de puntos de prueba;</w:t>
      </w:r>
    </w:p>
    <w:p w14:paraId="61EDA2FE" w14:textId="77777777" w:rsidR="00A35712" w:rsidRPr="00A35712" w:rsidRDefault="00A35712" w:rsidP="00B255C3">
      <w:pPr>
        <w:spacing w:line="240" w:lineRule="exact"/>
        <w:ind w:left="2268" w:hanging="511"/>
        <w:rPr>
          <w:lang w:val="es-ES_tradnl"/>
        </w:rPr>
      </w:pPr>
      <w:r w:rsidRPr="00A35712">
        <w:rPr>
          <w:rFonts w:eastAsia="SimSun"/>
          <w:i/>
          <w:iCs/>
          <w:lang w:val="es-ES_tradnl"/>
        </w:rPr>
        <w:t>d</w:t>
      </w:r>
      <w:r w:rsidRPr="00A35712">
        <w:rPr>
          <w:rFonts w:eastAsia="SimSun"/>
          <w:i/>
          <w:iCs/>
          <w:vertAlign w:val="subscript"/>
          <w:lang w:val="es-ES_tradnl"/>
        </w:rPr>
        <w:t>Th</w:t>
      </w:r>
      <w:r w:rsidRPr="00A35712">
        <w:rPr>
          <w:rFonts w:eastAsia="SimSun"/>
          <w:lang w:val="es-ES_tradnl"/>
        </w:rPr>
        <w:t>:</w:t>
      </w:r>
      <w:r w:rsidRPr="00A35712">
        <w:rPr>
          <w:rFonts w:eastAsia="SimSun"/>
          <w:lang w:val="es-ES_tradnl"/>
        </w:rPr>
        <w:tab/>
      </w:r>
      <w:r w:rsidRPr="00A35712">
        <w:rPr>
          <w:lang w:val="es-ES_tradnl"/>
        </w:rPr>
        <w:t xml:space="preserve">la distancia entre el punto de prueba </w:t>
      </w:r>
      <w:r w:rsidRPr="00A35712">
        <w:rPr>
          <w:i/>
          <w:iCs/>
          <w:lang w:val="es-ES_tradnl"/>
        </w:rPr>
        <w:t>Th</w:t>
      </w:r>
      <w:r w:rsidRPr="00A35712">
        <w:rPr>
          <w:lang w:val="es-ES_tradnl"/>
        </w:rPr>
        <w:t xml:space="preserve"> y el punto de la retícula </w:t>
      </w:r>
      <w:r w:rsidRPr="00A35712">
        <w:rPr>
          <w:i/>
          <w:iCs/>
          <w:lang w:val="es-ES_tradnl"/>
        </w:rPr>
        <w:t>Eg</w:t>
      </w:r>
      <w:r w:rsidRPr="00A35712">
        <w:rPr>
          <w:lang w:val="es-ES_tradnl"/>
        </w:rPr>
        <w:t>;</w:t>
      </w:r>
    </w:p>
    <w:p w14:paraId="7492C4EF" w14:textId="30CFE8ED" w:rsidR="00A35712" w:rsidRPr="00A35712" w:rsidRDefault="00A35712" w:rsidP="00B255C3">
      <w:pPr>
        <w:spacing w:line="240" w:lineRule="exact"/>
        <w:ind w:left="2268" w:hanging="511"/>
        <w:rPr>
          <w:lang w:val="es-ES_tradnl"/>
        </w:rPr>
      </w:pPr>
      <w:r w:rsidRPr="00A35712">
        <w:rPr>
          <w:rFonts w:eastAsia="SimSun"/>
          <w:i/>
          <w:iCs/>
          <w:lang w:val="es-ES_tradnl"/>
        </w:rPr>
        <w:t>R</w:t>
      </w:r>
      <w:r w:rsidRPr="00A35712">
        <w:rPr>
          <w:rFonts w:eastAsia="SimSun"/>
          <w:i/>
          <w:iCs/>
          <w:vertAlign w:val="subscript"/>
          <w:lang w:val="es-ES_tradnl"/>
        </w:rPr>
        <w:t>Th</w:t>
      </w:r>
      <w:r w:rsidRPr="00A35712">
        <w:rPr>
          <w:rFonts w:eastAsia="SimSun"/>
          <w:lang w:val="es-ES_tradnl"/>
        </w:rPr>
        <w:t>:</w:t>
      </w:r>
      <w:r w:rsidRPr="00A35712">
        <w:rPr>
          <w:lang w:val="es-ES_tradnl"/>
        </w:rPr>
        <w:tab/>
        <w:t xml:space="preserve">el valor de referencia de </w:t>
      </w:r>
      <w:r w:rsidRPr="00A35712">
        <w:rPr>
          <w:i/>
          <w:iCs/>
          <w:lang w:val="es-ES_tradnl"/>
        </w:rPr>
        <w:t>C/I</w:t>
      </w:r>
      <w:r w:rsidRPr="00A35712">
        <w:rPr>
          <w:lang w:val="es-ES_tradnl"/>
        </w:rPr>
        <w:t xml:space="preserve"> procedente de una sola fuente en el punto de prueba </w:t>
      </w:r>
      <w:r w:rsidRPr="00A35712">
        <w:rPr>
          <w:i/>
          <w:iCs/>
          <w:lang w:val="es-ES_tradnl"/>
        </w:rPr>
        <w:t>Th</w:t>
      </w:r>
      <w:r w:rsidR="003579AB" w:rsidRPr="003579AB">
        <w:rPr>
          <w:i/>
          <w:iCs/>
          <w:lang w:val="es-ES_tradnl"/>
        </w:rPr>
        <w:t xml:space="preserve"> </w:t>
      </w:r>
      <w:r w:rsidR="003579AB" w:rsidRPr="003579AB">
        <w:rPr>
          <w:lang w:val="es-ES_tradnl"/>
        </w:rPr>
        <w:t>(es decir, 26,65 dB, o (</w:t>
      </w:r>
      <w:r w:rsidR="003579AB" w:rsidRPr="003579AB">
        <w:rPr>
          <w:i/>
          <w:iCs/>
          <w:lang w:val="es-ES_tradnl"/>
        </w:rPr>
        <w:t>C</w:t>
      </w:r>
      <w:r w:rsidR="003579AB" w:rsidRPr="003579AB">
        <w:rPr>
          <w:lang w:val="es-ES_tradnl"/>
        </w:rPr>
        <w:t>/</w:t>
      </w:r>
      <w:proofErr w:type="gramStart"/>
      <w:r w:rsidR="003579AB" w:rsidRPr="003579AB">
        <w:rPr>
          <w:i/>
          <w:iCs/>
          <w:lang w:val="es-ES_tradnl"/>
        </w:rPr>
        <w:t>N</w:t>
      </w:r>
      <w:r w:rsidR="003579AB" w:rsidRPr="003579AB">
        <w:rPr>
          <w:lang w:val="es-ES_tradnl"/>
        </w:rPr>
        <w:t>)</w:t>
      </w:r>
      <w:r w:rsidR="003579AB" w:rsidRPr="00C73395">
        <w:rPr>
          <w:i/>
          <w:iCs/>
          <w:vertAlign w:val="subscript"/>
          <w:lang w:val="es-ES_tradnl"/>
        </w:rPr>
        <w:t>d</w:t>
      </w:r>
      <w:proofErr w:type="gramEnd"/>
      <w:r w:rsidR="003579AB" w:rsidRPr="003579AB">
        <w:rPr>
          <w:lang w:val="es-ES_tradnl"/>
        </w:rPr>
        <w:t xml:space="preserve"> + 11,65 dB, tomando entre ambos el valor inferior)</w:t>
      </w:r>
      <w:r w:rsidRPr="003579AB">
        <w:rPr>
          <w:lang w:val="es-ES_tradnl"/>
        </w:rPr>
        <w:t>;</w:t>
      </w:r>
    </w:p>
    <w:p w14:paraId="3D99FCC9" w14:textId="77777777" w:rsidR="00A35712" w:rsidRPr="00A35712" w:rsidRDefault="00A35712" w:rsidP="00B255C3">
      <w:pPr>
        <w:spacing w:line="240" w:lineRule="exact"/>
        <w:ind w:left="2268" w:hanging="511"/>
        <w:rPr>
          <w:lang w:val="es-ES_tradnl"/>
        </w:rPr>
      </w:pPr>
      <w:r w:rsidRPr="00A35712">
        <w:rPr>
          <w:rFonts w:eastAsia="SimSun"/>
          <w:i/>
          <w:iCs/>
          <w:lang w:val="es-ES_tradnl"/>
        </w:rPr>
        <w:t>V</w:t>
      </w:r>
      <w:r w:rsidRPr="00A35712">
        <w:rPr>
          <w:rFonts w:eastAsia="SimSun"/>
          <w:i/>
          <w:iCs/>
          <w:vertAlign w:val="subscript"/>
          <w:lang w:val="es-ES_tradnl"/>
        </w:rPr>
        <w:t>Eg</w:t>
      </w:r>
      <w:r w:rsidRPr="00A35712">
        <w:rPr>
          <w:rFonts w:eastAsia="SimSun"/>
          <w:lang w:val="es-ES_tradnl"/>
        </w:rPr>
        <w:t>:</w:t>
      </w:r>
      <w:r w:rsidRPr="00A35712">
        <w:rPr>
          <w:lang w:val="es-ES_tradnl"/>
        </w:rPr>
        <w:tab/>
        <w:t xml:space="preserve">el valor de referencia </w:t>
      </w:r>
      <w:r w:rsidRPr="00A35712">
        <w:rPr>
          <w:i/>
          <w:iCs/>
          <w:lang w:val="es-ES_tradnl"/>
        </w:rPr>
        <w:t>C/I</w:t>
      </w:r>
      <w:r w:rsidRPr="00A35712">
        <w:rPr>
          <w:lang w:val="es-ES_tradnl"/>
        </w:rPr>
        <w:t xml:space="preserve"> (dB) procedente de una sola fuente interpolado en el punto de la retícula </w:t>
      </w:r>
      <w:r w:rsidRPr="00A35712">
        <w:rPr>
          <w:i/>
          <w:iCs/>
          <w:lang w:val="es-ES_tradnl"/>
        </w:rPr>
        <w:t>Eg</w:t>
      </w:r>
      <w:r w:rsidRPr="00A35712">
        <w:rPr>
          <w:lang w:val="es-ES_tradnl"/>
        </w:rPr>
        <w:t>.</w:t>
      </w:r>
    </w:p>
    <w:p w14:paraId="57837D84" w14:textId="13D59F16" w:rsidR="00A35712" w:rsidRPr="00A35712" w:rsidRDefault="00A35712" w:rsidP="00A0135B">
      <w:pPr>
        <w:tabs>
          <w:tab w:val="left" w:pos="0"/>
        </w:tabs>
        <w:rPr>
          <w:lang w:val="es-ES_tradnl"/>
        </w:rPr>
      </w:pPr>
      <w:r w:rsidRPr="00A35712">
        <w:rPr>
          <w:lang w:val="es-ES_tradnl"/>
        </w:rPr>
        <w:t xml:space="preserve">Si el valor </w:t>
      </w:r>
      <w:r w:rsidRPr="00A35712">
        <w:rPr>
          <w:rFonts w:eastAsia="SimSun"/>
          <w:i/>
          <w:iCs/>
          <w:lang w:val="es-ES_tradnl"/>
        </w:rPr>
        <w:t>(R</w:t>
      </w:r>
      <w:r w:rsidRPr="00A35712">
        <w:rPr>
          <w:rFonts w:eastAsia="SimSun"/>
          <w:i/>
          <w:iCs/>
          <w:vertAlign w:val="subscript"/>
          <w:lang w:val="es-ES_tradnl"/>
        </w:rPr>
        <w:t>Th</w:t>
      </w:r>
      <w:r w:rsidRPr="00A35712">
        <w:rPr>
          <w:rFonts w:eastAsia="SimSun"/>
          <w:i/>
          <w:iCs/>
          <w:lang w:val="es-ES_tradnl"/>
        </w:rPr>
        <w:t xml:space="preserve"> –((C</w:t>
      </w:r>
      <w:r w:rsidRPr="00A35712">
        <w:rPr>
          <w:rFonts w:eastAsia="SimSun"/>
          <w:lang w:val="es-ES_tradnl"/>
        </w:rPr>
        <w:t>/</w:t>
      </w:r>
      <w:proofErr w:type="gramStart"/>
      <w:r w:rsidRPr="00A35712">
        <w:rPr>
          <w:rFonts w:eastAsia="SimSun"/>
          <w:i/>
          <w:iCs/>
          <w:lang w:val="es-ES_tradnl"/>
        </w:rPr>
        <w:t>N)</w:t>
      </w:r>
      <w:r w:rsidRPr="00A35712">
        <w:rPr>
          <w:rFonts w:eastAsia="SimSun"/>
          <w:i/>
          <w:iCs/>
          <w:vertAlign w:val="subscript"/>
          <w:lang w:val="es-ES_tradnl"/>
        </w:rPr>
        <w:t>d</w:t>
      </w:r>
      <w:proofErr w:type="gramEnd"/>
      <w:r w:rsidRPr="00A35712">
        <w:rPr>
          <w:rFonts w:eastAsia="SimSun"/>
          <w:i/>
          <w:iCs/>
          <w:vertAlign w:val="subscript"/>
          <w:lang w:val="es-ES_tradnl"/>
        </w:rPr>
        <w:t>,Th</w:t>
      </w:r>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d,</w:t>
      </w:r>
      <w:r w:rsidRPr="00A35712">
        <w:rPr>
          <w:rFonts w:eastAsia="SimSun"/>
          <w:i/>
          <w:iCs/>
          <w:vertAlign w:val="subscript"/>
          <w:lang w:val="es-ES_tradnl" w:eastAsia="zh-CN"/>
        </w:rPr>
        <w:t>E</w:t>
      </w:r>
      <w:r w:rsidRPr="00A35712">
        <w:rPr>
          <w:rFonts w:eastAsia="SimSun"/>
          <w:i/>
          <w:iCs/>
          <w:vertAlign w:val="subscript"/>
          <w:lang w:val="es-ES_tradnl"/>
        </w:rPr>
        <w:t>g</w:t>
      </w:r>
      <w:r w:rsidRPr="00A35712">
        <w:rPr>
          <w:rFonts w:eastAsia="SimSun"/>
          <w:i/>
          <w:iCs/>
          <w:lang w:val="es-ES_tradnl"/>
        </w:rPr>
        <w:t>))</w:t>
      </w:r>
      <w:r w:rsidRPr="00A35712">
        <w:rPr>
          <w:lang w:val="es-ES_tradnl"/>
        </w:rPr>
        <w:t xml:space="preserve"> es inferior a </w:t>
      </w:r>
      <w:r w:rsidRPr="00A35712">
        <w:rPr>
          <w:i/>
          <w:iCs/>
          <w:lang w:val="es-ES_tradnl"/>
        </w:rPr>
        <w:t>R</w:t>
      </w:r>
      <w:r w:rsidRPr="00A35712">
        <w:rPr>
          <w:rFonts w:eastAsia="SimSun"/>
          <w:i/>
          <w:iCs/>
          <w:vertAlign w:val="subscript"/>
          <w:lang w:val="es-ES_tradnl"/>
        </w:rPr>
        <w:t>Th</w:t>
      </w:r>
      <w:r w:rsidRPr="00A35712">
        <w:rPr>
          <w:lang w:val="es-ES_tradnl"/>
        </w:rPr>
        <w:t xml:space="preserve"> </w:t>
      </w:r>
      <w:r w:rsidRPr="00A35712">
        <w:rPr>
          <w:rFonts w:eastAsia="SimSun"/>
          <w:i/>
          <w:iCs/>
          <w:lang w:val="es-ES_tradnl"/>
        </w:rPr>
        <w:t>(R</w:t>
      </w:r>
      <w:r w:rsidRPr="00A35712">
        <w:rPr>
          <w:rFonts w:eastAsia="SimSun"/>
          <w:i/>
          <w:iCs/>
          <w:vertAlign w:val="subscript"/>
          <w:lang w:val="es-ES_tradnl"/>
        </w:rPr>
        <w:t>Th</w:t>
      </w:r>
      <w:r w:rsidRPr="00A35712">
        <w:rPr>
          <w:rFonts w:eastAsia="SimSun"/>
          <w:i/>
          <w:iCs/>
          <w:lang w:val="es-ES_tradnl"/>
        </w:rPr>
        <w:t xml:space="preserve">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d,Th</w:t>
      </w:r>
      <w:r w:rsidRPr="00A35712">
        <w:rPr>
          <w:rFonts w:eastAsia="SimSun"/>
          <w:i/>
          <w:iCs/>
          <w:lang w:val="es-ES_tradnl"/>
        </w:rPr>
        <w:t xml:space="preserve"> – (C</w:t>
      </w:r>
      <w:r w:rsidRPr="00A35712">
        <w:rPr>
          <w:rFonts w:eastAsia="SimSun"/>
          <w:lang w:val="es-ES_tradnl"/>
        </w:rPr>
        <w:t>/</w:t>
      </w:r>
      <w:r w:rsidRPr="00A35712">
        <w:rPr>
          <w:rFonts w:eastAsia="SimSun"/>
          <w:i/>
          <w:iCs/>
          <w:lang w:val="es-ES_tradnl"/>
        </w:rPr>
        <w:t>N)</w:t>
      </w:r>
      <w:r w:rsidRPr="00A35712">
        <w:rPr>
          <w:rFonts w:eastAsia="SimSun"/>
          <w:i/>
          <w:iCs/>
          <w:vertAlign w:val="subscript"/>
          <w:lang w:val="es-ES_tradnl"/>
        </w:rPr>
        <w:t xml:space="preserve"> d,</w:t>
      </w:r>
      <w:r w:rsidRPr="00A35712">
        <w:rPr>
          <w:rFonts w:eastAsia="SimSun"/>
          <w:i/>
          <w:iCs/>
          <w:vertAlign w:val="subscript"/>
          <w:lang w:val="es-ES_tradnl" w:eastAsia="zh-CN"/>
        </w:rPr>
        <w:t>E</w:t>
      </w:r>
      <w:r w:rsidRPr="00A35712">
        <w:rPr>
          <w:rFonts w:eastAsia="SimSun"/>
          <w:i/>
          <w:iCs/>
          <w:vertAlign w:val="subscript"/>
          <w:lang w:val="es-ES_tradnl"/>
        </w:rPr>
        <w:t>g</w:t>
      </w:r>
      <w:r w:rsidRPr="00A35712">
        <w:rPr>
          <w:rFonts w:eastAsia="SimSun"/>
          <w:i/>
          <w:iCs/>
          <w:lang w:val="es-ES_tradnl"/>
        </w:rPr>
        <w:t>))</w:t>
      </w:r>
      <w:r w:rsidRPr="00A35712">
        <w:rPr>
          <w:lang w:val="es-ES_tradnl"/>
        </w:rPr>
        <w:t xml:space="preserve">, en (1) deberá utilizarse en vez de </w:t>
      </w:r>
      <w:r w:rsidRPr="00A35712">
        <w:rPr>
          <w:i/>
          <w:iCs/>
          <w:lang w:val="es-ES_tradnl"/>
        </w:rPr>
        <w:t>R</w:t>
      </w:r>
      <w:r w:rsidRPr="00A35712">
        <w:rPr>
          <w:rFonts w:eastAsia="SimSun"/>
          <w:i/>
          <w:iCs/>
          <w:vertAlign w:val="subscript"/>
          <w:lang w:val="es-ES_tradnl"/>
        </w:rPr>
        <w:t>Th</w:t>
      </w:r>
      <w:r w:rsidRPr="00A35712">
        <w:rPr>
          <w:lang w:val="es-ES_tradnl"/>
        </w:rPr>
        <w:t>,</w:t>
      </w:r>
    </w:p>
    <w:p w14:paraId="6A730A44" w14:textId="77777777" w:rsidR="00A35712" w:rsidRPr="00A35712" w:rsidRDefault="00A35712" w:rsidP="00A0135B">
      <w:pPr>
        <w:spacing w:before="120" w:line="240" w:lineRule="exact"/>
        <w:rPr>
          <w:lang w:val="es-ES_tradnl"/>
        </w:rPr>
      </w:pPr>
      <w:r w:rsidRPr="00A35712">
        <w:rPr>
          <w:lang w:val="es-ES_tradnl"/>
        </w:rPr>
        <w:t>siendo:</w:t>
      </w:r>
    </w:p>
    <w:p w14:paraId="5A5DC052" w14:textId="77777777" w:rsidR="00A35712" w:rsidRPr="00B255C3" w:rsidRDefault="00A35712" w:rsidP="00811FF8">
      <w:pPr>
        <w:spacing w:before="0" w:line="240" w:lineRule="exact"/>
        <w:ind w:left="2608" w:hanging="851"/>
        <w:rPr>
          <w:spacing w:val="-6"/>
          <w:lang w:val="es-ES_tradnl"/>
        </w:rPr>
      </w:pPr>
      <w:r w:rsidRPr="00B255C3">
        <w:rPr>
          <w:rFonts w:eastAsia="SimSun"/>
          <w:i/>
          <w:iCs/>
          <w:spacing w:val="-6"/>
          <w:lang w:val="es-ES_tradnl"/>
        </w:rPr>
        <w:t>(C</w:t>
      </w:r>
      <w:r w:rsidRPr="00B255C3">
        <w:rPr>
          <w:rFonts w:eastAsia="SimSun"/>
          <w:spacing w:val="-6"/>
          <w:lang w:val="es-ES_tradnl"/>
        </w:rPr>
        <w:t>/</w:t>
      </w:r>
      <w:proofErr w:type="gramStart"/>
      <w:r w:rsidRPr="00B255C3">
        <w:rPr>
          <w:rFonts w:eastAsia="SimSun"/>
          <w:i/>
          <w:iCs/>
          <w:spacing w:val="-6"/>
          <w:lang w:val="es-ES_tradnl"/>
        </w:rPr>
        <w:t>N)</w:t>
      </w:r>
      <w:r w:rsidRPr="00B255C3">
        <w:rPr>
          <w:rFonts w:eastAsia="SimSun"/>
          <w:i/>
          <w:iCs/>
          <w:spacing w:val="-6"/>
          <w:vertAlign w:val="subscript"/>
          <w:lang w:val="es-ES_tradnl"/>
        </w:rPr>
        <w:t>d</w:t>
      </w:r>
      <w:proofErr w:type="gramEnd"/>
      <w:r w:rsidRPr="00B255C3">
        <w:rPr>
          <w:rFonts w:eastAsia="SimSun"/>
          <w:i/>
          <w:iCs/>
          <w:spacing w:val="-6"/>
          <w:vertAlign w:val="subscript"/>
          <w:lang w:val="es-ES_tradnl"/>
        </w:rPr>
        <w:t>,Th</w:t>
      </w:r>
      <w:r w:rsidRPr="00B255C3">
        <w:rPr>
          <w:rFonts w:eastAsia="SimSun"/>
          <w:spacing w:val="-6"/>
          <w:lang w:val="es-ES_tradnl"/>
        </w:rPr>
        <w:t>:</w:t>
      </w:r>
      <w:r w:rsidR="00073492">
        <w:rPr>
          <w:rFonts w:eastAsia="SimSun"/>
          <w:spacing w:val="-6"/>
          <w:lang w:val="es-ES_tradnl"/>
        </w:rPr>
        <w:tab/>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prueba </w:t>
      </w:r>
      <w:r w:rsidRPr="00B255C3">
        <w:rPr>
          <w:i/>
          <w:iCs/>
          <w:spacing w:val="-6"/>
          <w:lang w:val="es-ES_tradnl"/>
        </w:rPr>
        <w:t>Th</w:t>
      </w:r>
      <w:r w:rsidRPr="00B255C3">
        <w:rPr>
          <w:spacing w:val="-6"/>
          <w:lang w:val="es-ES_tradnl"/>
        </w:rPr>
        <w:t>;</w:t>
      </w:r>
    </w:p>
    <w:p w14:paraId="59A80006" w14:textId="77777777" w:rsidR="00A35712" w:rsidRPr="00B255C3" w:rsidRDefault="00A35712" w:rsidP="00811FF8">
      <w:pPr>
        <w:spacing w:before="120" w:line="240" w:lineRule="exact"/>
        <w:ind w:left="2609" w:hanging="851"/>
        <w:rPr>
          <w:spacing w:val="-6"/>
          <w:lang w:val="es-ES_tradnl"/>
        </w:rPr>
      </w:pPr>
      <w:r w:rsidRPr="00B255C3">
        <w:rPr>
          <w:rFonts w:eastAsia="SimSun"/>
          <w:i/>
          <w:iCs/>
          <w:spacing w:val="-6"/>
          <w:lang w:val="es-ES_tradnl"/>
        </w:rPr>
        <w:t>(C</w:t>
      </w:r>
      <w:r w:rsidRPr="00B255C3">
        <w:rPr>
          <w:rFonts w:eastAsia="SimSun"/>
          <w:spacing w:val="-6"/>
          <w:lang w:val="es-ES_tradnl"/>
        </w:rPr>
        <w:t>/</w:t>
      </w:r>
      <w:proofErr w:type="gramStart"/>
      <w:r w:rsidRPr="00B255C3">
        <w:rPr>
          <w:rFonts w:eastAsia="SimSun"/>
          <w:i/>
          <w:iCs/>
          <w:spacing w:val="-6"/>
          <w:lang w:val="es-ES_tradnl"/>
        </w:rPr>
        <w:t>N)</w:t>
      </w:r>
      <w:r w:rsidRPr="00B255C3">
        <w:rPr>
          <w:rFonts w:eastAsia="SimSun"/>
          <w:i/>
          <w:iCs/>
          <w:spacing w:val="-6"/>
          <w:vertAlign w:val="subscript"/>
          <w:lang w:val="es-ES_tradnl"/>
        </w:rPr>
        <w:t>d</w:t>
      </w:r>
      <w:proofErr w:type="gramEnd"/>
      <w:r w:rsidRPr="00B255C3">
        <w:rPr>
          <w:rFonts w:eastAsia="SimSun"/>
          <w:i/>
          <w:iCs/>
          <w:spacing w:val="-6"/>
          <w:vertAlign w:val="subscript"/>
          <w:lang w:val="es-ES_tradnl" w:eastAsia="zh-CN"/>
        </w:rPr>
        <w:t>,Eg</w:t>
      </w:r>
      <w:r w:rsidRPr="00B255C3">
        <w:rPr>
          <w:rFonts w:eastAsia="SimSun"/>
          <w:spacing w:val="-6"/>
          <w:lang w:val="es-ES_tradnl"/>
        </w:rPr>
        <w:t>:</w:t>
      </w:r>
      <w:r w:rsidRPr="00B255C3">
        <w:rPr>
          <w:spacing w:val="-6"/>
          <w:lang w:val="es-ES_tradnl"/>
        </w:rPr>
        <w:tab/>
        <w:t xml:space="preserve">el valor de </w:t>
      </w:r>
      <w:r w:rsidRPr="00B255C3">
        <w:rPr>
          <w:i/>
          <w:iCs/>
          <w:spacing w:val="-6"/>
          <w:lang w:val="es-ES_tradnl"/>
        </w:rPr>
        <w:t>C</w:t>
      </w:r>
      <w:r w:rsidRPr="00B255C3">
        <w:rPr>
          <w:spacing w:val="-6"/>
          <w:lang w:val="es-ES_tradnl"/>
        </w:rPr>
        <w:t>/</w:t>
      </w:r>
      <w:r w:rsidRPr="00B255C3">
        <w:rPr>
          <w:i/>
          <w:iCs/>
          <w:spacing w:val="-6"/>
          <w:lang w:val="es-ES_tradnl"/>
        </w:rPr>
        <w:t>N</w:t>
      </w:r>
      <w:r w:rsidRPr="00B255C3">
        <w:rPr>
          <w:spacing w:val="-6"/>
          <w:lang w:val="es-ES_tradnl"/>
        </w:rPr>
        <w:t xml:space="preserve"> del enlace descendente en el punto de la retícula </w:t>
      </w:r>
      <w:r w:rsidRPr="00B255C3">
        <w:rPr>
          <w:i/>
          <w:iCs/>
          <w:spacing w:val="-6"/>
          <w:lang w:val="es-ES_tradnl"/>
        </w:rPr>
        <w:t>Eg</w:t>
      </w:r>
      <w:r w:rsidRPr="00B255C3">
        <w:rPr>
          <w:spacing w:val="-6"/>
          <w:lang w:val="es-ES_tradnl"/>
        </w:rPr>
        <w:t>.</w:t>
      </w:r>
    </w:p>
    <w:p w14:paraId="3C620144" w14:textId="2E71CB55" w:rsidR="00753D03" w:rsidRDefault="00A35712" w:rsidP="00DC46FB">
      <w:pPr>
        <w:tabs>
          <w:tab w:val="left" w:pos="0"/>
          <w:tab w:val="left" w:pos="709"/>
        </w:tabs>
        <w:spacing w:before="240"/>
        <w:rPr>
          <w:lang w:val="es-ES_tradnl"/>
        </w:rPr>
      </w:pPr>
      <w:r w:rsidRPr="00A35712">
        <w:rPr>
          <w:lang w:val="es-ES_tradnl"/>
        </w:rPr>
        <w:t>3</w:t>
      </w:r>
      <w:r w:rsidRPr="00A35712">
        <w:rPr>
          <w:lang w:val="es-ES_tradnl"/>
        </w:rPr>
        <w:tab/>
        <w:t xml:space="preserve">Si el valor </w:t>
      </w:r>
      <w:r w:rsidRPr="00A35712">
        <w:rPr>
          <w:rFonts w:eastAsia="SimSun"/>
          <w:i/>
          <w:iCs/>
          <w:lang w:val="es-ES_tradnl"/>
        </w:rPr>
        <w:t>V</w:t>
      </w:r>
      <w:r w:rsidRPr="00A35712">
        <w:rPr>
          <w:rFonts w:eastAsia="SimSun"/>
          <w:i/>
          <w:iCs/>
          <w:vertAlign w:val="subscript"/>
          <w:lang w:val="es-ES_tradnl"/>
        </w:rPr>
        <w:t>Eg</w:t>
      </w:r>
      <w:r w:rsidRPr="00A35712">
        <w:rPr>
          <w:lang w:val="es-ES_tradnl"/>
        </w:rPr>
        <w:t xml:space="preserve"> interpolado es superior a </w:t>
      </w:r>
      <w:r w:rsidRPr="00A35712">
        <w:rPr>
          <w:rFonts w:eastAsia="SimSun"/>
          <w:lang w:val="es-ES_tradnl"/>
        </w:rPr>
        <w:t>(</w:t>
      </w:r>
      <w:r w:rsidRPr="00A35712">
        <w:rPr>
          <w:rFonts w:eastAsia="SimSun"/>
          <w:i/>
          <w:iCs/>
          <w:lang w:val="es-ES_tradnl"/>
        </w:rPr>
        <w:t>C</w:t>
      </w:r>
      <w:r w:rsidRPr="00A35712">
        <w:rPr>
          <w:rFonts w:eastAsia="SimSun"/>
          <w:lang w:val="es-ES_tradnl"/>
        </w:rPr>
        <w:t>/</w:t>
      </w:r>
      <w:proofErr w:type="gramStart"/>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proofErr w:type="gramEnd"/>
      <w:r w:rsidRPr="00A35712">
        <w:rPr>
          <w:rFonts w:eastAsia="SimSun"/>
          <w:i/>
          <w:iCs/>
          <w:vertAlign w:val="subscript"/>
          <w:lang w:val="es-ES_tradnl" w:eastAsia="zh-CN"/>
        </w:rPr>
        <w:t>, Eg</w:t>
      </w:r>
      <w:r w:rsidRPr="00A35712">
        <w:rPr>
          <w:rFonts w:eastAsia="SimSun"/>
          <w:lang w:val="es-ES_tradnl"/>
        </w:rPr>
        <w:t xml:space="preserve"> +11,65 dB, (</w:t>
      </w:r>
      <w:r w:rsidRPr="00A35712">
        <w:rPr>
          <w:rFonts w:eastAsia="SimSun"/>
          <w:i/>
          <w:iCs/>
          <w:lang w:val="es-ES_tradnl"/>
        </w:rPr>
        <w:t>C</w:t>
      </w:r>
      <w:r w:rsidRPr="00A35712">
        <w:rPr>
          <w:rFonts w:eastAsia="SimSun"/>
          <w:lang w:val="es-ES_tradnl"/>
        </w:rPr>
        <w:t>/</w:t>
      </w:r>
      <w:r w:rsidRPr="00A35712">
        <w:rPr>
          <w:rFonts w:eastAsia="SimSun"/>
          <w:i/>
          <w:iCs/>
          <w:lang w:val="es-ES_tradnl"/>
        </w:rPr>
        <w:t>N</w:t>
      </w:r>
      <w:r w:rsidRPr="00A35712">
        <w:rPr>
          <w:rFonts w:eastAsia="SimSun"/>
          <w:lang w:val="es-ES_tradnl"/>
        </w:rPr>
        <w:t>)</w:t>
      </w:r>
      <w:r w:rsidRPr="00A35712">
        <w:rPr>
          <w:rFonts w:eastAsia="SimSun"/>
          <w:i/>
          <w:iCs/>
          <w:vertAlign w:val="subscript"/>
          <w:lang w:val="es-ES_tradnl"/>
        </w:rPr>
        <w:t>d</w:t>
      </w:r>
      <w:r w:rsidRPr="00A35712">
        <w:rPr>
          <w:rFonts w:eastAsia="SimSun"/>
          <w:i/>
          <w:iCs/>
          <w:vertAlign w:val="subscript"/>
          <w:lang w:val="es-ES_tradnl" w:eastAsia="zh-CN"/>
        </w:rPr>
        <w:t>, Eg</w:t>
      </w:r>
      <w:r w:rsidRPr="00A35712">
        <w:rPr>
          <w:rFonts w:eastAsia="SimSun"/>
          <w:lang w:val="es-ES_tradnl"/>
        </w:rPr>
        <w:t xml:space="preserve"> +11,65 dB, d</w:t>
      </w:r>
      <w:r w:rsidRPr="00A35712">
        <w:rPr>
          <w:lang w:val="es-ES_tradnl"/>
        </w:rPr>
        <w:t xml:space="preserve">eberá utilizarse este último como valor de referencia para el punto de la retícula </w:t>
      </w:r>
      <w:r w:rsidRPr="00A35712">
        <w:rPr>
          <w:i/>
          <w:iCs/>
          <w:lang w:val="es-ES_tradnl"/>
        </w:rPr>
        <w:t>Eg</w:t>
      </w:r>
      <w:r w:rsidRPr="00A35712">
        <w:rPr>
          <w:lang w:val="es-ES_tradnl"/>
        </w:rPr>
        <w:t>. De no ser así, el valor interpolado es el valor de referencia.</w:t>
      </w:r>
    </w:p>
    <w:p w14:paraId="5F3661FB" w14:textId="59D61B0C" w:rsidR="00753D03" w:rsidRPr="002F4903" w:rsidRDefault="00753D03" w:rsidP="00753D03">
      <w:pPr>
        <w:spacing w:before="160" w:line="280" w:lineRule="exact"/>
        <w:rPr>
          <w:rFonts w:eastAsia="SimSun"/>
          <w:szCs w:val="22"/>
          <w:lang w:val="es-ES_tradnl"/>
        </w:rPr>
      </w:pPr>
      <w:r w:rsidRPr="002F4903">
        <w:rPr>
          <w:rFonts w:eastAsia="SimSun"/>
          <w:szCs w:val="22"/>
          <w:lang w:val="es-ES_tradnl"/>
        </w:rPr>
        <w:t>4</w:t>
      </w:r>
      <w:r w:rsidRPr="002F4903">
        <w:rPr>
          <w:rFonts w:eastAsia="SimSun"/>
          <w:szCs w:val="22"/>
          <w:lang w:val="es-ES_tradnl"/>
        </w:rPr>
        <w:tab/>
      </w:r>
      <w:proofErr w:type="gramStart"/>
      <w:r w:rsidRPr="002F4903">
        <w:rPr>
          <w:rFonts w:eastAsia="SimSun"/>
          <w:szCs w:val="22"/>
          <w:lang w:val="es-ES_tradnl"/>
        </w:rPr>
        <w:t>La</w:t>
      </w:r>
      <w:proofErr w:type="gramEnd"/>
      <w:r w:rsidRPr="002F4903">
        <w:rPr>
          <w:rFonts w:eastAsia="SimSun"/>
          <w:szCs w:val="22"/>
          <w:lang w:val="es-ES_tradnl"/>
        </w:rPr>
        <w:t xml:space="preserve"> nota 10 del § 2.1 del Apéndice 1 al Adjunto 1 a la Resolución </w:t>
      </w:r>
      <w:r w:rsidRPr="002F4903">
        <w:rPr>
          <w:rFonts w:eastAsia="SimSun"/>
          <w:b/>
          <w:bCs/>
          <w:szCs w:val="22"/>
          <w:lang w:val="es-ES_tradnl"/>
        </w:rPr>
        <w:t xml:space="preserve">170 (CMR-19) </w:t>
      </w:r>
      <w:r w:rsidRPr="002F4903">
        <w:rPr>
          <w:rFonts w:eastAsia="SimSun"/>
          <w:szCs w:val="22"/>
          <w:lang w:val="es-ES_tradnl"/>
        </w:rPr>
        <w:t xml:space="preserve">se refiere al mismo método de interpolación. Por consiguiente, al aplicar el § 2.1 del Apéndice 1 al Adjunto 1 a la Resolución </w:t>
      </w:r>
      <w:r w:rsidRPr="002F4903">
        <w:rPr>
          <w:rFonts w:eastAsia="SimSun"/>
          <w:b/>
          <w:bCs/>
          <w:szCs w:val="22"/>
          <w:lang w:val="es-ES_tradnl"/>
        </w:rPr>
        <w:t>170 (CMR-19)</w:t>
      </w:r>
      <w:r w:rsidRPr="002F4903">
        <w:rPr>
          <w:rFonts w:eastAsia="SimSun"/>
          <w:szCs w:val="22"/>
          <w:lang w:val="es-ES_tradnl"/>
        </w:rPr>
        <w:t>, el método contenido en los § 2 y 3 anteriores se empleará para calcular los valores interpolados en los puntos de la retícula dentro de la zona de servicio del enlace descendente con las siguientes modificaciones:</w:t>
      </w:r>
    </w:p>
    <w:p w14:paraId="4459B239" w14:textId="77777777" w:rsidR="00753D03" w:rsidRPr="002F4903" w:rsidRDefault="00753D03" w:rsidP="00753D03">
      <w:pPr>
        <w:spacing w:before="80" w:line="280" w:lineRule="exact"/>
        <w:ind w:left="794" w:hanging="794"/>
        <w:rPr>
          <w:rFonts w:eastAsia="SimSun"/>
          <w:szCs w:val="22"/>
          <w:lang w:val="es-ES_tradnl"/>
        </w:rPr>
      </w:pPr>
      <w:r w:rsidRPr="002F4903">
        <w:rPr>
          <w:rFonts w:eastAsia="SimSun"/>
          <w:i/>
          <w:iCs/>
          <w:szCs w:val="22"/>
          <w:lang w:val="es-ES_tradnl"/>
        </w:rPr>
        <w:tab/>
        <w:t>R</w:t>
      </w:r>
      <w:r w:rsidRPr="002F4903">
        <w:rPr>
          <w:rFonts w:eastAsia="SimSun"/>
          <w:i/>
          <w:iCs/>
          <w:szCs w:val="22"/>
          <w:vertAlign w:val="subscript"/>
          <w:lang w:val="es-ES_tradnl"/>
        </w:rPr>
        <w:t>Th</w:t>
      </w:r>
      <w:r w:rsidRPr="002F4903">
        <w:rPr>
          <w:rFonts w:eastAsia="SimSun"/>
          <w:szCs w:val="22"/>
          <w:lang w:val="es-ES_tradnl"/>
        </w:rPr>
        <w:t xml:space="preserve"> se definirá como</w:t>
      </w:r>
      <w:r w:rsidRPr="002F4903">
        <w:rPr>
          <w:szCs w:val="22"/>
          <w:lang w:val="es-ES_tradnl"/>
        </w:rPr>
        <w:t xml:space="preserve"> </w:t>
      </w:r>
      <w:r w:rsidRPr="002F4903">
        <w:rPr>
          <w:rFonts w:eastAsia="SimSun"/>
          <w:szCs w:val="22"/>
          <w:lang w:val="es-ES_tradnl"/>
        </w:rPr>
        <w:t xml:space="preserve">el valor de referencia de la </w:t>
      </w:r>
      <w:r w:rsidRPr="002F4903">
        <w:rPr>
          <w:rFonts w:eastAsia="SimSun"/>
          <w:i/>
          <w:iCs/>
          <w:szCs w:val="22"/>
          <w:lang w:val="es-ES_tradnl"/>
        </w:rPr>
        <w:t>C/I</w:t>
      </w:r>
      <w:r w:rsidRPr="002F4903">
        <w:rPr>
          <w:rFonts w:eastAsia="SimSun"/>
          <w:szCs w:val="22"/>
          <w:lang w:val="es-ES_tradnl"/>
        </w:rPr>
        <w:t xml:space="preserve"> (dB) procedente de una sola fuente en el punto de prueba </w:t>
      </w:r>
      <w:r w:rsidRPr="002F4903">
        <w:rPr>
          <w:rFonts w:eastAsia="SimSun"/>
          <w:i/>
          <w:iCs/>
          <w:szCs w:val="22"/>
          <w:lang w:val="es-ES_tradnl"/>
        </w:rPr>
        <w:t>Th</w:t>
      </w:r>
      <w:r w:rsidRPr="002F4903">
        <w:rPr>
          <w:rFonts w:eastAsia="SimSun"/>
          <w:szCs w:val="22"/>
          <w:lang w:val="es-ES_tradnl"/>
        </w:rPr>
        <w:t xml:space="preserve"> (es decir, 23,65 dB, o </w:t>
      </w:r>
      <w:r w:rsidRPr="002F4903">
        <w:rPr>
          <w:rFonts w:eastAsia="SimSun"/>
          <w:szCs w:val="24"/>
          <w:lang w:val="es-ES_tradnl" w:eastAsia="zh-CN"/>
        </w:rPr>
        <w:t>(</w:t>
      </w:r>
      <w:r w:rsidRPr="002F4903">
        <w:rPr>
          <w:rFonts w:eastAsia="SimSun"/>
          <w:i/>
          <w:iCs/>
          <w:szCs w:val="24"/>
          <w:lang w:val="es-ES_tradnl" w:eastAsia="zh-CN"/>
        </w:rPr>
        <w:t>C</w:t>
      </w:r>
      <w:r w:rsidRPr="002F4903">
        <w:rPr>
          <w:rFonts w:eastAsia="SimSun"/>
          <w:szCs w:val="24"/>
          <w:lang w:val="es-ES_tradnl" w:eastAsia="zh-CN"/>
        </w:rPr>
        <w:t>/</w:t>
      </w:r>
      <w:proofErr w:type="gramStart"/>
      <w:r w:rsidRPr="002F4903">
        <w:rPr>
          <w:rFonts w:eastAsia="SimSun"/>
          <w:i/>
          <w:iCs/>
          <w:szCs w:val="24"/>
          <w:lang w:val="es-ES_tradnl" w:eastAsia="zh-CN"/>
        </w:rPr>
        <w:t>N</w:t>
      </w:r>
      <w:r w:rsidRPr="002F4903">
        <w:rPr>
          <w:rFonts w:eastAsia="SimSun"/>
          <w:szCs w:val="24"/>
          <w:lang w:val="es-ES_tradnl" w:eastAsia="zh-CN"/>
        </w:rPr>
        <w:t>)</w:t>
      </w:r>
      <w:r w:rsidRPr="002F4903">
        <w:rPr>
          <w:rFonts w:eastAsia="SimSun"/>
          <w:i/>
          <w:iCs/>
          <w:sz w:val="16"/>
          <w:szCs w:val="16"/>
          <w:lang w:val="es-ES_tradnl" w:eastAsia="zh-CN"/>
        </w:rPr>
        <w:t>d</w:t>
      </w:r>
      <w:proofErr w:type="gramEnd"/>
      <w:r w:rsidRPr="002F4903">
        <w:rPr>
          <w:rFonts w:eastAsia="SimSun"/>
          <w:i/>
          <w:iCs/>
          <w:sz w:val="16"/>
          <w:szCs w:val="16"/>
          <w:lang w:val="es-ES_tradnl" w:eastAsia="zh-CN"/>
        </w:rPr>
        <w:t xml:space="preserve"> </w:t>
      </w:r>
      <w:r w:rsidRPr="002F4903">
        <w:rPr>
          <w:rFonts w:eastAsia="SimSun"/>
          <w:i/>
          <w:iCs/>
          <w:szCs w:val="24"/>
          <w:lang w:val="es-ES_tradnl" w:eastAsia="zh-CN"/>
        </w:rPr>
        <w:t xml:space="preserve">+ </w:t>
      </w:r>
      <w:r w:rsidRPr="002F4903">
        <w:rPr>
          <w:rFonts w:eastAsia="SimSun"/>
          <w:szCs w:val="24"/>
          <w:lang w:val="es-ES_tradnl" w:eastAsia="zh-CN"/>
        </w:rPr>
        <w:t>8,65 dB</w:t>
      </w:r>
      <w:r w:rsidRPr="002F4903">
        <w:rPr>
          <w:rFonts w:eastAsia="SimSun"/>
          <w:szCs w:val="22"/>
          <w:lang w:val="es-ES_tradnl"/>
        </w:rPr>
        <w:t>, o cualquier valor ya aceptado, tomando entre ellos el valor inferior); y</w:t>
      </w:r>
    </w:p>
    <w:p w14:paraId="40171EF5" w14:textId="5A5F97EA" w:rsidR="00753D03" w:rsidRPr="002F4903" w:rsidRDefault="00753D03" w:rsidP="00753D03">
      <w:pPr>
        <w:spacing w:before="80" w:line="280" w:lineRule="exact"/>
        <w:ind w:left="794" w:hanging="794"/>
        <w:rPr>
          <w:rFonts w:eastAsia="SimSun"/>
          <w:lang w:val="es-ES_tradnl"/>
        </w:rPr>
      </w:pPr>
      <w:r w:rsidRPr="002F4903">
        <w:rPr>
          <w:rFonts w:eastAsia="SimSun"/>
          <w:lang w:val="es-ES_tradnl"/>
        </w:rPr>
        <w:tab/>
        <w:t>se utilizará un valor de (</w:t>
      </w:r>
      <w:r w:rsidRPr="002F4903">
        <w:rPr>
          <w:rFonts w:eastAsia="SimSun"/>
          <w:i/>
          <w:iCs/>
          <w:lang w:val="es-ES_tradnl"/>
        </w:rPr>
        <w:t>C</w:t>
      </w:r>
      <w:r w:rsidRPr="002F4903">
        <w:rPr>
          <w:rFonts w:eastAsia="SimSun"/>
          <w:lang w:val="es-ES_tradnl"/>
        </w:rPr>
        <w:t>/</w:t>
      </w:r>
      <w:proofErr w:type="gramStart"/>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proofErr w:type="gramEnd"/>
      <w:r w:rsidRPr="002F4903">
        <w:rPr>
          <w:rFonts w:eastAsia="SimSun"/>
          <w:i/>
          <w:iCs/>
          <w:vertAlign w:val="subscript"/>
          <w:lang w:val="es-ES_tradnl" w:eastAsia="zh-CN"/>
        </w:rPr>
        <w:t>, Eg</w:t>
      </w:r>
      <w:r w:rsidRPr="002F4903">
        <w:rPr>
          <w:rFonts w:eastAsia="SimSun"/>
          <w:lang w:val="es-ES_tradnl"/>
        </w:rPr>
        <w:t xml:space="preserve"> + 8,65 dB en lugar de (</w:t>
      </w:r>
      <w:r w:rsidRPr="002F4903">
        <w:rPr>
          <w:rFonts w:eastAsia="SimSun"/>
          <w:i/>
          <w:iCs/>
          <w:lang w:val="es-ES_tradnl"/>
        </w:rPr>
        <w:t>C</w:t>
      </w:r>
      <w:r w:rsidRPr="002F4903">
        <w:rPr>
          <w:rFonts w:eastAsia="SimSun"/>
          <w:lang w:val="es-ES_tradnl"/>
        </w:rPr>
        <w:t>/</w:t>
      </w:r>
      <w:r w:rsidRPr="002F4903">
        <w:rPr>
          <w:rFonts w:eastAsia="SimSun"/>
          <w:i/>
          <w:iCs/>
          <w:lang w:val="es-ES_tradnl"/>
        </w:rPr>
        <w:t>N</w:t>
      </w:r>
      <w:r w:rsidRPr="002F4903">
        <w:rPr>
          <w:rFonts w:eastAsia="SimSun"/>
          <w:lang w:val="es-ES_tradnl"/>
        </w:rPr>
        <w:t>)</w:t>
      </w:r>
      <w:r w:rsidRPr="002F4903">
        <w:rPr>
          <w:rFonts w:eastAsia="SimSun"/>
          <w:i/>
          <w:iCs/>
          <w:vertAlign w:val="subscript"/>
          <w:lang w:val="es-ES_tradnl"/>
        </w:rPr>
        <w:t>d</w:t>
      </w:r>
      <w:r w:rsidRPr="002F4903">
        <w:rPr>
          <w:rFonts w:eastAsia="SimSun"/>
          <w:i/>
          <w:iCs/>
          <w:vertAlign w:val="subscript"/>
          <w:lang w:val="es-ES_tradnl" w:eastAsia="zh-CN"/>
        </w:rPr>
        <w:t>, Eg</w:t>
      </w:r>
      <w:r w:rsidRPr="002F4903">
        <w:rPr>
          <w:rFonts w:eastAsia="SimSun"/>
          <w:lang w:val="es-ES_tradnl"/>
        </w:rPr>
        <w:t xml:space="preserve"> + 11,65 dB.</w:t>
      </w:r>
    </w:p>
    <w:p w14:paraId="48C2E88A" w14:textId="77777777" w:rsidR="002F4903" w:rsidRPr="00767FCD" w:rsidRDefault="002F4903" w:rsidP="002F4903">
      <w:pPr>
        <w:pStyle w:val="Heading8"/>
        <w:pBdr>
          <w:top w:val="double" w:sz="4" w:space="1" w:color="auto"/>
          <w:left w:val="double" w:sz="4" w:space="1" w:color="auto"/>
          <w:bottom w:val="double" w:sz="4" w:space="1" w:color="auto"/>
          <w:right w:val="double" w:sz="4" w:space="1" w:color="auto"/>
        </w:pBdr>
        <w:rPr>
          <w:lang w:val="es-ES_tradnl"/>
        </w:rPr>
      </w:pPr>
      <w:r w:rsidRPr="00767FCD">
        <w:rPr>
          <w:lang w:val="es-ES_tradnl"/>
        </w:rPr>
        <w:t>2.2</w:t>
      </w:r>
      <w:r w:rsidRPr="00767FCD">
        <w:rPr>
          <w:lang w:val="es-ES_tradnl"/>
        </w:rPr>
        <w:tab/>
      </w:r>
      <w:r w:rsidRPr="00767FCD">
        <w:rPr>
          <w:sz w:val="16"/>
          <w:szCs w:val="16"/>
          <w:lang w:val="es-ES_tradnl"/>
        </w:rPr>
        <w:tab/>
      </w:r>
      <w:r w:rsidRPr="00767FCD">
        <w:rPr>
          <w:bCs/>
          <w:color w:val="000000"/>
          <w:sz w:val="16"/>
          <w:szCs w:val="16"/>
          <w:lang w:val="es-ES_tradnl"/>
        </w:rPr>
        <w:t>(ADD RRB20/85)</w:t>
      </w:r>
    </w:p>
    <w:p w14:paraId="55FC31E6" w14:textId="77777777" w:rsidR="002F4903" w:rsidRPr="002F4903" w:rsidRDefault="002F4903" w:rsidP="002F4903">
      <w:pPr>
        <w:rPr>
          <w:lang w:val="es-ES"/>
        </w:rPr>
      </w:pPr>
      <w:r w:rsidRPr="002F4903">
        <w:rPr>
          <w:rFonts w:eastAsia="SimSun"/>
          <w:b/>
          <w:bCs/>
          <w:lang w:val="es-ES"/>
        </w:rPr>
        <w:t>Nota</w:t>
      </w:r>
      <w:r w:rsidRPr="002F4903">
        <w:rPr>
          <w:lang w:val="es-ES"/>
        </w:rPr>
        <w:t xml:space="preserve">: En su 8ª Sesión Plenaria la CMR-19 tomó la siguiente decisión con respecto a los puntos de retícula y los </w:t>
      </w:r>
      <w:r w:rsidRPr="002F4903">
        <w:rPr>
          <w:lang w:val="es-ES_tradnl"/>
        </w:rPr>
        <w:t xml:space="preserve">puntos de prueba en el mar; véanse los apartados </w:t>
      </w:r>
      <w:r w:rsidRPr="002F4903">
        <w:rPr>
          <w:lang w:val="es-ES"/>
        </w:rPr>
        <w:t>3.11 a 3.15 del Documento 19/569, aprobación del Documento CMR19/451 relativo al apartado 3.2.5.6 del Documento CMR19/4(Add.2):</w:t>
      </w:r>
    </w:p>
    <w:p w14:paraId="0DDA1F38" w14:textId="47132822" w:rsidR="002F4903" w:rsidRPr="002F4903" w:rsidRDefault="002F4903" w:rsidP="002F4903">
      <w:pPr>
        <w:rPr>
          <w:rFonts w:eastAsia="SimSun"/>
          <w:lang w:val="es-ES_tradnl"/>
        </w:rPr>
      </w:pPr>
      <w:r w:rsidRPr="002F4903">
        <w:rPr>
          <w:rFonts w:eastAsia="SimSun"/>
          <w:lang w:val="es-ES"/>
        </w:rPr>
        <w:t>«</w:t>
      </w:r>
      <w:r w:rsidRPr="00767FCD">
        <w:rPr>
          <w:rFonts w:eastAsia="SimSun"/>
          <w:i/>
          <w:iCs/>
          <w:lang w:val="es-ES"/>
        </w:rPr>
        <w:t xml:space="preserve">Al examinar la sección 3.2.5.6 sobre los «Puntos de retícula en el mar en el examen con los métodos del Anexo 4 del Apéndice </w:t>
      </w:r>
      <w:r w:rsidRPr="00767FCD">
        <w:rPr>
          <w:rFonts w:eastAsia="SimSun"/>
          <w:b/>
          <w:bCs/>
          <w:i/>
          <w:iCs/>
          <w:lang w:val="es-ES"/>
        </w:rPr>
        <w:t>30B</w:t>
      </w:r>
      <w:r w:rsidRPr="00767FCD">
        <w:rPr>
          <w:rFonts w:eastAsia="SimSun"/>
          <w:i/>
          <w:iCs/>
          <w:lang w:val="es-ES"/>
        </w:rPr>
        <w:t xml:space="preserve"> del RR», la CMR-19 decidió que, en aplicación del punto 2.2 del Anexo 4 al Apéndice </w:t>
      </w:r>
      <w:r w:rsidRPr="00767FCD">
        <w:rPr>
          <w:rFonts w:eastAsia="SimSun"/>
          <w:b/>
          <w:bCs/>
          <w:i/>
          <w:iCs/>
          <w:lang w:val="es-ES"/>
        </w:rPr>
        <w:t>30B</w:t>
      </w:r>
      <w:r w:rsidRPr="00767FCD">
        <w:rPr>
          <w:rFonts w:eastAsia="SimSun"/>
          <w:i/>
          <w:iCs/>
          <w:lang w:val="es-ES"/>
        </w:rPr>
        <w:t xml:space="preserve">, además de los puntos de prueba, solo deben considerarse los puntos de la retícula situados en tierra y dentro de la zona de servicio. Al adoptar esta decisión, la CMR-19 reconoció que, en caso de que se amplíe la aplicación del Apéndice </w:t>
      </w:r>
      <w:r w:rsidRPr="00767FCD">
        <w:rPr>
          <w:rFonts w:eastAsia="SimSun"/>
          <w:b/>
          <w:bCs/>
          <w:i/>
          <w:iCs/>
          <w:lang w:val="es-ES"/>
        </w:rPr>
        <w:t>30B</w:t>
      </w:r>
      <w:r w:rsidRPr="00767FCD">
        <w:rPr>
          <w:rFonts w:eastAsia="SimSun"/>
          <w:i/>
          <w:iCs/>
          <w:lang w:val="es-ES"/>
        </w:rPr>
        <w:t xml:space="preserve"> más allá de su utilización actual, puede ser necesario reconsiderar esta decisión en el futuro. La CMR-19 decidió asimismo que la Oficina de Radiocomunicaciones no tendrá en cuenta los puntos de prueba en el mar en su examen técnico y reglamentario de las comunicaciones pertinentes recibidas por la Oficina</w:t>
      </w:r>
      <w:r w:rsidRPr="002F4903">
        <w:rPr>
          <w:rFonts w:eastAsia="SimSun"/>
          <w:lang w:val="es-ES"/>
        </w:rPr>
        <w:t>».</w:t>
      </w:r>
    </w:p>
    <w:p w14:paraId="03EC68E9" w14:textId="3790E664" w:rsidR="002F4903" w:rsidRPr="002F4903" w:rsidRDefault="002F4903" w:rsidP="002F4903">
      <w:pPr>
        <w:pStyle w:val="Heading8"/>
        <w:pBdr>
          <w:right w:val="double" w:sz="6" w:space="31" w:color="auto"/>
        </w:pBdr>
        <w:tabs>
          <w:tab w:val="clear" w:pos="1134"/>
          <w:tab w:val="clear" w:pos="1871"/>
          <w:tab w:val="left" w:pos="2835"/>
          <w:tab w:val="left" w:pos="3119"/>
        </w:tabs>
        <w:ind w:right="7229"/>
        <w:jc w:val="left"/>
        <w:rPr>
          <w:lang w:val="es-ES_tradnl"/>
        </w:rPr>
      </w:pPr>
      <w:r w:rsidRPr="002F4903">
        <w:rPr>
          <w:lang w:val="es-ES_tradnl"/>
        </w:rPr>
        <w:t>Apéndice 1 al Anexo 4</w:t>
      </w:r>
      <w:r w:rsidRPr="002F4903">
        <w:rPr>
          <w:lang w:val="es-ES_tradnl"/>
        </w:rPr>
        <w:tab/>
      </w:r>
      <w:r w:rsidRPr="002F4903">
        <w:rPr>
          <w:bCs/>
          <w:sz w:val="16"/>
          <w:szCs w:val="16"/>
          <w:lang w:val="es-ES_tradnl"/>
        </w:rPr>
        <w:t>(ADD RRB20/85)</w:t>
      </w:r>
    </w:p>
    <w:p w14:paraId="1F8163A6" w14:textId="171562F5" w:rsidR="002F4903" w:rsidRPr="002F4903" w:rsidRDefault="002F4903" w:rsidP="002F4903">
      <w:pPr>
        <w:pStyle w:val="AppendixTitle"/>
        <w:tabs>
          <w:tab w:val="left" w:pos="2835"/>
        </w:tabs>
        <w:rPr>
          <w:lang w:val="es-ES_tradnl" w:eastAsia="zh-CN"/>
        </w:rPr>
      </w:pPr>
      <w:r w:rsidRPr="002F4903">
        <w:rPr>
          <w:bCs/>
          <w:lang w:val="es-ES_tradnl" w:eastAsia="zh-CN"/>
        </w:rPr>
        <w:t>Método para determinar el valor global de la relación portadora/interferencia</w:t>
      </w:r>
      <w:r>
        <w:rPr>
          <w:bCs/>
          <w:lang w:val="es-ES_tradnl" w:eastAsia="zh-CN"/>
        </w:rPr>
        <w:t xml:space="preserve"> </w:t>
      </w:r>
      <w:r w:rsidRPr="002F4903">
        <w:rPr>
          <w:bCs/>
          <w:lang w:val="es-ES_tradnl" w:eastAsia="zh-CN"/>
        </w:rPr>
        <w:t>de una sola fuente y de la relación portadora/interferencia combinada promediada en la anchura de banda necesaria</w:t>
      </w:r>
      <w:r>
        <w:rPr>
          <w:bCs/>
          <w:lang w:val="es-ES_tradnl" w:eastAsia="zh-CN"/>
        </w:rPr>
        <w:t xml:space="preserve"> </w:t>
      </w:r>
      <w:r w:rsidRPr="002F4903">
        <w:rPr>
          <w:bCs/>
          <w:lang w:val="es-ES_tradnl" w:eastAsia="zh-CN"/>
        </w:rPr>
        <w:t>de la portadora modulada</w:t>
      </w:r>
    </w:p>
    <w:p w14:paraId="41D8A934" w14:textId="4DE7E72E" w:rsidR="002F4903" w:rsidRPr="002F4903" w:rsidRDefault="002F4903" w:rsidP="002F4903">
      <w:pPr>
        <w:pStyle w:val="Heading8"/>
        <w:pBdr>
          <w:right w:val="double" w:sz="6" w:space="31" w:color="auto"/>
        </w:pBdr>
        <w:tabs>
          <w:tab w:val="clear" w:pos="1134"/>
          <w:tab w:val="clear" w:pos="1871"/>
        </w:tabs>
        <w:ind w:right="7228"/>
        <w:jc w:val="left"/>
        <w:rPr>
          <w:szCs w:val="24"/>
          <w:lang w:val="es-ES_tradnl"/>
        </w:rPr>
      </w:pPr>
      <w:r w:rsidRPr="002F4903">
        <w:rPr>
          <w:szCs w:val="24"/>
          <w:lang w:val="es-ES_tradnl"/>
        </w:rPr>
        <w:t xml:space="preserve">2. </w:t>
      </w:r>
      <w:r w:rsidRPr="002F4903">
        <w:rPr>
          <w:i/>
          <w:iCs/>
          <w:szCs w:val="24"/>
          <w:lang w:val="es-ES_tradnl"/>
        </w:rPr>
        <w:t>C</w:t>
      </w:r>
      <w:r w:rsidRPr="002F4903">
        <w:rPr>
          <w:szCs w:val="24"/>
          <w:lang w:val="es-ES_tradnl"/>
        </w:rPr>
        <w:t>/</w:t>
      </w:r>
      <w:r w:rsidRPr="002F4903">
        <w:rPr>
          <w:i/>
          <w:iCs/>
          <w:szCs w:val="24"/>
          <w:lang w:val="es-ES_tradnl"/>
        </w:rPr>
        <w:t>I</w:t>
      </w:r>
      <w:r w:rsidRPr="002F4903">
        <w:rPr>
          <w:szCs w:val="24"/>
          <w:lang w:val="es-ES_tradnl"/>
        </w:rPr>
        <w:t xml:space="preserve"> combinada</w:t>
      </w:r>
    </w:p>
    <w:p w14:paraId="2FDFF7D3" w14:textId="5E434868" w:rsidR="002F4903" w:rsidRPr="002F4903" w:rsidRDefault="002F4903" w:rsidP="002F4903">
      <w:pPr>
        <w:tabs>
          <w:tab w:val="left" w:pos="0"/>
          <w:tab w:val="left" w:pos="284"/>
        </w:tabs>
        <w:rPr>
          <w:szCs w:val="28"/>
          <w:lang w:val="es-ES_tradnl" w:eastAsia="zh-CN"/>
        </w:rPr>
      </w:pPr>
      <w:r w:rsidRPr="002F4903">
        <w:rPr>
          <w:szCs w:val="28"/>
          <w:lang w:val="es-ES_tradnl" w:eastAsia="zh-CN"/>
        </w:rPr>
        <w:t xml:space="preserve">Habida cuenta de los valores de separación orbital contenidos en los § 1.1 y 1.2 del Anexo 4 al Apéndice </w:t>
      </w:r>
      <w:r w:rsidRPr="002F4903">
        <w:rPr>
          <w:b/>
          <w:bCs/>
          <w:szCs w:val="28"/>
          <w:lang w:val="es-ES_tradnl" w:eastAsia="zh-CN"/>
        </w:rPr>
        <w:t>30B (Rev.CMR-19)</w:t>
      </w:r>
      <w:r w:rsidRPr="002F4903">
        <w:rPr>
          <w:szCs w:val="28"/>
          <w:lang w:val="es-ES_tradnl" w:eastAsia="zh-CN"/>
        </w:rPr>
        <w:t>, la Junta decidió que, al calcular la relación portadora/interferencia (</w:t>
      </w:r>
      <w:r w:rsidRPr="002F4903">
        <w:rPr>
          <w:i/>
          <w:iCs/>
          <w:szCs w:val="28"/>
          <w:lang w:val="es-ES_tradnl" w:eastAsia="zh-CN"/>
        </w:rPr>
        <w:t>C</w:t>
      </w:r>
      <w:r w:rsidRPr="002F4903">
        <w:rPr>
          <w:szCs w:val="28"/>
          <w:lang w:val="es-ES_tradnl" w:eastAsia="zh-CN"/>
        </w:rPr>
        <w:t>/</w:t>
      </w:r>
      <w:r w:rsidRPr="002F4903">
        <w:rPr>
          <w:i/>
          <w:iCs/>
          <w:szCs w:val="28"/>
          <w:lang w:val="es-ES_tradnl" w:eastAsia="zh-CN"/>
        </w:rPr>
        <w:t>I</w:t>
      </w:r>
      <w:r w:rsidRPr="002F4903">
        <w:rPr>
          <w:szCs w:val="28"/>
          <w:lang w:val="es-ES_tradnl" w:eastAsia="zh-CN"/>
        </w:rPr>
        <w:t>) combinada en un punto de prueba de enlace descendente determinado, la Oficina tendrá en cuenta únicamente las asignaciones o adjudicaciones interferentes para las que la separación orbital con el satélite deseado es inferior o igual a 7° en el caso de las bandas 6/4 GHz e inferior o igual a 6° en el caso de las bandas 13/10</w:t>
      </w:r>
      <w:r>
        <w:rPr>
          <w:szCs w:val="28"/>
          <w:lang w:val="es-ES_tradnl" w:eastAsia="zh-CN"/>
        </w:rPr>
        <w:noBreakHyphen/>
      </w:r>
      <w:r w:rsidRPr="002F4903">
        <w:rPr>
          <w:szCs w:val="28"/>
          <w:lang w:val="es-ES_tradnl" w:eastAsia="zh-CN"/>
        </w:rPr>
        <w:t>11</w:t>
      </w:r>
      <w:r>
        <w:rPr>
          <w:szCs w:val="28"/>
          <w:lang w:val="es-ES_tradnl" w:eastAsia="zh-CN"/>
        </w:rPr>
        <w:t> </w:t>
      </w:r>
      <w:r w:rsidRPr="002F4903">
        <w:rPr>
          <w:szCs w:val="28"/>
          <w:lang w:val="es-ES_tradnl" w:eastAsia="zh-CN"/>
        </w:rPr>
        <w:t>GHz.</w:t>
      </w:r>
    </w:p>
    <w:p w14:paraId="500903D0" w14:textId="36C5914D" w:rsidR="00811FF8" w:rsidRDefault="00753D03" w:rsidP="00753D03">
      <w:pPr>
        <w:tabs>
          <w:tab w:val="left" w:pos="0"/>
          <w:tab w:val="left" w:pos="709"/>
        </w:tabs>
        <w:spacing w:before="240"/>
        <w:jc w:val="center"/>
        <w:rPr>
          <w:lang w:val="es-ES_tradnl"/>
        </w:rPr>
      </w:pPr>
      <w:r w:rsidRPr="004C01D1">
        <w:rPr>
          <w:color w:val="000000"/>
        </w:rPr>
        <w:t>____________________</w:t>
      </w:r>
    </w:p>
    <w:p w14:paraId="6A11E7D8" w14:textId="5E81DB43" w:rsidR="00E23E53" w:rsidRDefault="00E23E53" w:rsidP="00C43255">
      <w:pPr>
        <w:tabs>
          <w:tab w:val="left" w:pos="0"/>
          <w:tab w:val="left" w:pos="709"/>
        </w:tabs>
        <w:spacing w:before="0"/>
        <w:jc w:val="center"/>
        <w:rPr>
          <w:color w:val="000000"/>
        </w:rPr>
      </w:pPr>
    </w:p>
    <w:p w14:paraId="4BF83298" w14:textId="77777777" w:rsidR="00E23E53" w:rsidRDefault="00E23E53" w:rsidP="00811FF8">
      <w:pPr>
        <w:tabs>
          <w:tab w:val="left" w:pos="0"/>
          <w:tab w:val="left" w:pos="709"/>
        </w:tabs>
        <w:spacing w:before="240"/>
        <w:jc w:val="center"/>
        <w:rPr>
          <w:color w:val="000000"/>
        </w:rPr>
        <w:sectPr w:rsidR="00E23E53" w:rsidSect="004808B6">
          <w:headerReference w:type="even" r:id="rId19"/>
          <w:headerReference w:type="default" r:id="rId20"/>
          <w:footnotePr>
            <w:pos w:val="beneathText"/>
          </w:footnotePr>
          <w:pgSz w:w="11907" w:h="16840" w:code="9"/>
          <w:pgMar w:top="1701" w:right="851" w:bottom="1134" w:left="1985" w:header="720" w:footer="482" w:gutter="0"/>
          <w:pgNumType w:start="9"/>
          <w:cols w:space="720"/>
          <w:vAlign w:val="both"/>
        </w:sectPr>
      </w:pPr>
    </w:p>
    <w:p w14:paraId="0BB9C4FE" w14:textId="77777777" w:rsidR="00326380" w:rsidRPr="00777C85" w:rsidRDefault="00326380" w:rsidP="00EA091D">
      <w:pPr>
        <w:rPr>
          <w:lang w:val="es-ES_tradnl"/>
        </w:rPr>
      </w:pPr>
    </w:p>
    <w:sectPr w:rsidR="00326380" w:rsidRPr="00777C85" w:rsidSect="00A411F8">
      <w:headerReference w:type="first" r:id="rId21"/>
      <w:footerReference w:type="first" r:id="rId22"/>
      <w:pgSz w:w="11907" w:h="16834" w:code="9"/>
      <w:pgMar w:top="1701" w:right="851" w:bottom="1134" w:left="1985" w:header="720" w:footer="720"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2E4033" w14:textId="77777777" w:rsidR="00E858D8" w:rsidRDefault="00E858D8">
      <w:r>
        <w:separator/>
      </w:r>
    </w:p>
  </w:endnote>
  <w:endnote w:type="continuationSeparator" w:id="0">
    <w:p w14:paraId="450A6B3C" w14:textId="77777777" w:rsidR="00E858D8" w:rsidRDefault="00E85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3D8CA" w14:textId="77777777" w:rsidR="00F7707E" w:rsidRPr="00F7707E" w:rsidRDefault="00F7707E" w:rsidP="00F770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88D83" w14:textId="77777777" w:rsidR="00E858D8" w:rsidRDefault="00E858D8">
      <w:r>
        <w:rPr>
          <w:b/>
        </w:rPr>
        <w:t>_______________</w:t>
      </w:r>
    </w:p>
  </w:footnote>
  <w:footnote w:type="continuationSeparator" w:id="0">
    <w:p w14:paraId="2C31FA0F" w14:textId="77777777" w:rsidR="00E858D8" w:rsidRDefault="00E858D8">
      <w:r>
        <w:continuationSeparator/>
      </w:r>
    </w:p>
  </w:footnote>
  <w:footnote w:id="1">
    <w:p w14:paraId="2799C89A" w14:textId="77777777" w:rsidR="00B422C2" w:rsidRPr="00EA091D" w:rsidRDefault="00B422C2">
      <w:pPr>
        <w:pStyle w:val="FootnoteText"/>
        <w:rPr>
          <w:lang w:val="es-ES_tradnl"/>
        </w:rPr>
      </w:pPr>
      <w:r w:rsidRPr="00EA091D">
        <w:rPr>
          <w:rStyle w:val="FootnoteReference"/>
          <w:lang w:val="es-ES_tradnl"/>
        </w:rPr>
        <w:t>1</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21.11</w:t>
      </w:r>
      <w:r w:rsidRPr="00EA091D">
        <w:rPr>
          <w:rStyle w:val="Artref"/>
          <w:color w:val="000000"/>
          <w:lang w:val="es-ES_tradnl"/>
        </w:rPr>
        <w:t>.</w:t>
      </w:r>
    </w:p>
  </w:footnote>
  <w:footnote w:id="2">
    <w:p w14:paraId="51B19449" w14:textId="77777777" w:rsidR="00B422C2" w:rsidRPr="00EA091D" w:rsidRDefault="00B422C2" w:rsidP="00B422C2">
      <w:pPr>
        <w:pStyle w:val="FootnoteText"/>
        <w:rPr>
          <w:lang w:val="es-ES_tradnl"/>
        </w:rPr>
      </w:pPr>
      <w:r w:rsidRPr="00EA091D">
        <w:rPr>
          <w:rStyle w:val="FootnoteReference"/>
          <w:lang w:val="es-ES_tradnl"/>
        </w:rPr>
        <w:t>2</w:t>
      </w:r>
      <w:r w:rsidRPr="00EA091D">
        <w:rPr>
          <w:lang w:val="es-ES_tradnl"/>
        </w:rPr>
        <w:t xml:space="preserve"> </w:t>
      </w:r>
      <w:r w:rsidRPr="00EA091D">
        <w:rPr>
          <w:lang w:val="es-ES_tradnl"/>
        </w:rPr>
        <w:tab/>
      </w:r>
      <w:r w:rsidRPr="00EA091D">
        <w:rPr>
          <w:color w:val="000000"/>
          <w:lang w:val="es-ES_tradnl"/>
        </w:rPr>
        <w:t>Véanse las Reglas de Procedimiento relativas al número </w:t>
      </w:r>
      <w:r w:rsidRPr="00EA091D">
        <w:rPr>
          <w:rStyle w:val="Artref"/>
          <w:b/>
          <w:bCs/>
          <w:color w:val="000000"/>
          <w:lang w:val="es-ES_tradnl"/>
        </w:rPr>
        <w:t>21.14</w:t>
      </w:r>
      <w:r w:rsidRPr="00EA091D">
        <w:rPr>
          <w:rStyle w:val="Artref"/>
          <w:color w:val="000000"/>
          <w:lang w:val="es-ES_tradnl"/>
        </w:rPr>
        <w:t>.</w:t>
      </w:r>
    </w:p>
  </w:footnote>
  <w:footnote w:id="3">
    <w:p w14:paraId="24929448" w14:textId="77777777" w:rsidR="00B422C2" w:rsidRPr="00EA091D" w:rsidRDefault="00B422C2" w:rsidP="00B422C2">
      <w:pPr>
        <w:pStyle w:val="FootnoteText"/>
        <w:rPr>
          <w:lang w:val="es-ES_tradnl"/>
        </w:rPr>
      </w:pPr>
      <w:r w:rsidRPr="00EA091D">
        <w:rPr>
          <w:rStyle w:val="FootnoteReference"/>
          <w:lang w:val="es-ES_tradnl"/>
        </w:rPr>
        <w:t>3</w:t>
      </w:r>
      <w:r w:rsidRPr="00EA091D">
        <w:rPr>
          <w:lang w:val="es-ES_tradnl"/>
        </w:rPr>
        <w:tab/>
        <w:t xml:space="preserve">Para una solicitud de un nuevo Estado Miembro recibida antes del 17 de noviembre de 2007 se aplicará una sola inscripción de 25 dB y un valor combinado de </w:t>
      </w:r>
      <w:r w:rsidRPr="00EA091D">
        <w:rPr>
          <w:i/>
          <w:iCs/>
          <w:lang w:val="es-ES_tradnl"/>
        </w:rPr>
        <w:t>C</w:t>
      </w:r>
      <w:r w:rsidRPr="00EA091D">
        <w:rPr>
          <w:lang w:val="es-ES_tradnl"/>
        </w:rPr>
        <w:t>/</w:t>
      </w:r>
      <w:r w:rsidRPr="00EA091D">
        <w:rPr>
          <w:i/>
          <w:iCs/>
          <w:lang w:val="es-ES_tradnl"/>
        </w:rPr>
        <w:t>I</w:t>
      </w:r>
      <w:r w:rsidRPr="00EA091D">
        <w:rPr>
          <w:lang w:val="es-ES_tradnl"/>
        </w:rPr>
        <w:t xml:space="preserve"> de 21 dB.</w:t>
      </w:r>
    </w:p>
  </w:footnote>
  <w:footnote w:id="4">
    <w:p w14:paraId="491116A4" w14:textId="3617EF8E" w:rsidR="003579AB" w:rsidRPr="002F4903" w:rsidRDefault="003579AB" w:rsidP="003579AB">
      <w:pPr>
        <w:pStyle w:val="FootnoteText"/>
        <w:rPr>
          <w:szCs w:val="24"/>
          <w:lang w:val="es-ES_tradnl"/>
        </w:rPr>
      </w:pPr>
      <w:r w:rsidRPr="002F4903">
        <w:rPr>
          <w:rStyle w:val="FootnoteReference"/>
          <w:lang w:val="es-ES_tradnl"/>
        </w:rPr>
        <w:t>4</w:t>
      </w:r>
      <w:r w:rsidRPr="002F4903">
        <w:rPr>
          <w:szCs w:val="24"/>
          <w:lang w:val="es-ES_tradnl"/>
        </w:rPr>
        <w:tab/>
        <w:t>La zona de servicio se cubre regularmente por una retícula de puntos</w:t>
      </w:r>
      <w:r w:rsidRPr="00186B30">
        <w:rPr>
          <w:lang w:val="es-ES"/>
        </w:rPr>
        <w:t xml:space="preserve"> </w:t>
      </w:r>
      <w:r w:rsidRPr="002F4903">
        <w:rPr>
          <w:szCs w:val="24"/>
          <w:lang w:val="es-ES_tradnl"/>
        </w:rPr>
        <w:t>situados en tierra y dentro de la zona de servicio.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1696D" w14:paraId="09ED4F95"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A3FA77D" w14:textId="77777777" w:rsidR="0061696D" w:rsidRDefault="0061696D">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7095ED2" w14:textId="510E29E6" w:rsidR="0061696D" w:rsidRDefault="00767FCD">
          <w:pPr>
            <w:pStyle w:val="HeaderRegProc"/>
            <w:rPr>
              <w:lang w:val="fr-FR"/>
            </w:rPr>
          </w:pPr>
          <w:fldSimple w:instr=" DOCPROPERTY &quot;Header1&quot; \* MERGEFORMAT ">
            <w:r w:rsidR="00C86803">
              <w:t>AP</w:t>
            </w:r>
          </w:fldSimple>
          <w:r w:rsidR="0061696D">
            <w:t>30B</w:t>
          </w:r>
        </w:p>
      </w:tc>
      <w:tc>
        <w:tcPr>
          <w:tcW w:w="1701" w:type="dxa"/>
          <w:tcBorders>
            <w:top w:val="single" w:sz="6" w:space="0" w:color="auto"/>
            <w:left w:val="single" w:sz="6" w:space="0" w:color="auto"/>
            <w:bottom w:val="single" w:sz="6" w:space="0" w:color="auto"/>
            <w:right w:val="single" w:sz="6" w:space="0" w:color="auto"/>
          </w:tcBorders>
        </w:tcPr>
        <w:p w14:paraId="2D877429" w14:textId="77777777" w:rsidR="0061696D" w:rsidRDefault="0061696D">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0800284" w14:textId="627CB834" w:rsidR="0061696D" w:rsidRDefault="0061696D" w:rsidP="006E37C2">
          <w:pPr>
            <w:pStyle w:val="HeaderRegProc"/>
            <w:rPr>
              <w:lang w:val="fr-CH"/>
            </w:rPr>
          </w:pPr>
          <w:r>
            <w:rPr>
              <w:lang w:val="fr-CH"/>
            </w:rPr>
            <w:t>rev.</w:t>
          </w:r>
          <w:r>
            <w:t xml:space="preserve"> </w:t>
          </w:r>
          <w:r w:rsidR="001D3C95">
            <w:t>6</w:t>
          </w:r>
        </w:p>
      </w:tc>
    </w:tr>
  </w:tbl>
  <w:p w14:paraId="7012C17F" w14:textId="77777777" w:rsidR="0061696D" w:rsidRDefault="0061696D">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29A2BB8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6DB6F9B"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B556BA5" w14:textId="6452B67A" w:rsidR="00C73395" w:rsidRDefault="00C06EA0">
          <w:pPr>
            <w:pStyle w:val="HeaderRegProc"/>
            <w:rPr>
              <w:lang w:val="fr-FR"/>
            </w:rPr>
          </w:pPr>
          <w:r>
            <w:fldChar w:fldCharType="begin"/>
          </w:r>
          <w:r>
            <w:instrText xml:space="preserve"> DOCPROPERTY "Header1" \* MERGEFORMAT </w:instrText>
          </w:r>
          <w:r>
            <w:fldChar w:fldCharType="separate"/>
          </w:r>
          <w:r w:rsidR="00C86803">
            <w:t>AP</w:t>
          </w:r>
          <w:r>
            <w:fldChar w:fldCharType="end"/>
          </w:r>
          <w:r w:rsidR="00C73395">
            <w:t>30B</w:t>
          </w:r>
        </w:p>
      </w:tc>
      <w:tc>
        <w:tcPr>
          <w:tcW w:w="1701" w:type="dxa"/>
          <w:tcBorders>
            <w:top w:val="single" w:sz="6" w:space="0" w:color="auto"/>
            <w:left w:val="single" w:sz="6" w:space="0" w:color="auto"/>
            <w:bottom w:val="single" w:sz="6" w:space="0" w:color="auto"/>
            <w:right w:val="single" w:sz="6" w:space="0" w:color="auto"/>
          </w:tcBorders>
        </w:tcPr>
        <w:p w14:paraId="370F66B8" w14:textId="77777777" w:rsidR="00C73395" w:rsidRDefault="00C7339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4E46926" w14:textId="68420067" w:rsidR="00C73395" w:rsidRDefault="00C73395" w:rsidP="006E37C2">
          <w:pPr>
            <w:pStyle w:val="HeaderRegProc"/>
            <w:rPr>
              <w:lang w:val="fr-CH"/>
            </w:rPr>
          </w:pPr>
          <w:proofErr w:type="gramStart"/>
          <w:r>
            <w:rPr>
              <w:lang w:val="fr-CH"/>
            </w:rPr>
            <w:t>rev</w:t>
          </w:r>
          <w:proofErr w:type="gramEnd"/>
          <w:r>
            <w:rPr>
              <w:lang w:val="fr-CH"/>
            </w:rPr>
            <w:t>.</w:t>
          </w:r>
          <w:r w:rsidR="002F4903">
            <w:t>7</w:t>
          </w:r>
        </w:p>
      </w:tc>
    </w:tr>
  </w:tbl>
  <w:p w14:paraId="630048DC" w14:textId="77777777" w:rsidR="00C73395" w:rsidRDefault="00C73395">
    <w:pPr>
      <w:rPr>
        <w:lang w:val="fr-CH"/>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73395" w14:paraId="3E329566"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513F1298" w14:textId="77777777" w:rsidR="00C73395" w:rsidRDefault="00C73395">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7BB9231D" w14:textId="37384E7A" w:rsidR="00C73395" w:rsidRDefault="00C06EA0">
          <w:pPr>
            <w:pStyle w:val="HeaderRegProc"/>
            <w:rPr>
              <w:lang w:val="fr-FR"/>
            </w:rPr>
          </w:pPr>
          <w:r>
            <w:fldChar w:fldCharType="begin"/>
          </w:r>
          <w:r>
            <w:instrText xml:space="preserve"> DOCPROPERTY "Header1" \* MERGEFORMAT </w:instrText>
          </w:r>
          <w:r>
            <w:fldChar w:fldCharType="separate"/>
          </w:r>
          <w:r w:rsidR="00C86803">
            <w:t>AP</w:t>
          </w:r>
          <w:r>
            <w:fldChar w:fldCharType="end"/>
          </w:r>
          <w:r w:rsidR="00C73395">
            <w:t>30B</w:t>
          </w:r>
        </w:p>
      </w:tc>
      <w:tc>
        <w:tcPr>
          <w:tcW w:w="1701" w:type="dxa"/>
          <w:tcBorders>
            <w:top w:val="single" w:sz="6" w:space="0" w:color="auto"/>
            <w:left w:val="single" w:sz="6" w:space="0" w:color="auto"/>
            <w:bottom w:val="single" w:sz="6" w:space="0" w:color="auto"/>
            <w:right w:val="single" w:sz="6" w:space="0" w:color="auto"/>
          </w:tcBorders>
        </w:tcPr>
        <w:p w14:paraId="0884FDD5" w14:textId="77777777" w:rsidR="00C73395" w:rsidRDefault="00C73395">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10A963D" w14:textId="6CA4B01E" w:rsidR="00C73395" w:rsidRPr="0049336B" w:rsidRDefault="00C73395" w:rsidP="006E37C2">
          <w:pPr>
            <w:pStyle w:val="HeaderRegProc"/>
            <w:rPr>
              <w:lang w:val="es-ES_tradnl"/>
            </w:rPr>
          </w:pPr>
          <w:r>
            <w:rPr>
              <w:lang w:val="fr-CH"/>
            </w:rPr>
            <w:t>rev.</w:t>
          </w:r>
          <w:r>
            <w:rPr>
              <w:lang w:val="es-ES_tradnl"/>
            </w:rPr>
            <w:t xml:space="preserve"> 6</w:t>
          </w:r>
        </w:p>
      </w:tc>
    </w:tr>
  </w:tbl>
  <w:p w14:paraId="359A51FB" w14:textId="77777777" w:rsidR="00C73395" w:rsidRDefault="00C73395">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155004" w14:textId="77777777" w:rsidR="00C84F13" w:rsidRDefault="00C84F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78190E" w14:paraId="1482EE5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A408DAB" w14:textId="77777777" w:rsidR="0078190E" w:rsidRDefault="0078190E">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69878B05" w14:textId="33B22FF7" w:rsidR="0078190E" w:rsidRDefault="00C06EA0">
          <w:pPr>
            <w:pStyle w:val="HeaderRegProc"/>
            <w:rPr>
              <w:lang w:val="fr-FR"/>
            </w:rPr>
          </w:pPr>
          <w:r>
            <w:fldChar w:fldCharType="begin"/>
          </w:r>
          <w:r>
            <w:instrText xml:space="preserve"> DOCPROPERTY "Header1" \* MERGEFORMAT </w:instrText>
          </w:r>
          <w:r>
            <w:fldChar w:fldCharType="separate"/>
          </w:r>
          <w:r w:rsidR="00C86803">
            <w:t>AP</w:t>
          </w:r>
          <w:r>
            <w:fldChar w:fldCharType="end"/>
          </w:r>
          <w:r w:rsidR="0078190E">
            <w:t>30B</w:t>
          </w:r>
        </w:p>
      </w:tc>
      <w:tc>
        <w:tcPr>
          <w:tcW w:w="1701" w:type="dxa"/>
          <w:tcBorders>
            <w:top w:val="single" w:sz="6" w:space="0" w:color="auto"/>
            <w:left w:val="single" w:sz="6" w:space="0" w:color="auto"/>
            <w:bottom w:val="single" w:sz="6" w:space="0" w:color="auto"/>
            <w:right w:val="single" w:sz="6" w:space="0" w:color="auto"/>
          </w:tcBorders>
        </w:tcPr>
        <w:p w14:paraId="0FED3DF9" w14:textId="77777777" w:rsidR="0078190E" w:rsidRDefault="0078190E">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sidR="006D6A1C">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B6F364D" w14:textId="77777777" w:rsidR="0078190E" w:rsidRPr="0049336B" w:rsidRDefault="0078190E" w:rsidP="006E37C2">
          <w:pPr>
            <w:pStyle w:val="HeaderRegProc"/>
            <w:rPr>
              <w:lang w:val="es-ES_tradnl"/>
            </w:rPr>
          </w:pPr>
          <w:r>
            <w:rPr>
              <w:lang w:val="fr-CH"/>
            </w:rPr>
            <w:t>rev.</w:t>
          </w:r>
          <w:r>
            <w:rPr>
              <w:lang w:val="es-ES_tradnl"/>
            </w:rPr>
            <w:t xml:space="preserve"> </w:t>
          </w:r>
          <w:r w:rsidR="006E37C2">
            <w:rPr>
              <w:lang w:val="es-ES_tradnl"/>
            </w:rPr>
            <w:t>-</w:t>
          </w:r>
        </w:p>
      </w:tc>
    </w:tr>
  </w:tbl>
  <w:p w14:paraId="7DFDFBDB" w14:textId="77777777" w:rsidR="0078190E" w:rsidRDefault="00781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6B9585A3" w14:textId="77777777">
      <w:trPr>
        <w:cantSplit/>
      </w:trPr>
      <w:tc>
        <w:tcPr>
          <w:tcW w:w="1701" w:type="dxa"/>
          <w:tcBorders>
            <w:top w:val="single" w:sz="6" w:space="0" w:color="auto"/>
            <w:left w:val="single" w:sz="6" w:space="0" w:color="auto"/>
            <w:bottom w:val="single" w:sz="6" w:space="0" w:color="auto"/>
            <w:right w:val="single" w:sz="6" w:space="0" w:color="auto"/>
          </w:tcBorders>
        </w:tcPr>
        <w:p w14:paraId="02C19A7F"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850AFB6" w14:textId="14498983" w:rsidR="00976636" w:rsidRDefault="00C06EA0">
          <w:pPr>
            <w:pStyle w:val="HeaderRegProc"/>
            <w:rPr>
              <w:lang w:val="fr-FR"/>
            </w:rPr>
          </w:pPr>
          <w:r>
            <w:fldChar w:fldCharType="begin"/>
          </w:r>
          <w:r>
            <w:instrText xml:space="preserve"> DOCPROPERTY "Header1" \* MERGEFORMAT </w:instrText>
          </w:r>
          <w:r>
            <w:fldChar w:fldCharType="separate"/>
          </w:r>
          <w:r w:rsidR="00C86803">
            <w:t>AP</w:t>
          </w:r>
          <w:r>
            <w:fldChar w:fldCharType="end"/>
          </w:r>
          <w:r w:rsidR="00976636">
            <w:t>30B</w:t>
          </w:r>
        </w:p>
      </w:tc>
      <w:tc>
        <w:tcPr>
          <w:tcW w:w="1701" w:type="dxa"/>
          <w:tcBorders>
            <w:top w:val="single" w:sz="6" w:space="0" w:color="auto"/>
            <w:left w:val="single" w:sz="6" w:space="0" w:color="auto"/>
            <w:bottom w:val="single" w:sz="6" w:space="0" w:color="auto"/>
            <w:right w:val="single" w:sz="6" w:space="0" w:color="auto"/>
          </w:tcBorders>
        </w:tcPr>
        <w:p w14:paraId="2A71AE17" w14:textId="77777777" w:rsidR="00976636" w:rsidRDefault="0097663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6307215" w14:textId="0F639FC3" w:rsidR="00976636" w:rsidRDefault="00976636" w:rsidP="006E37C2">
          <w:pPr>
            <w:pStyle w:val="HeaderRegProc"/>
            <w:rPr>
              <w:lang w:val="fr-CH"/>
            </w:rPr>
          </w:pPr>
          <w:r>
            <w:rPr>
              <w:lang w:val="fr-CH"/>
            </w:rPr>
            <w:t>rev.</w:t>
          </w:r>
          <w:r>
            <w:t xml:space="preserve"> -</w:t>
          </w:r>
        </w:p>
      </w:tc>
    </w:tr>
  </w:tbl>
  <w:p w14:paraId="6234C1A3" w14:textId="77777777" w:rsidR="00976636" w:rsidRDefault="00976636">
    <w:pPr>
      <w:rPr>
        <w:lang w:val="fr-C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4B7A5A63"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995FD45"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2A22071A" w14:textId="328A019F" w:rsidR="00976636" w:rsidRDefault="00C06EA0">
          <w:pPr>
            <w:pStyle w:val="HeaderRegProc"/>
            <w:rPr>
              <w:lang w:val="fr-FR"/>
            </w:rPr>
          </w:pPr>
          <w:r>
            <w:fldChar w:fldCharType="begin"/>
          </w:r>
          <w:r>
            <w:instrText xml:space="preserve"> DOCPROPERTY "Header1" \* MERGEFORMAT </w:instrText>
          </w:r>
          <w:r>
            <w:fldChar w:fldCharType="separate"/>
          </w:r>
          <w:r w:rsidR="00C86803">
            <w:t>AP</w:t>
          </w:r>
          <w:r>
            <w:fldChar w:fldCharType="end"/>
          </w:r>
          <w:r w:rsidR="00976636">
            <w:t>30B</w:t>
          </w:r>
        </w:p>
      </w:tc>
      <w:tc>
        <w:tcPr>
          <w:tcW w:w="1701" w:type="dxa"/>
          <w:tcBorders>
            <w:top w:val="single" w:sz="6" w:space="0" w:color="auto"/>
            <w:left w:val="single" w:sz="6" w:space="0" w:color="auto"/>
            <w:bottom w:val="single" w:sz="6" w:space="0" w:color="auto"/>
            <w:right w:val="single" w:sz="6" w:space="0" w:color="auto"/>
          </w:tcBorders>
        </w:tcPr>
        <w:p w14:paraId="76772B69" w14:textId="77777777" w:rsidR="00976636" w:rsidRDefault="0097663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4C95979" w14:textId="108196EE" w:rsidR="00976636" w:rsidRPr="0049336B" w:rsidRDefault="00976636" w:rsidP="006E37C2">
          <w:pPr>
            <w:pStyle w:val="HeaderRegProc"/>
            <w:rPr>
              <w:lang w:val="es-ES_tradnl"/>
            </w:rPr>
          </w:pPr>
          <w:r>
            <w:rPr>
              <w:lang w:val="fr-CH"/>
            </w:rPr>
            <w:t>rev.</w:t>
          </w:r>
          <w:r>
            <w:rPr>
              <w:lang w:val="es-ES_tradnl"/>
            </w:rPr>
            <w:t xml:space="preserve"> 6</w:t>
          </w:r>
        </w:p>
      </w:tc>
    </w:tr>
  </w:tbl>
  <w:p w14:paraId="2FEA633B" w14:textId="77777777" w:rsidR="00976636" w:rsidRDefault="009766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7CF56FDA" w14:textId="77777777">
      <w:trPr>
        <w:cantSplit/>
      </w:trPr>
      <w:tc>
        <w:tcPr>
          <w:tcW w:w="1701" w:type="dxa"/>
          <w:tcBorders>
            <w:top w:val="single" w:sz="6" w:space="0" w:color="auto"/>
            <w:left w:val="single" w:sz="6" w:space="0" w:color="auto"/>
            <w:bottom w:val="single" w:sz="6" w:space="0" w:color="auto"/>
            <w:right w:val="single" w:sz="6" w:space="0" w:color="auto"/>
          </w:tcBorders>
        </w:tcPr>
        <w:p w14:paraId="5A262490"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4559A5B" w14:textId="3A397C3D" w:rsidR="00976636" w:rsidRDefault="00C06EA0">
          <w:pPr>
            <w:pStyle w:val="HeaderRegProc"/>
            <w:rPr>
              <w:lang w:val="fr-FR"/>
            </w:rPr>
          </w:pPr>
          <w:r>
            <w:fldChar w:fldCharType="begin"/>
          </w:r>
          <w:r>
            <w:instrText xml:space="preserve"> DOCPROPERTY "Header1" \* MERGEFORMAT </w:instrText>
          </w:r>
          <w:r>
            <w:fldChar w:fldCharType="separate"/>
          </w:r>
          <w:r w:rsidR="00C86803">
            <w:t>AP</w:t>
          </w:r>
          <w:r>
            <w:fldChar w:fldCharType="end"/>
          </w:r>
          <w:r w:rsidR="00976636">
            <w:t>30B</w:t>
          </w:r>
        </w:p>
      </w:tc>
      <w:tc>
        <w:tcPr>
          <w:tcW w:w="1701" w:type="dxa"/>
          <w:tcBorders>
            <w:top w:val="single" w:sz="6" w:space="0" w:color="auto"/>
            <w:left w:val="single" w:sz="6" w:space="0" w:color="auto"/>
            <w:bottom w:val="single" w:sz="6" w:space="0" w:color="auto"/>
            <w:right w:val="single" w:sz="6" w:space="0" w:color="auto"/>
          </w:tcBorders>
        </w:tcPr>
        <w:p w14:paraId="630F5A11" w14:textId="77777777" w:rsidR="00976636" w:rsidRDefault="0097663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EFF232D" w14:textId="5C27C266" w:rsidR="00976636" w:rsidRDefault="00976636" w:rsidP="006E37C2">
          <w:pPr>
            <w:pStyle w:val="HeaderRegProc"/>
            <w:rPr>
              <w:lang w:val="fr-CH"/>
            </w:rPr>
          </w:pPr>
          <w:r>
            <w:rPr>
              <w:lang w:val="fr-CH"/>
            </w:rPr>
            <w:t>rev.</w:t>
          </w:r>
          <w:r>
            <w:t xml:space="preserve"> </w:t>
          </w:r>
          <w:r w:rsidR="00C73395">
            <w:t>-</w:t>
          </w:r>
        </w:p>
      </w:tc>
    </w:tr>
  </w:tbl>
  <w:p w14:paraId="6ED0FDB9" w14:textId="77777777" w:rsidR="00976636" w:rsidRDefault="00976636">
    <w:pPr>
      <w:rPr>
        <w:lang w:val="fr-C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976636" w14:paraId="17C05AB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499F67D7" w14:textId="77777777" w:rsidR="00976636" w:rsidRDefault="0097663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35F8AA9" w14:textId="5EC61231" w:rsidR="00976636" w:rsidRDefault="00C06EA0">
          <w:pPr>
            <w:pStyle w:val="HeaderRegProc"/>
            <w:rPr>
              <w:lang w:val="fr-FR"/>
            </w:rPr>
          </w:pPr>
          <w:r>
            <w:fldChar w:fldCharType="begin"/>
          </w:r>
          <w:r>
            <w:instrText xml:space="preserve"> DOCPROPERTY "Header1" \* MERGEFORMAT </w:instrText>
          </w:r>
          <w:r>
            <w:fldChar w:fldCharType="separate"/>
          </w:r>
          <w:r w:rsidR="00C86803">
            <w:t>AP</w:t>
          </w:r>
          <w:r>
            <w:fldChar w:fldCharType="end"/>
          </w:r>
          <w:r w:rsidR="00976636">
            <w:t>30B</w:t>
          </w:r>
        </w:p>
      </w:tc>
      <w:tc>
        <w:tcPr>
          <w:tcW w:w="1701" w:type="dxa"/>
          <w:tcBorders>
            <w:top w:val="single" w:sz="6" w:space="0" w:color="auto"/>
            <w:left w:val="single" w:sz="6" w:space="0" w:color="auto"/>
            <w:bottom w:val="single" w:sz="6" w:space="0" w:color="auto"/>
            <w:right w:val="single" w:sz="6" w:space="0" w:color="auto"/>
          </w:tcBorders>
        </w:tcPr>
        <w:p w14:paraId="03573563" w14:textId="77777777" w:rsidR="00976636" w:rsidRDefault="00976636">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3A7CF16" w14:textId="6E5D36D9" w:rsidR="00976636" w:rsidRPr="0049336B" w:rsidRDefault="00976636" w:rsidP="006E37C2">
          <w:pPr>
            <w:pStyle w:val="HeaderRegProc"/>
            <w:rPr>
              <w:lang w:val="es-ES_tradnl"/>
            </w:rPr>
          </w:pPr>
          <w:r>
            <w:rPr>
              <w:lang w:val="fr-CH"/>
            </w:rPr>
            <w:t>rev.</w:t>
          </w:r>
          <w:r>
            <w:rPr>
              <w:lang w:val="es-ES_tradnl"/>
            </w:rPr>
            <w:t xml:space="preserve"> </w:t>
          </w:r>
          <w:r w:rsidR="00C73395">
            <w:rPr>
              <w:lang w:val="es-ES_tradnl"/>
            </w:rPr>
            <w:t>-</w:t>
          </w:r>
        </w:p>
      </w:tc>
    </w:tr>
  </w:tbl>
  <w:p w14:paraId="496491D1" w14:textId="77777777" w:rsidR="00976636" w:rsidRDefault="00976636">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4808B6" w14:paraId="7F9C6A61"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F99C52A" w14:textId="77777777" w:rsidR="004808B6" w:rsidRDefault="004808B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092DB341" w14:textId="05837DC0" w:rsidR="004808B6" w:rsidRDefault="00767FCD">
          <w:pPr>
            <w:pStyle w:val="HeaderRegProc"/>
            <w:rPr>
              <w:lang w:val="fr-FR"/>
            </w:rPr>
          </w:pPr>
          <w:fldSimple w:instr=" DOCPROPERTY &quot;Header1&quot; \* MERGEFORMAT ">
            <w:r w:rsidR="00C86803">
              <w:t>AP</w:t>
            </w:r>
          </w:fldSimple>
          <w:r w:rsidR="004808B6">
            <w:t>30B</w:t>
          </w:r>
        </w:p>
      </w:tc>
      <w:tc>
        <w:tcPr>
          <w:tcW w:w="1701" w:type="dxa"/>
          <w:tcBorders>
            <w:top w:val="single" w:sz="6" w:space="0" w:color="auto"/>
            <w:left w:val="single" w:sz="6" w:space="0" w:color="auto"/>
            <w:bottom w:val="single" w:sz="6" w:space="0" w:color="auto"/>
            <w:right w:val="single" w:sz="6" w:space="0" w:color="auto"/>
          </w:tcBorders>
        </w:tcPr>
        <w:p w14:paraId="394273AB" w14:textId="7865740E" w:rsidR="004808B6" w:rsidRDefault="004808B6">
          <w:pPr>
            <w:pStyle w:val="HeaderRegProc"/>
            <w:rPr>
              <w:lang w:val="fr-CH"/>
            </w:rPr>
          </w:pPr>
          <w:proofErr w:type="gramStart"/>
          <w:r>
            <w:rPr>
              <w:lang w:val="fr-FR"/>
            </w:rPr>
            <w:t>página</w:t>
          </w:r>
          <w:proofErr w:type="gramEnd"/>
          <w:r>
            <w:rPr>
              <w:lang w:val="fr-FR"/>
            </w:rPr>
            <w:t xml:space="preserve"> 8</w:t>
          </w:r>
          <w:r w:rsidRPr="004808B6">
            <w:rPr>
              <w:i/>
              <w:iCs/>
              <w:lang w:val="fr-FR"/>
            </w:rPr>
            <w:t>ter</w:t>
          </w:r>
        </w:p>
      </w:tc>
      <w:tc>
        <w:tcPr>
          <w:tcW w:w="1701" w:type="dxa"/>
          <w:tcBorders>
            <w:top w:val="single" w:sz="6" w:space="0" w:color="auto"/>
            <w:left w:val="single" w:sz="6" w:space="0" w:color="auto"/>
            <w:bottom w:val="single" w:sz="6" w:space="0" w:color="auto"/>
            <w:right w:val="single" w:sz="6" w:space="0" w:color="auto"/>
          </w:tcBorders>
        </w:tcPr>
        <w:p w14:paraId="455C43A8" w14:textId="2517F9E1" w:rsidR="004808B6" w:rsidRDefault="004808B6" w:rsidP="006E37C2">
          <w:pPr>
            <w:pStyle w:val="HeaderRegProc"/>
            <w:rPr>
              <w:lang w:val="fr-CH"/>
            </w:rPr>
          </w:pPr>
          <w:proofErr w:type="gramStart"/>
          <w:r>
            <w:rPr>
              <w:lang w:val="fr-CH"/>
            </w:rPr>
            <w:t>rev</w:t>
          </w:r>
          <w:proofErr w:type="gramEnd"/>
          <w:r>
            <w:rPr>
              <w:lang w:val="fr-CH"/>
            </w:rPr>
            <w:t>.</w:t>
          </w:r>
          <w:r>
            <w:t>7</w:t>
          </w:r>
        </w:p>
      </w:tc>
    </w:tr>
  </w:tbl>
  <w:p w14:paraId="2EAA1016" w14:textId="77777777" w:rsidR="004808B6" w:rsidRDefault="004808B6">
    <w:pPr>
      <w:rPr>
        <w:lang w:val="fr-CH"/>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8901CB" w14:paraId="2490537E"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8F8F07E" w14:textId="77777777" w:rsidR="008901CB" w:rsidRDefault="008901CB">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12EDC07" w14:textId="4D578916" w:rsidR="008901CB" w:rsidRDefault="00767FCD">
          <w:pPr>
            <w:pStyle w:val="HeaderRegProc"/>
            <w:rPr>
              <w:lang w:val="fr-FR"/>
            </w:rPr>
          </w:pPr>
          <w:fldSimple w:instr=" DOCPROPERTY &quot;Header1&quot; \* MERGEFORMAT ">
            <w:r w:rsidR="00C86803">
              <w:t>AP</w:t>
            </w:r>
          </w:fldSimple>
          <w:r w:rsidR="008901CB">
            <w:t>30B</w:t>
          </w:r>
        </w:p>
      </w:tc>
      <w:tc>
        <w:tcPr>
          <w:tcW w:w="1701" w:type="dxa"/>
          <w:tcBorders>
            <w:top w:val="single" w:sz="6" w:space="0" w:color="auto"/>
            <w:left w:val="single" w:sz="6" w:space="0" w:color="auto"/>
            <w:bottom w:val="single" w:sz="6" w:space="0" w:color="auto"/>
            <w:right w:val="single" w:sz="6" w:space="0" w:color="auto"/>
          </w:tcBorders>
        </w:tcPr>
        <w:p w14:paraId="3DBBD29B" w14:textId="1CF086AF" w:rsidR="008901CB" w:rsidRDefault="008901CB">
          <w:pPr>
            <w:pStyle w:val="HeaderRegProc"/>
            <w:rPr>
              <w:lang w:val="fr-CH"/>
            </w:rPr>
          </w:pPr>
          <w:proofErr w:type="gramStart"/>
          <w:r>
            <w:rPr>
              <w:lang w:val="fr-FR"/>
            </w:rPr>
            <w:t>página</w:t>
          </w:r>
          <w:proofErr w:type="gramEnd"/>
          <w:r>
            <w:rPr>
              <w:lang w:val="fr-FR"/>
            </w:rPr>
            <w:t xml:space="preserve"> </w:t>
          </w:r>
          <w:r>
            <w:rPr>
              <w:rStyle w:val="PageNumber"/>
            </w:rPr>
            <w:t>8</w:t>
          </w:r>
          <w:r w:rsidRPr="008901CB">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14:paraId="698B6AE2" w14:textId="0616A8AA" w:rsidR="008901CB" w:rsidRPr="0049336B" w:rsidRDefault="008901CB" w:rsidP="006E37C2">
          <w:pPr>
            <w:pStyle w:val="HeaderRegProc"/>
            <w:rPr>
              <w:lang w:val="es-ES_tradnl"/>
            </w:rPr>
          </w:pPr>
          <w:proofErr w:type="gramStart"/>
          <w:r>
            <w:rPr>
              <w:lang w:val="fr-CH"/>
            </w:rPr>
            <w:t>rev</w:t>
          </w:r>
          <w:proofErr w:type="gramEnd"/>
          <w:r>
            <w:rPr>
              <w:lang w:val="fr-CH"/>
            </w:rPr>
            <w:t>.</w:t>
          </w:r>
          <w:r>
            <w:rPr>
              <w:lang w:val="es-ES_tradnl"/>
            </w:rPr>
            <w:t>7</w:t>
          </w:r>
        </w:p>
      </w:tc>
    </w:tr>
  </w:tbl>
  <w:p w14:paraId="4FDFD81F" w14:textId="77777777" w:rsidR="008901CB" w:rsidRDefault="008901C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808B6" w14:paraId="3F0BEF10"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98EE2CE" w14:textId="77777777" w:rsidR="004808B6" w:rsidRDefault="004808B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99FB468" w14:textId="6473958D" w:rsidR="004808B6" w:rsidRDefault="00767FCD">
          <w:pPr>
            <w:pStyle w:val="HeaderRegProc"/>
            <w:rPr>
              <w:lang w:val="fr-FR"/>
            </w:rPr>
          </w:pPr>
          <w:fldSimple w:instr=" DOCPROPERTY &quot;Header1&quot; \* MERGEFORMAT ">
            <w:r w:rsidR="00C86803">
              <w:t>AP</w:t>
            </w:r>
          </w:fldSimple>
          <w:r w:rsidR="004808B6">
            <w:t>30B</w:t>
          </w:r>
        </w:p>
      </w:tc>
      <w:tc>
        <w:tcPr>
          <w:tcW w:w="1701" w:type="dxa"/>
          <w:tcBorders>
            <w:top w:val="single" w:sz="6" w:space="0" w:color="auto"/>
            <w:left w:val="single" w:sz="6" w:space="0" w:color="auto"/>
            <w:bottom w:val="single" w:sz="6" w:space="0" w:color="auto"/>
            <w:right w:val="single" w:sz="6" w:space="0" w:color="auto"/>
          </w:tcBorders>
        </w:tcPr>
        <w:p w14:paraId="1ED8BCC5" w14:textId="6FACF92D" w:rsidR="004808B6" w:rsidRDefault="004808B6">
          <w:pPr>
            <w:pStyle w:val="HeaderRegProc"/>
            <w:rPr>
              <w:lang w:val="fr-CH"/>
            </w:rPr>
          </w:pPr>
          <w:proofErr w:type="gramStart"/>
          <w:r>
            <w:rPr>
              <w:lang w:val="fr-FR"/>
            </w:rPr>
            <w:t>página</w:t>
          </w:r>
          <w:proofErr w:type="gramEnd"/>
          <w:r>
            <w:rPr>
              <w:lang w:val="fr-FR"/>
            </w:rPr>
            <w:t xml:space="preserve"> </w:t>
          </w:r>
          <w:r>
            <w:rPr>
              <w:rStyle w:val="PageNumber"/>
            </w:rPr>
            <w:t>8</w:t>
          </w:r>
          <w:r>
            <w:rPr>
              <w:rStyle w:val="PageNumber"/>
              <w:i/>
              <w:iCs/>
            </w:rPr>
            <w:t>quater</w:t>
          </w:r>
        </w:p>
      </w:tc>
      <w:tc>
        <w:tcPr>
          <w:tcW w:w="1701" w:type="dxa"/>
          <w:tcBorders>
            <w:top w:val="single" w:sz="6" w:space="0" w:color="auto"/>
            <w:left w:val="single" w:sz="6" w:space="0" w:color="auto"/>
            <w:bottom w:val="single" w:sz="6" w:space="0" w:color="auto"/>
            <w:right w:val="single" w:sz="6" w:space="0" w:color="auto"/>
          </w:tcBorders>
        </w:tcPr>
        <w:p w14:paraId="7BCE93E0" w14:textId="77777777" w:rsidR="004808B6" w:rsidRPr="0049336B" w:rsidRDefault="004808B6" w:rsidP="006E37C2">
          <w:pPr>
            <w:pStyle w:val="HeaderRegProc"/>
            <w:rPr>
              <w:lang w:val="es-ES_tradnl"/>
            </w:rPr>
          </w:pPr>
          <w:proofErr w:type="gramStart"/>
          <w:r>
            <w:rPr>
              <w:lang w:val="fr-CH"/>
            </w:rPr>
            <w:t>rev</w:t>
          </w:r>
          <w:proofErr w:type="gramEnd"/>
          <w:r>
            <w:rPr>
              <w:lang w:val="fr-CH"/>
            </w:rPr>
            <w:t>.</w:t>
          </w:r>
          <w:r>
            <w:rPr>
              <w:lang w:val="es-ES_tradnl"/>
            </w:rPr>
            <w:t>7</w:t>
          </w:r>
        </w:p>
      </w:tc>
    </w:tr>
  </w:tbl>
  <w:p w14:paraId="47DF07DD" w14:textId="77777777" w:rsidR="004808B6" w:rsidRDefault="00480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1EAA8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EA9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90CFC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862DE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10CD3B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F0D2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98C5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5C32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73CD85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67E70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412A2C51"/>
    <w:multiLevelType w:val="hybridMultilevel"/>
    <w:tmpl w:val="6658B90A"/>
    <w:lvl w:ilvl="0" w:tplc="EEF60508">
      <w:start w:val="2"/>
      <w:numFmt w:val="decimal"/>
      <w:lvlText w:val="%1"/>
      <w:lvlJc w:val="left"/>
      <w:pPr>
        <w:tabs>
          <w:tab w:val="num" w:pos="1155"/>
        </w:tabs>
        <w:ind w:left="1155" w:hanging="7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2626C83"/>
    <w:multiLevelType w:val="hybridMultilevel"/>
    <w:tmpl w:val="2A4AB9D6"/>
    <w:lvl w:ilvl="0" w:tplc="16D0B31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2225"/>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1385B"/>
    <w:rsid w:val="00006CD2"/>
    <w:rsid w:val="0003469D"/>
    <w:rsid w:val="000359A6"/>
    <w:rsid w:val="00066E8B"/>
    <w:rsid w:val="00073492"/>
    <w:rsid w:val="0008089F"/>
    <w:rsid w:val="000A2320"/>
    <w:rsid w:val="000A36FB"/>
    <w:rsid w:val="000A4244"/>
    <w:rsid w:val="000F35C8"/>
    <w:rsid w:val="00110658"/>
    <w:rsid w:val="00116E67"/>
    <w:rsid w:val="001172DB"/>
    <w:rsid w:val="00145910"/>
    <w:rsid w:val="00160FE2"/>
    <w:rsid w:val="00173891"/>
    <w:rsid w:val="00192C9F"/>
    <w:rsid w:val="001C2E91"/>
    <w:rsid w:val="001D3C95"/>
    <w:rsid w:val="001D7461"/>
    <w:rsid w:val="001E6897"/>
    <w:rsid w:val="002143C0"/>
    <w:rsid w:val="00220D51"/>
    <w:rsid w:val="0025305A"/>
    <w:rsid w:val="00255E0E"/>
    <w:rsid w:val="00273136"/>
    <w:rsid w:val="00283A05"/>
    <w:rsid w:val="00293983"/>
    <w:rsid w:val="00295F35"/>
    <w:rsid w:val="002A085A"/>
    <w:rsid w:val="002A3001"/>
    <w:rsid w:val="002A5F06"/>
    <w:rsid w:val="002C1512"/>
    <w:rsid w:val="002D43F4"/>
    <w:rsid w:val="002D791A"/>
    <w:rsid w:val="002F4903"/>
    <w:rsid w:val="00312B40"/>
    <w:rsid w:val="00326380"/>
    <w:rsid w:val="00335005"/>
    <w:rsid w:val="003579AB"/>
    <w:rsid w:val="0036306F"/>
    <w:rsid w:val="00374BD4"/>
    <w:rsid w:val="00386926"/>
    <w:rsid w:val="004433A0"/>
    <w:rsid w:val="00465D59"/>
    <w:rsid w:val="0047741C"/>
    <w:rsid w:val="004808B6"/>
    <w:rsid w:val="0049336B"/>
    <w:rsid w:val="004A6EEB"/>
    <w:rsid w:val="004E44D8"/>
    <w:rsid w:val="00501A14"/>
    <w:rsid w:val="0051045C"/>
    <w:rsid w:val="00546F8F"/>
    <w:rsid w:val="005624B8"/>
    <w:rsid w:val="00571774"/>
    <w:rsid w:val="005D1C21"/>
    <w:rsid w:val="0061696D"/>
    <w:rsid w:val="00630EB4"/>
    <w:rsid w:val="00633F5A"/>
    <w:rsid w:val="00637D5F"/>
    <w:rsid w:val="00657DC0"/>
    <w:rsid w:val="006604A4"/>
    <w:rsid w:val="006637B3"/>
    <w:rsid w:val="00665D87"/>
    <w:rsid w:val="0066666B"/>
    <w:rsid w:val="006947A3"/>
    <w:rsid w:val="006A389C"/>
    <w:rsid w:val="006B420B"/>
    <w:rsid w:val="006D0FCA"/>
    <w:rsid w:val="006D6A1C"/>
    <w:rsid w:val="006E37C2"/>
    <w:rsid w:val="00753D03"/>
    <w:rsid w:val="00757881"/>
    <w:rsid w:val="007631EB"/>
    <w:rsid w:val="00767FCD"/>
    <w:rsid w:val="00777C85"/>
    <w:rsid w:val="0078190E"/>
    <w:rsid w:val="00784039"/>
    <w:rsid w:val="007939DD"/>
    <w:rsid w:val="007A34F1"/>
    <w:rsid w:val="007C55E0"/>
    <w:rsid w:val="007E640D"/>
    <w:rsid w:val="007F6CC6"/>
    <w:rsid w:val="00811FF8"/>
    <w:rsid w:val="008227FB"/>
    <w:rsid w:val="0086410F"/>
    <w:rsid w:val="00885E3A"/>
    <w:rsid w:val="008901CB"/>
    <w:rsid w:val="008E1EAF"/>
    <w:rsid w:val="00912D7F"/>
    <w:rsid w:val="00915F5F"/>
    <w:rsid w:val="00917FB4"/>
    <w:rsid w:val="009559A2"/>
    <w:rsid w:val="00964D3E"/>
    <w:rsid w:val="00976636"/>
    <w:rsid w:val="00982A54"/>
    <w:rsid w:val="0098468E"/>
    <w:rsid w:val="009A6D41"/>
    <w:rsid w:val="009E476A"/>
    <w:rsid w:val="009F2058"/>
    <w:rsid w:val="00A0135B"/>
    <w:rsid w:val="00A101FA"/>
    <w:rsid w:val="00A13F70"/>
    <w:rsid w:val="00A35712"/>
    <w:rsid w:val="00A411F8"/>
    <w:rsid w:val="00A634CD"/>
    <w:rsid w:val="00A91A9B"/>
    <w:rsid w:val="00AA355E"/>
    <w:rsid w:val="00AB0D24"/>
    <w:rsid w:val="00AB282C"/>
    <w:rsid w:val="00AB4547"/>
    <w:rsid w:val="00AC508C"/>
    <w:rsid w:val="00AD02C7"/>
    <w:rsid w:val="00AE7AF7"/>
    <w:rsid w:val="00B12D09"/>
    <w:rsid w:val="00B255C3"/>
    <w:rsid w:val="00B3762C"/>
    <w:rsid w:val="00B422C2"/>
    <w:rsid w:val="00BA1D06"/>
    <w:rsid w:val="00BE1855"/>
    <w:rsid w:val="00BF222C"/>
    <w:rsid w:val="00BF258E"/>
    <w:rsid w:val="00C06EA0"/>
    <w:rsid w:val="00C1385B"/>
    <w:rsid w:val="00C43255"/>
    <w:rsid w:val="00C47930"/>
    <w:rsid w:val="00C73395"/>
    <w:rsid w:val="00C81ACF"/>
    <w:rsid w:val="00C83311"/>
    <w:rsid w:val="00C84F13"/>
    <w:rsid w:val="00C86803"/>
    <w:rsid w:val="00CA68AE"/>
    <w:rsid w:val="00CB5776"/>
    <w:rsid w:val="00CC2736"/>
    <w:rsid w:val="00D13F8A"/>
    <w:rsid w:val="00D56540"/>
    <w:rsid w:val="00D64277"/>
    <w:rsid w:val="00D712A7"/>
    <w:rsid w:val="00DB18C6"/>
    <w:rsid w:val="00DC46FB"/>
    <w:rsid w:val="00DC52FF"/>
    <w:rsid w:val="00E0365F"/>
    <w:rsid w:val="00E07128"/>
    <w:rsid w:val="00E2158B"/>
    <w:rsid w:val="00E23E53"/>
    <w:rsid w:val="00E646D6"/>
    <w:rsid w:val="00E858D8"/>
    <w:rsid w:val="00E92092"/>
    <w:rsid w:val="00EA091D"/>
    <w:rsid w:val="00EE0523"/>
    <w:rsid w:val="00F15A61"/>
    <w:rsid w:val="00F15D85"/>
    <w:rsid w:val="00F303A2"/>
    <w:rsid w:val="00F545F2"/>
    <w:rsid w:val="00F7707E"/>
    <w:rsid w:val="00FA5983"/>
    <w:rsid w:val="00FC67B4"/>
    <w:rsid w:val="00FF4DC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14:docId w14:val="186401F6"/>
  <w15:docId w15:val="{3D6D1DC4-7A75-4A30-A240-CC58B4A63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3F5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rPr>
      <w:position w:val="6"/>
      <w:sz w:val="16"/>
    </w:rPr>
  </w:style>
  <w:style w:type="paragraph" w:styleId="FootnoteText">
    <w:name w:val="footnote text"/>
    <w:aliases w:val="footnote text"/>
    <w:basedOn w:val="Normal"/>
    <w:link w:val="FootnoteTextChar"/>
    <w:pPr>
      <w:tabs>
        <w:tab w:val="clear" w:pos="1134"/>
        <w:tab w:val="clear" w:pos="1871"/>
        <w:tab w:val="clear" w:pos="2268"/>
        <w:tab w:val="left" w:pos="284"/>
        <w:tab w:val="left" w:pos="1418"/>
      </w:tabs>
      <w:spacing w:before="60"/>
    </w:pPr>
    <w:rPr>
      <w:sz w:val="20"/>
    </w:rPr>
  </w:style>
  <w:style w:type="character" w:customStyle="1" w:styleId="FootnoteTextChar">
    <w:name w:val="Footnote Text Char"/>
    <w:aliases w:val="footnote text Char"/>
    <w:basedOn w:val="DefaultParagraphFont"/>
    <w:link w:val="FootnoteText"/>
    <w:rsid w:val="00C1385B"/>
    <w:rPr>
      <w:lang w:val="en-GB" w:eastAsia="en-US" w:bidi="ar-SA"/>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character" w:customStyle="1" w:styleId="enumlev1Char">
    <w:name w:val="enumlev1 Char"/>
    <w:basedOn w:val="DefaultParagraphFont"/>
    <w:link w:val="enumlev1"/>
    <w:rsid w:val="00465D59"/>
    <w:rPr>
      <w:sz w:val="24"/>
      <w:lang w:val="en-GB" w:eastAsia="en-US" w:bidi="ar-SA"/>
    </w:r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character" w:customStyle="1" w:styleId="TabletextChar">
    <w:name w:val="Table_text Char"/>
    <w:basedOn w:val="DefaultParagraphFont"/>
    <w:link w:val="Tabletext0"/>
    <w:rsid w:val="00D56540"/>
    <w:rPr>
      <w:sz w:val="22"/>
      <w:lang w:val="fr-FR" w:eastAsia="en-US" w:bidi="ar-SA"/>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paragraph" w:customStyle="1" w:styleId="AnnexNotitle">
    <w:name w:val="Annex_No &amp; title"/>
    <w:basedOn w:val="Normal"/>
    <w:next w:val="Normal"/>
    <w:rsid w:val="00665D87"/>
    <w:pPr>
      <w:keepNext/>
      <w:keepLines/>
      <w:tabs>
        <w:tab w:val="clear" w:pos="1134"/>
        <w:tab w:val="clear" w:pos="1871"/>
        <w:tab w:val="clear" w:pos="2268"/>
        <w:tab w:val="left" w:pos="794"/>
        <w:tab w:val="left" w:pos="1191"/>
        <w:tab w:val="left" w:pos="1588"/>
        <w:tab w:val="left" w:pos="1985"/>
      </w:tabs>
      <w:spacing w:before="480"/>
      <w:jc w:val="center"/>
    </w:pPr>
    <w:rPr>
      <w:b/>
      <w:sz w:val="28"/>
      <w:lang w:val="es-ES_tradnl"/>
    </w:rPr>
  </w:style>
  <w:style w:type="paragraph" w:customStyle="1" w:styleId="Proposal">
    <w:name w:val="Proposal"/>
    <w:basedOn w:val="Normal"/>
    <w:next w:val="Normal"/>
    <w:rsid w:val="00C81ACF"/>
    <w:pPr>
      <w:keepNext/>
      <w:spacing w:before="240"/>
      <w:jc w:val="left"/>
    </w:pPr>
    <w:rPr>
      <w:rFonts w:hAnsi="Times New Roman Bold"/>
    </w:rPr>
  </w:style>
  <w:style w:type="paragraph" w:customStyle="1" w:styleId="AppArttitle">
    <w:name w:val="App_Art_title"/>
    <w:basedOn w:val="Arttitle"/>
    <w:next w:val="Normal"/>
    <w:qFormat/>
    <w:rsid w:val="00C81ACF"/>
    <w:pPr>
      <w:tabs>
        <w:tab w:val="left" w:pos="1134"/>
        <w:tab w:val="left" w:pos="1871"/>
        <w:tab w:val="left" w:pos="2268"/>
      </w:tabs>
      <w:spacing w:before="240" w:after="0"/>
    </w:pPr>
    <w:rPr>
      <w:noProof w:val="0"/>
      <w:lang w:val="es-ES_tradnl"/>
    </w:rPr>
  </w:style>
  <w:style w:type="paragraph" w:customStyle="1" w:styleId="AnnexNo">
    <w:name w:val="Annex_No"/>
    <w:basedOn w:val="Normal"/>
    <w:next w:val="AnnexRef"/>
    <w:link w:val="AnnexNoCar"/>
    <w:rsid w:val="00D13F8A"/>
    <w:pPr>
      <w:keepNext/>
      <w:keepLines/>
      <w:spacing w:before="480" w:after="80"/>
      <w:jc w:val="center"/>
    </w:pPr>
    <w:rPr>
      <w:caps/>
      <w:sz w:val="28"/>
      <w:lang w:val="es-ES_tradnl"/>
    </w:rPr>
  </w:style>
  <w:style w:type="paragraph" w:customStyle="1" w:styleId="Annextitle0">
    <w:name w:val="Annex_title"/>
    <w:basedOn w:val="Normal"/>
    <w:next w:val="Normalaftertitle"/>
    <w:rsid w:val="00D13F8A"/>
    <w:pPr>
      <w:keepNext/>
      <w:keepLines/>
      <w:spacing w:before="240" w:after="280"/>
      <w:jc w:val="center"/>
    </w:pPr>
    <w:rPr>
      <w:rFonts w:ascii="Times New Roman Bold" w:hAnsi="Times New Roman Bold"/>
      <w:b/>
      <w:sz w:val="28"/>
      <w:lang w:val="es-ES_tradnl"/>
    </w:rPr>
  </w:style>
  <w:style w:type="character" w:customStyle="1" w:styleId="AnnexNoCar">
    <w:name w:val="Annex_No Car"/>
    <w:basedOn w:val="DefaultParagraphFont"/>
    <w:link w:val="AnnexNo"/>
    <w:rsid w:val="00D13F8A"/>
    <w:rPr>
      <w:caps/>
      <w:sz w:val="28"/>
      <w:lang w:val="es-ES_tradnl" w:eastAsia="en-US"/>
    </w:rPr>
  </w:style>
  <w:style w:type="table" w:styleId="TableGrid">
    <w:name w:val="Table Grid"/>
    <w:basedOn w:val="TableNormal"/>
    <w:rsid w:val="006D6A1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6D6A1C"/>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6D6A1C"/>
    <w:rPr>
      <w:rFonts w:ascii="Segoe UI" w:hAnsi="Segoe UI" w:cs="Segoe UI"/>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12.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fontTable" Target="fontTable.xml"/><Relationship Id="rId10" Type="http://schemas.openxmlformats.org/officeDocument/2006/relationships/header" Target="header3.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6B48B6-42EA-4660-82FC-3D8B0BD18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226</TotalTime>
  <Pages>15</Pages>
  <Words>4653</Words>
  <Characters>24385</Characters>
  <Application>Microsoft Office Word</Application>
  <DocSecurity>0</DocSecurity>
  <Lines>609</Lines>
  <Paragraphs>420</Paragraphs>
  <ScaleCrop>false</ScaleCrop>
  <HeadingPairs>
    <vt:vector size="2" baseType="variant">
      <vt:variant>
        <vt:lpstr>Title</vt:lpstr>
      </vt:variant>
      <vt:variant>
        <vt:i4>1</vt:i4>
      </vt:variant>
    </vt:vector>
  </HeadingPairs>
  <TitlesOfParts>
    <vt:vector size="1" baseType="lpstr">
      <vt:lpstr>Règles de procédures / Edición 2009</vt:lpstr>
    </vt:vector>
  </TitlesOfParts>
  <Manager>CP--107223/DD</Manager>
  <Company>ITU</Company>
  <LinksUpToDate>false</LinksUpToDate>
  <CharactersWithSpaces>28618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Edición 2009</dc:title>
  <dc:subject>AP30B</dc:subject>
  <dc:creator>Composition des Publications</dc:creator>
  <cp:keywords>FOLIOS:  1  - 6 (bl.)</cp:keywords>
  <dc:description>Ediiton 2009:   16.02.2009/DD  (dict. ok)</dc:description>
  <cp:lastModifiedBy>Gachet, Christelle</cp:lastModifiedBy>
  <cp:revision>75</cp:revision>
  <cp:lastPrinted>2020-11-19T06:52:00Z</cp:lastPrinted>
  <dcterms:created xsi:type="dcterms:W3CDTF">2012-10-03T07:04:00Z</dcterms:created>
  <dcterms:modified xsi:type="dcterms:W3CDTF">2020-11-19T14:08:00Z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