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3E23C" w14:textId="77777777" w:rsidR="00A71D99" w:rsidRPr="00FB2868" w:rsidRDefault="00A71D99" w:rsidP="002442CE">
      <w:pPr>
        <w:pStyle w:val="Heading1"/>
        <w:spacing w:before="240"/>
        <w:jc w:val="center"/>
        <w:rPr>
          <w:color w:val="000000"/>
        </w:rPr>
      </w:pPr>
      <w:r w:rsidRPr="00FB2868">
        <w:rPr>
          <w:color w:val="000000"/>
        </w:rPr>
        <w:t>Rules concerning</w:t>
      </w:r>
    </w:p>
    <w:p w14:paraId="6DDAE7BE" w14:textId="12F33152" w:rsidR="00A71D99" w:rsidRPr="00FB2868" w:rsidRDefault="00A71D99" w:rsidP="002442CE">
      <w:pPr>
        <w:pStyle w:val="Heading2"/>
        <w:spacing w:before="360"/>
        <w:jc w:val="center"/>
        <w:rPr>
          <w:color w:val="000000"/>
        </w:rPr>
      </w:pPr>
      <w:r w:rsidRPr="00FB2868">
        <w:rPr>
          <w:color w:val="000000"/>
        </w:rPr>
        <w:t xml:space="preserve">ARTICLE </w:t>
      </w:r>
      <w:r w:rsidR="00FB2868" w:rsidRPr="00FB2868">
        <w:rPr>
          <w:color w:val="000000"/>
        </w:rPr>
        <w:t xml:space="preserve"> </w:t>
      </w:r>
      <w:r w:rsidRPr="00FB2868">
        <w:rPr>
          <w:rStyle w:val="href2"/>
          <w:color w:val="000000"/>
        </w:rPr>
        <w:t>13</w:t>
      </w:r>
      <w:r w:rsidRPr="00FB2868">
        <w:rPr>
          <w:color w:val="000000"/>
        </w:rPr>
        <w:t xml:space="preserve"> of the RR</w:t>
      </w:r>
      <w:r w:rsidR="00211B61">
        <w:rPr>
          <w:rStyle w:val="FootnoteReference"/>
          <w:color w:val="000000"/>
        </w:rPr>
        <w:footnoteReference w:customMarkFollows="1" w:id="1"/>
        <w:t>*</w:t>
      </w:r>
      <w:r w:rsidR="00E950F9" w:rsidRPr="00E950F9">
        <w:rPr>
          <w:b w:val="0"/>
          <w:bCs/>
          <w:color w:val="000000"/>
          <w:vertAlign w:val="superscript"/>
        </w:rPr>
        <w:t>,</w:t>
      </w:r>
      <w:r w:rsidR="00E950F9" w:rsidRPr="009555C6">
        <w:rPr>
          <w:rStyle w:val="FootnoteReference"/>
          <w:color w:val="000000"/>
        </w:rPr>
        <w:footnoteReference w:customMarkFollows="1" w:id="2"/>
        <w:t>**</w:t>
      </w:r>
      <w:r w:rsidR="00E950F9" w:rsidRPr="009555C6">
        <w:rPr>
          <w:rStyle w:val="FootnoteReference"/>
        </w:rPr>
        <w:t xml:space="preserve"> </w:t>
      </w:r>
    </w:p>
    <w:p w14:paraId="01F95CF6" w14:textId="77777777" w:rsidR="00A71D99" w:rsidRPr="00FB2868" w:rsidRDefault="00A71D99" w:rsidP="002442CE">
      <w:pPr>
        <w:pStyle w:val="Normalaftertitle"/>
        <w:rPr>
          <w:color w:val="000000"/>
        </w:rPr>
      </w:pPr>
      <w:r w:rsidRPr="00FB2868">
        <w:rPr>
          <w:color w:val="000000"/>
        </w:rPr>
        <w:t xml:space="preserve">In reviewing Sections III and IV of Article </w:t>
      </w:r>
      <w:r w:rsidRPr="00FB2868">
        <w:rPr>
          <w:rStyle w:val="Artref"/>
          <w:b/>
          <w:bCs/>
          <w:color w:val="000000"/>
        </w:rPr>
        <w:t>13</w:t>
      </w:r>
      <w:r w:rsidRPr="00FB2868">
        <w:rPr>
          <w:color w:val="000000"/>
        </w:rPr>
        <w:t>, the Board noted that modifications were introduced by WRC-97 and WRC-03 particularly in relation to the process of considering proposed changes or additions to the Rules of Procedure and the opportunity available to administrations to comment on such proposals.</w:t>
      </w:r>
    </w:p>
    <w:p w14:paraId="56700370" w14:textId="77777777" w:rsidR="00A71D99" w:rsidRPr="00FB2868" w:rsidRDefault="00A71D99" w:rsidP="00FB2868">
      <w:pPr>
        <w:rPr>
          <w:color w:val="000000"/>
        </w:rPr>
      </w:pPr>
      <w:r w:rsidRPr="00FB2868">
        <w:rPr>
          <w:color w:val="000000"/>
        </w:rPr>
        <w:t>Nos. </w:t>
      </w:r>
      <w:r w:rsidRPr="00FB2868">
        <w:rPr>
          <w:rStyle w:val="Artref"/>
          <w:b/>
          <w:bCs/>
          <w:color w:val="000000"/>
        </w:rPr>
        <w:t>13.12A</w:t>
      </w:r>
      <w:r w:rsidRPr="00FB2868">
        <w:rPr>
          <w:color w:val="000000"/>
        </w:rPr>
        <w:t xml:space="preserve">, </w:t>
      </w:r>
      <w:r w:rsidRPr="00FB2868">
        <w:rPr>
          <w:rStyle w:val="Artref"/>
          <w:b/>
          <w:bCs/>
          <w:color w:val="000000"/>
        </w:rPr>
        <w:t>13.14</w:t>
      </w:r>
      <w:r w:rsidRPr="00FB2868">
        <w:rPr>
          <w:color w:val="000000"/>
        </w:rPr>
        <w:t xml:space="preserve"> and </w:t>
      </w:r>
      <w:r w:rsidRPr="00FB2868">
        <w:rPr>
          <w:rStyle w:val="Artref"/>
          <w:b/>
          <w:bCs/>
          <w:color w:val="000000"/>
        </w:rPr>
        <w:t>13.15</w:t>
      </w:r>
      <w:r w:rsidRPr="00FB2868">
        <w:rPr>
          <w:color w:val="000000"/>
        </w:rPr>
        <w:t xml:space="preserve"> in Section III establish procedures for changes to the Rules of Procedure and a sequence for Board consideration, publication, comment by administrations and possible further review or special study. On the other hand, No. </w:t>
      </w:r>
      <w:r w:rsidRPr="00FB2868">
        <w:rPr>
          <w:rStyle w:val="Artref"/>
          <w:b/>
          <w:bCs/>
          <w:color w:val="000000"/>
        </w:rPr>
        <w:t>13.17</w:t>
      </w:r>
      <w:r w:rsidRPr="00FB2868">
        <w:rPr>
          <w:color w:val="000000"/>
        </w:rPr>
        <w:t xml:space="preserve"> in Section</w:t>
      </w:r>
      <w:r w:rsidR="00FB2868" w:rsidRPr="00FB2868">
        <w:rPr>
          <w:color w:val="000000"/>
        </w:rPr>
        <w:t> </w:t>
      </w:r>
      <w:r w:rsidRPr="00FB2868">
        <w:rPr>
          <w:color w:val="000000"/>
        </w:rPr>
        <w:t>IV also refers to preparation of draft modifications or additions to the Rules of Procedure.</w:t>
      </w:r>
    </w:p>
    <w:p w14:paraId="2240B0C4" w14:textId="77777777" w:rsidR="00A71D99" w:rsidRPr="00FB2868" w:rsidRDefault="00A71D99">
      <w:pPr>
        <w:rPr>
          <w:color w:val="000000"/>
        </w:rPr>
      </w:pPr>
      <w:r w:rsidRPr="00FB2868">
        <w:rPr>
          <w:color w:val="000000"/>
        </w:rPr>
        <w:t>The Board has concluded that there is a lack of clarity in the procedures to be followed for modifications or additions to the Rules of Procedure.</w:t>
      </w:r>
    </w:p>
    <w:p w14:paraId="3816C2D0" w14:textId="77777777" w:rsidR="00E950F9" w:rsidRDefault="00E950F9" w:rsidP="00FB2868">
      <w:pPr>
        <w:rPr>
          <w:color w:val="000000"/>
        </w:rPr>
      </w:pPr>
      <w:r>
        <w:rPr>
          <w:color w:val="000000"/>
        </w:rPr>
        <w:br w:type="page"/>
      </w:r>
    </w:p>
    <w:p w14:paraId="26CA07DA" w14:textId="1CC7CD2C" w:rsidR="00A71D99" w:rsidRPr="00FB2868" w:rsidRDefault="00A71D99" w:rsidP="00FB2868">
      <w:pPr>
        <w:rPr>
          <w:color w:val="000000"/>
        </w:rPr>
      </w:pPr>
      <w:r w:rsidRPr="00FB2868">
        <w:rPr>
          <w:color w:val="000000"/>
        </w:rPr>
        <w:lastRenderedPageBreak/>
        <w:t>Accordingly, the Board decided that the following procedures should be followed with respect to the application of Nos. </w:t>
      </w:r>
      <w:r w:rsidRPr="00FB2868">
        <w:rPr>
          <w:rStyle w:val="Artref"/>
          <w:b/>
          <w:bCs/>
          <w:color w:val="000000"/>
        </w:rPr>
        <w:t>13.14</w:t>
      </w:r>
      <w:r w:rsidRPr="00FB2868">
        <w:rPr>
          <w:color w:val="000000"/>
        </w:rPr>
        <w:t xml:space="preserve">, </w:t>
      </w:r>
      <w:r w:rsidRPr="00FB2868">
        <w:rPr>
          <w:rStyle w:val="Artref"/>
          <w:b/>
          <w:bCs/>
          <w:color w:val="000000"/>
        </w:rPr>
        <w:t>13.15</w:t>
      </w:r>
      <w:r w:rsidRPr="00FB2868">
        <w:rPr>
          <w:color w:val="000000"/>
        </w:rPr>
        <w:t xml:space="preserve"> and</w:t>
      </w:r>
      <w:r w:rsidR="00FB2868" w:rsidRPr="00FB2868">
        <w:rPr>
          <w:color w:val="000000"/>
        </w:rPr>
        <w:t> </w:t>
      </w:r>
      <w:r w:rsidRPr="00FB2868">
        <w:rPr>
          <w:rStyle w:val="Artref"/>
          <w:b/>
          <w:bCs/>
          <w:color w:val="000000"/>
        </w:rPr>
        <w:t>13.17</w:t>
      </w:r>
      <w:r w:rsidRPr="00FB2868">
        <w:rPr>
          <w:color w:val="000000"/>
        </w:rPr>
        <w:t>:</w:t>
      </w:r>
    </w:p>
    <w:p w14:paraId="2F9BF5F6" w14:textId="77777777" w:rsidR="00A71D99" w:rsidRPr="00FB2868" w:rsidRDefault="00A71D99" w:rsidP="00FB2868">
      <w:pPr>
        <w:pStyle w:val="enumlev1"/>
        <w:rPr>
          <w:color w:val="000000"/>
        </w:rPr>
      </w:pPr>
      <w:r w:rsidRPr="00FB2868">
        <w:rPr>
          <w:i/>
          <w:color w:val="000000"/>
        </w:rPr>
        <w:t>a)</w:t>
      </w:r>
      <w:r w:rsidRPr="00FB2868">
        <w:rPr>
          <w:color w:val="000000"/>
        </w:rPr>
        <w:tab/>
        <w:t>Proposals for changes or additions to the Rules of Procedure can emerge from adminis</w:t>
      </w:r>
      <w:r w:rsidRPr="00FB2868">
        <w:rPr>
          <w:color w:val="000000"/>
        </w:rPr>
        <w:softHyphen/>
        <w:t>trations, from the Bureau, or from the Board itself. Irrespective of the source of proposals, the Board regards No. </w:t>
      </w:r>
      <w:r w:rsidRPr="00FB2868">
        <w:rPr>
          <w:rStyle w:val="Artref"/>
          <w:b/>
          <w:bCs/>
          <w:color w:val="000000"/>
        </w:rPr>
        <w:t>13.17</w:t>
      </w:r>
      <w:r w:rsidRPr="00FB2868">
        <w:rPr>
          <w:color w:val="000000"/>
        </w:rPr>
        <w:t xml:space="preserve"> as requiring that the Bureau should prepare draft modifications or additions to the Rules of Procedure arising from such proposals. In accordance with No. </w:t>
      </w:r>
      <w:r w:rsidRPr="00FB2868">
        <w:rPr>
          <w:rStyle w:val="Artref"/>
          <w:b/>
          <w:bCs/>
          <w:color w:val="000000"/>
        </w:rPr>
        <w:t>13.12A</w:t>
      </w:r>
      <w:r w:rsidR="00FB2868" w:rsidRPr="00FB2868">
        <w:t xml:space="preserve"> </w:t>
      </w:r>
      <w:r w:rsidRPr="00FB2868">
        <w:rPr>
          <w:i/>
          <w:iCs/>
          <w:color w:val="000000"/>
        </w:rPr>
        <w:t>c)</w:t>
      </w:r>
      <w:r w:rsidRPr="00FB2868">
        <w:rPr>
          <w:color w:val="000000"/>
        </w:rPr>
        <w:t>, such drafts shall be available to administrations at least ten weeks prior to the start of the Board meeting.</w:t>
      </w:r>
    </w:p>
    <w:p w14:paraId="0D37A7F3" w14:textId="77777777" w:rsidR="00A71D99" w:rsidRPr="00FB2868" w:rsidRDefault="00A71D99" w:rsidP="00FB2868">
      <w:pPr>
        <w:pStyle w:val="enumlev1"/>
        <w:rPr>
          <w:color w:val="000000"/>
        </w:rPr>
      </w:pPr>
      <w:r w:rsidRPr="00FB2868">
        <w:rPr>
          <w:i/>
          <w:color w:val="000000"/>
        </w:rPr>
        <w:t>b)</w:t>
      </w:r>
      <w:r w:rsidRPr="00FB2868">
        <w:rPr>
          <w:color w:val="000000"/>
        </w:rPr>
        <w:tab/>
        <w:t>The Bureau, in accordance with No. </w:t>
      </w:r>
      <w:r w:rsidRPr="00FB2868">
        <w:rPr>
          <w:rStyle w:val="Artref"/>
          <w:b/>
          <w:bCs/>
          <w:color w:val="000000"/>
        </w:rPr>
        <w:t>13.14</w:t>
      </w:r>
      <w:r w:rsidRPr="00FB2868">
        <w:rPr>
          <w:color w:val="000000"/>
        </w:rPr>
        <w:t xml:space="preserve">, shall submit to the Board the final drafts of all proposed changes to the Rules of Procedure, as well as the comments received in response to the procedure in </w:t>
      </w:r>
      <w:r w:rsidRPr="00FB2868">
        <w:rPr>
          <w:i/>
          <w:color w:val="000000"/>
        </w:rPr>
        <w:t>a)</w:t>
      </w:r>
      <w:r w:rsidR="00FB2868" w:rsidRPr="00FB2868">
        <w:rPr>
          <w:color w:val="000000"/>
        </w:rPr>
        <w:t> </w:t>
      </w:r>
      <w:r w:rsidRPr="00FB2868">
        <w:rPr>
          <w:color w:val="000000"/>
        </w:rPr>
        <w:t>above.</w:t>
      </w:r>
    </w:p>
    <w:p w14:paraId="586E8D36" w14:textId="77777777" w:rsidR="00A71D99" w:rsidRPr="00FB2868" w:rsidRDefault="00A71D99" w:rsidP="00FB2868">
      <w:pPr>
        <w:pStyle w:val="enumlev1"/>
        <w:rPr>
          <w:color w:val="000000"/>
        </w:rPr>
      </w:pPr>
      <w:r w:rsidRPr="00FB2868">
        <w:rPr>
          <w:i/>
          <w:color w:val="000000"/>
        </w:rPr>
        <w:t>c)</w:t>
      </w:r>
      <w:r w:rsidRPr="00FB2868">
        <w:rPr>
          <w:color w:val="000000"/>
        </w:rPr>
        <w:tab/>
        <w:t>Any need pursuant to No. </w:t>
      </w:r>
      <w:r w:rsidRPr="00FB2868">
        <w:rPr>
          <w:rStyle w:val="Artref"/>
          <w:b/>
          <w:bCs/>
          <w:color w:val="000000"/>
        </w:rPr>
        <w:t>13.15</w:t>
      </w:r>
      <w:r w:rsidRPr="00FB2868">
        <w:rPr>
          <w:color w:val="000000"/>
        </w:rPr>
        <w:t>, for a special study in relation to the Rules of Procedure submitted by an administration or identified by the Board or the Bureau, or the need for any new Rules or modification or addition to the existing Rules of Procedure shall be handled in accordance with the procedure in</w:t>
      </w:r>
      <w:r w:rsidR="00FB2868" w:rsidRPr="00FB2868">
        <w:rPr>
          <w:color w:val="000000"/>
        </w:rPr>
        <w:t> </w:t>
      </w:r>
      <w:r w:rsidRPr="00FB2868">
        <w:rPr>
          <w:i/>
          <w:color w:val="000000"/>
        </w:rPr>
        <w:t>a)</w:t>
      </w:r>
      <w:r w:rsidRPr="00FB2868">
        <w:rPr>
          <w:color w:val="000000"/>
        </w:rPr>
        <w:t xml:space="preserve"> and </w:t>
      </w:r>
      <w:r w:rsidRPr="00FB2868">
        <w:rPr>
          <w:i/>
          <w:color w:val="000000"/>
        </w:rPr>
        <w:t>b)</w:t>
      </w:r>
      <w:r w:rsidR="00FB2868" w:rsidRPr="00FB2868">
        <w:rPr>
          <w:color w:val="000000"/>
        </w:rPr>
        <w:t> </w:t>
      </w:r>
      <w:r w:rsidRPr="00FB2868">
        <w:rPr>
          <w:color w:val="000000"/>
        </w:rPr>
        <w:t>above.</w:t>
      </w:r>
    </w:p>
    <w:p w14:paraId="242C40A3" w14:textId="77777777" w:rsidR="00A71D99" w:rsidRPr="00FB2868" w:rsidRDefault="00A71D99" w:rsidP="00FB2868">
      <w:pPr>
        <w:rPr>
          <w:color w:val="000000"/>
        </w:rPr>
      </w:pPr>
      <w:r w:rsidRPr="00FB2868">
        <w:rPr>
          <w:color w:val="000000"/>
        </w:rPr>
        <w:t>See also Rules of Procedure in Part C (Rules concerning working methods of the</w:t>
      </w:r>
      <w:r w:rsidR="00FB2868" w:rsidRPr="00FB2868">
        <w:rPr>
          <w:color w:val="000000"/>
        </w:rPr>
        <w:t> </w:t>
      </w:r>
      <w:r w:rsidRPr="00FB2868">
        <w:rPr>
          <w:color w:val="000000"/>
        </w:rPr>
        <w:t>RRB).</w:t>
      </w:r>
    </w:p>
    <w:p w14:paraId="50B875E5" w14:textId="77777777" w:rsidR="00A71D99" w:rsidRPr="00FB2868" w:rsidRDefault="00A71D99" w:rsidP="00FB2868">
      <w:pPr>
        <w:jc w:val="center"/>
        <w:rPr>
          <w:color w:val="000000"/>
        </w:rPr>
      </w:pPr>
      <w:r w:rsidRPr="00FB2868">
        <w:rPr>
          <w:color w:val="000000"/>
        </w:rPr>
        <w:t>____________________</w:t>
      </w:r>
    </w:p>
    <w:p w14:paraId="4F8FB35F" w14:textId="77777777" w:rsidR="00A71D99" w:rsidRDefault="00A71D99" w:rsidP="00FB2868"/>
    <w:p w14:paraId="56E133E7" w14:textId="77777777" w:rsidR="006E4D4B" w:rsidRDefault="006E4D4B" w:rsidP="00FB2868"/>
    <w:p w14:paraId="18911071" w14:textId="77777777" w:rsidR="006E4D4B" w:rsidRDefault="006E4D4B" w:rsidP="00FB2868"/>
    <w:p w14:paraId="10308BA1" w14:textId="77777777" w:rsidR="006E4D4B" w:rsidRDefault="006E4D4B" w:rsidP="00FB2868"/>
    <w:p w14:paraId="31696B64" w14:textId="77777777" w:rsidR="006E4D4B" w:rsidRDefault="006E4D4B" w:rsidP="00FB2868"/>
    <w:p w14:paraId="3449B53E" w14:textId="77777777" w:rsidR="006E4D4B" w:rsidRDefault="006E4D4B" w:rsidP="00FB2868"/>
    <w:p w14:paraId="0ABAE42B" w14:textId="77777777" w:rsidR="006E4D4B" w:rsidRDefault="006E4D4B" w:rsidP="00FB2868"/>
    <w:p w14:paraId="3ECFF487" w14:textId="77777777" w:rsidR="006E4D4B" w:rsidRDefault="006E4D4B" w:rsidP="00FB2868"/>
    <w:p w14:paraId="4AE4ADA4" w14:textId="77777777" w:rsidR="006E4D4B" w:rsidRDefault="006E4D4B" w:rsidP="00FB2868"/>
    <w:p w14:paraId="41E65B2C" w14:textId="77777777" w:rsidR="006E4D4B" w:rsidRDefault="006E4D4B" w:rsidP="00FB2868"/>
    <w:p w14:paraId="3D4484B8" w14:textId="77777777" w:rsidR="006E4D4B" w:rsidRDefault="006E4D4B" w:rsidP="00FB2868"/>
    <w:p w14:paraId="08A4699A" w14:textId="77777777" w:rsidR="006E4D4B" w:rsidRPr="00FB2868" w:rsidRDefault="006E4D4B" w:rsidP="00FB2868"/>
    <w:p w14:paraId="2673FBDC" w14:textId="77777777" w:rsidR="00A71D99" w:rsidRPr="00FB2868" w:rsidRDefault="00A71D99" w:rsidP="00FB2868"/>
    <w:p w14:paraId="4A91E244" w14:textId="77777777" w:rsidR="006E4D4B" w:rsidRDefault="006E4D4B" w:rsidP="00FB2868">
      <w:pPr>
        <w:sectPr w:rsidR="006E4D4B">
          <w:headerReference w:type="even" r:id="rId7"/>
          <w:headerReference w:type="first" r:id="rId8"/>
          <w:footnotePr>
            <w:pos w:val="beneathText"/>
          </w:footnotePr>
          <w:pgSz w:w="11907" w:h="16840" w:code="9"/>
          <w:pgMar w:top="1701" w:right="851" w:bottom="1134" w:left="1985" w:header="720" w:footer="482" w:gutter="0"/>
          <w:cols w:space="720"/>
          <w:vAlign w:val="both"/>
          <w:titlePg/>
        </w:sectPr>
      </w:pPr>
    </w:p>
    <w:p w14:paraId="59A21F25" w14:textId="77777777" w:rsidR="00A71D99" w:rsidRPr="00FB2868" w:rsidRDefault="00A71D99" w:rsidP="00FB2868"/>
    <w:sectPr w:rsidR="00A71D99" w:rsidRPr="00FB286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50C80" w14:textId="77777777" w:rsidR="00A71D99" w:rsidRDefault="00A71D99">
      <w:r>
        <w:separator/>
      </w:r>
    </w:p>
  </w:endnote>
  <w:endnote w:type="continuationSeparator" w:id="0">
    <w:p w14:paraId="17E1D93D" w14:textId="77777777" w:rsidR="00A71D99" w:rsidRDefault="00A7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1C37B" w14:textId="77777777" w:rsidR="00A71D99" w:rsidRDefault="00A71D99">
      <w:r>
        <w:rPr>
          <w:b/>
        </w:rPr>
        <w:t>_______________</w:t>
      </w:r>
    </w:p>
  </w:footnote>
  <w:footnote w:type="continuationSeparator" w:id="0">
    <w:p w14:paraId="77FEFBB6" w14:textId="77777777" w:rsidR="00A71D99" w:rsidRDefault="00A71D99">
      <w:r>
        <w:continuationSeparator/>
      </w:r>
    </w:p>
  </w:footnote>
  <w:footnote w:id="1">
    <w:p w14:paraId="21B2137E" w14:textId="77777777" w:rsidR="00211B61" w:rsidRPr="00211B61" w:rsidRDefault="00211B61" w:rsidP="002442CE">
      <w:pPr>
        <w:pStyle w:val="FootnoteText"/>
      </w:pPr>
      <w:r>
        <w:rPr>
          <w:rStyle w:val="FootnoteReference"/>
        </w:rPr>
        <w:t>*</w:t>
      </w:r>
      <w:r>
        <w:t xml:space="preserve"> </w:t>
      </w:r>
      <w:r>
        <w:tab/>
      </w:r>
      <w:r w:rsidRPr="00211B61">
        <w:rPr>
          <w:b/>
          <w:bCs/>
        </w:rPr>
        <w:t>Note</w:t>
      </w:r>
      <w:r w:rsidRPr="006E4D4B">
        <w:t>:</w:t>
      </w:r>
      <w:r w:rsidRPr="00211B61">
        <w:t xml:space="preserve"> WRC-15 took the decision related to </w:t>
      </w:r>
      <w:r w:rsidR="002442CE">
        <w:t>RR</w:t>
      </w:r>
      <w:r w:rsidRPr="00211B61">
        <w:t xml:space="preserve"> No. </w:t>
      </w:r>
      <w:r w:rsidRPr="00211B61">
        <w:rPr>
          <w:b/>
          <w:bCs/>
        </w:rPr>
        <w:t>13.6</w:t>
      </w:r>
      <w:r w:rsidRPr="00211B61">
        <w:t xml:space="preserve"> during the 8</w:t>
      </w:r>
      <w:r w:rsidRPr="00211B61">
        <w:rPr>
          <w:vertAlign w:val="superscript"/>
        </w:rPr>
        <w:t>th</w:t>
      </w:r>
      <w:r w:rsidRPr="00211B61">
        <w:t xml:space="preserve"> Plenary, Par. 1.39 to 1.42 of Doc. CMR15/505, approval of Doc. CMR15/416 in relation to Section 6 of Doc. 4 (Add2) (Rev1) (Add1)), as follows:</w:t>
      </w:r>
    </w:p>
    <w:p w14:paraId="47A2823E" w14:textId="77777777" w:rsidR="00211B61" w:rsidRPr="00211B61" w:rsidRDefault="00211B61" w:rsidP="00E22E66">
      <w:pPr>
        <w:pStyle w:val="FootnoteText"/>
        <w:rPr>
          <w:i/>
          <w:iCs/>
        </w:rPr>
      </w:pPr>
      <w:r w:rsidRPr="00211B61">
        <w:rPr>
          <w:i/>
          <w:iCs/>
        </w:rPr>
        <w:t xml:space="preserve">“With regards to the issue of whether partial evidence provided by an administration to support the use of frequency assignments across a frequency band may be considered as sufficient, in a reply to a RR No. </w:t>
      </w:r>
      <w:r w:rsidRPr="00211B61">
        <w:rPr>
          <w:b/>
          <w:bCs/>
          <w:i/>
          <w:iCs/>
        </w:rPr>
        <w:t>13.6</w:t>
      </w:r>
      <w:r w:rsidRPr="00211B61">
        <w:rPr>
          <w:i/>
          <w:iCs/>
        </w:rPr>
        <w:t xml:space="preserve"> query, to demonstrate the use, or continuation of use, of frequency assignments in accordance with the notified characteristics recorded in the MIFR, WRC-15 was of the view that administrations need to respond as completely as practicable to queries under RR No. </w:t>
      </w:r>
      <w:r w:rsidRPr="00211B61">
        <w:rPr>
          <w:b/>
          <w:bCs/>
          <w:i/>
          <w:iCs/>
        </w:rPr>
        <w:t>13.6</w:t>
      </w:r>
      <w:r w:rsidRPr="00211B61">
        <w:rPr>
          <w:i/>
          <w:iCs/>
        </w:rPr>
        <w:t xml:space="preserve">. If the Bureau receives what it considers to be a partial reply to a query, it is expected that the Bureau would further clarify the scope of its query for the administration or request additional or alternative information. In addition, it was recognized that WRC-15 agreed some revisions to RR No. </w:t>
      </w:r>
      <w:r w:rsidRPr="00F04A3E">
        <w:rPr>
          <w:b/>
          <w:bCs/>
          <w:i/>
          <w:iCs/>
        </w:rPr>
        <w:t>13.6</w:t>
      </w:r>
      <w:r w:rsidRPr="00211B61">
        <w:rPr>
          <w:i/>
          <w:iCs/>
        </w:rPr>
        <w:t xml:space="preserve"> that are intended to ensure greater transparency in the application of this provision. These revisions should have the consequence of helping to address such issues.”</w:t>
      </w:r>
    </w:p>
  </w:footnote>
  <w:footnote w:id="2">
    <w:p w14:paraId="69C2A759" w14:textId="7D0405EA" w:rsidR="00E950F9" w:rsidRDefault="00E950F9" w:rsidP="00566ECF">
      <w:pPr>
        <w:pStyle w:val="FootnoteText"/>
      </w:pPr>
      <w:r w:rsidRPr="00917A9B">
        <w:rPr>
          <w:rStyle w:val="FootnoteReference"/>
        </w:rPr>
        <w:t>**</w:t>
      </w:r>
      <w:r w:rsidRPr="00917A9B">
        <w:tab/>
      </w:r>
      <w:r w:rsidRPr="00917A9B">
        <w:rPr>
          <w:b/>
          <w:bCs/>
        </w:rPr>
        <w:t>Note</w:t>
      </w:r>
      <w:r w:rsidRPr="00917A9B">
        <w:t xml:space="preserve">: WRC-19 took the decision related to the application of No. </w:t>
      </w:r>
      <w:r w:rsidRPr="00917A9B">
        <w:rPr>
          <w:b/>
          <w:bCs/>
        </w:rPr>
        <w:t>13.6</w:t>
      </w:r>
      <w:r w:rsidRPr="00917A9B">
        <w:t>, during the 10</w:t>
      </w:r>
      <w:r w:rsidRPr="00E950F9">
        <w:rPr>
          <w:vertAlign w:val="superscript"/>
        </w:rPr>
        <w:t>th</w:t>
      </w:r>
      <w:r w:rsidRPr="00917A9B">
        <w:t xml:space="preserve"> Plenary, see items 10.5 to 10.7 of Doc. CMR19/571, approval of Doc. CMR19/5</w:t>
      </w:r>
      <w:r w:rsidRPr="00E950F9">
        <w:t>00</w:t>
      </w:r>
      <w:r w:rsidRPr="00917A9B">
        <w:t>, as follows:</w:t>
      </w:r>
    </w:p>
    <w:p w14:paraId="6B9AE668" w14:textId="77777777" w:rsidR="00E950F9" w:rsidRPr="005826B3" w:rsidRDefault="00E950F9" w:rsidP="00F04A3E">
      <w:pPr>
        <w:pStyle w:val="FootnoteText"/>
        <w:tabs>
          <w:tab w:val="clear" w:pos="284"/>
          <w:tab w:val="left" w:pos="426"/>
        </w:tabs>
        <w:rPr>
          <w:i/>
          <w:iCs/>
          <w:noProof/>
          <w:sz w:val="22"/>
          <w:szCs w:val="22"/>
        </w:rPr>
      </w:pPr>
      <w:r w:rsidRPr="00B31451">
        <w:rPr>
          <w:rStyle w:val="FootnoteReference"/>
          <w:i/>
          <w:iCs/>
          <w:sz w:val="22"/>
          <w:szCs w:val="22"/>
        </w:rPr>
        <w:t>“</w:t>
      </w:r>
      <w:r w:rsidRPr="005826B3">
        <w:rPr>
          <w:i/>
          <w:iCs/>
          <w:sz w:val="22"/>
          <w:szCs w:val="22"/>
        </w:rPr>
        <w:t>1</w:t>
      </w:r>
      <w:r w:rsidRPr="005826B3">
        <w:rPr>
          <w:i/>
          <w:iCs/>
          <w:sz w:val="22"/>
          <w:szCs w:val="22"/>
        </w:rPr>
        <w:tab/>
        <w:t>WRC-19 has adopted a new milestone-based approach for the deployment of non-geostationary satellite systems in specific bands and services. WRC-19 indicates to the Director of the Radiocommunication Bureau that with the milestone approach, WRC-19 is not encouraging routine use of No. </w:t>
      </w:r>
      <w:r w:rsidRPr="005826B3">
        <w:rPr>
          <w:b/>
          <w:i/>
          <w:iCs/>
          <w:sz w:val="22"/>
          <w:szCs w:val="22"/>
        </w:rPr>
        <w:t>13.6</w:t>
      </w:r>
      <w:r w:rsidRPr="005826B3">
        <w:rPr>
          <w:i/>
          <w:iCs/>
          <w:sz w:val="22"/>
          <w:szCs w:val="22"/>
        </w:rPr>
        <w:t xml:space="preserve"> in the Radio Regulations, in the absence of reliable information, to seek confirmation of the deployment </w:t>
      </w:r>
      <w:r w:rsidRPr="005826B3">
        <w:rPr>
          <w:i/>
          <w:iCs/>
          <w:noProof/>
          <w:sz w:val="22"/>
          <w:szCs w:val="22"/>
        </w:rPr>
        <w:t xml:space="preserve">of the number of satellites in notified orbital planes for non-geostationary satellite orbit systems in frequency bands and services not listed in </w:t>
      </w:r>
      <w:r w:rsidRPr="0072425D">
        <w:rPr>
          <w:rFonts w:asciiTheme="minorBidi" w:hAnsiTheme="minorBidi" w:cstheme="minorBidi"/>
          <w:bCs/>
          <w:i/>
          <w:iCs/>
          <w:noProof/>
        </w:rPr>
        <w:t>resolves</w:t>
      </w:r>
      <w:r w:rsidRPr="005826B3">
        <w:rPr>
          <w:bCs/>
          <w:i/>
          <w:iCs/>
          <w:noProof/>
          <w:sz w:val="22"/>
          <w:szCs w:val="22"/>
        </w:rPr>
        <w:t> 1</w:t>
      </w:r>
      <w:r w:rsidRPr="005826B3">
        <w:rPr>
          <w:i/>
          <w:iCs/>
          <w:noProof/>
          <w:sz w:val="22"/>
          <w:szCs w:val="22"/>
        </w:rPr>
        <w:t xml:space="preserve"> of the new Resolution.</w:t>
      </w:r>
    </w:p>
    <w:p w14:paraId="30862542" w14:textId="77777777" w:rsidR="00E950F9" w:rsidRPr="005826B3" w:rsidRDefault="00E950F9" w:rsidP="005826B3">
      <w:pPr>
        <w:pStyle w:val="FootnoteText"/>
        <w:rPr>
          <w:i/>
          <w:iCs/>
          <w:sz w:val="22"/>
          <w:szCs w:val="22"/>
        </w:rPr>
      </w:pPr>
      <w:r w:rsidRPr="005826B3">
        <w:rPr>
          <w:i/>
          <w:iCs/>
          <w:sz w:val="22"/>
          <w:szCs w:val="22"/>
          <w:bdr w:val="none" w:sz="0" w:space="0" w:color="auto" w:frame="1"/>
          <w:shd w:val="clear" w:color="auto" w:fill="FFFFFF"/>
        </w:rPr>
        <w:t>(…)</w:t>
      </w:r>
    </w:p>
    <w:p w14:paraId="25502A06" w14:textId="1CD314FA" w:rsidR="00E950F9" w:rsidRPr="003C7D56" w:rsidRDefault="00E950F9" w:rsidP="00566ECF">
      <w:pPr>
        <w:pStyle w:val="FootnoteText"/>
        <w:rPr>
          <w:sz w:val="22"/>
          <w:szCs w:val="22"/>
          <w:bdr w:val="none" w:sz="0" w:space="0" w:color="auto" w:frame="1"/>
          <w:shd w:val="clear" w:color="auto" w:fill="FFFFFF"/>
        </w:rPr>
      </w:pPr>
      <w:r w:rsidRPr="005826B3">
        <w:rPr>
          <w:i/>
          <w:iCs/>
          <w:sz w:val="22"/>
          <w:szCs w:val="22"/>
          <w:bdr w:val="none" w:sz="0" w:space="0" w:color="auto" w:frame="1"/>
          <w:shd w:val="clear" w:color="auto" w:fill="FFFFFF"/>
        </w:rPr>
        <w:t>Furthermore, WRC-19 instructs the Bureau in applying the relevant provisions of the RR (e.g.  No. </w:t>
      </w:r>
      <w:r w:rsidRPr="005826B3">
        <w:rPr>
          <w:b/>
          <w:bCs/>
          <w:i/>
          <w:iCs/>
          <w:sz w:val="22"/>
          <w:szCs w:val="22"/>
          <w:bdr w:val="none" w:sz="0" w:space="0" w:color="auto" w:frame="1"/>
          <w:shd w:val="clear" w:color="auto" w:fill="FFFFFF"/>
        </w:rPr>
        <w:t>11.44C.2</w:t>
      </w:r>
      <w:r w:rsidRPr="005826B3">
        <w:rPr>
          <w:i/>
          <w:iCs/>
          <w:sz w:val="22"/>
          <w:szCs w:val="22"/>
          <w:bdr w:val="none" w:sz="0" w:space="0" w:color="auto" w:frame="1"/>
          <w:shd w:val="clear" w:color="auto" w:fill="FFFFFF"/>
        </w:rPr>
        <w:t xml:space="preserve"> or </w:t>
      </w:r>
      <w:r w:rsidRPr="0072425D">
        <w:rPr>
          <w:rFonts w:asciiTheme="minorBidi" w:hAnsiTheme="minorBidi" w:cstheme="minorBidi"/>
          <w:i/>
          <w:iCs/>
          <w:bdr w:val="none" w:sz="0" w:space="0" w:color="auto" w:frame="1"/>
          <w:shd w:val="clear" w:color="auto" w:fill="FFFFFF"/>
        </w:rPr>
        <w:t>resolves</w:t>
      </w:r>
      <w:r w:rsidRPr="005826B3">
        <w:rPr>
          <w:i/>
          <w:iCs/>
          <w:sz w:val="22"/>
          <w:szCs w:val="22"/>
          <w:bdr w:val="none" w:sz="0" w:space="0" w:color="auto" w:frame="1"/>
          <w:shd w:val="clear" w:color="auto" w:fill="FFFFFF"/>
        </w:rPr>
        <w:t xml:space="preserve"> 9d) of Resolution </w:t>
      </w:r>
      <w:r w:rsidRPr="005826B3">
        <w:rPr>
          <w:b/>
          <w:bCs/>
          <w:i/>
          <w:iCs/>
          <w:sz w:val="22"/>
          <w:szCs w:val="22"/>
          <w:bdr w:val="none" w:sz="0" w:space="0" w:color="auto" w:frame="1"/>
          <w:shd w:val="clear" w:color="auto" w:fill="FFFFFF"/>
        </w:rPr>
        <w:t>[7(A)-NGSO-MILESTONES]</w:t>
      </w:r>
      <w:r w:rsidRPr="005826B3">
        <w:rPr>
          <w:i/>
          <w:iCs/>
          <w:sz w:val="22"/>
          <w:szCs w:val="22"/>
          <w:bdr w:val="none" w:sz="0" w:space="0" w:color="auto" w:frame="1"/>
          <w:shd w:val="clear" w:color="auto" w:fill="FFFFFF"/>
        </w:rPr>
        <w:t>) to exercise utmost caution until such time as ITU-R completes studies on tolerances.”</w:t>
      </w:r>
      <w:r w:rsidR="00566ECF" w:rsidRPr="00566ECF">
        <w:rPr>
          <w:rStyle w:val="FootnoteReference"/>
        </w:rPr>
        <w:t xml:space="preserve"> </w:t>
      </w:r>
      <w:r w:rsidR="00566ECF" w:rsidRPr="00917A9B">
        <w:rPr>
          <w:rStyle w:val="FootnoteReference"/>
        </w:rPr>
        <w:t>***</w:t>
      </w:r>
    </w:p>
    <w:p w14:paraId="16B7CCBE" w14:textId="4E347BA4" w:rsidR="00E950F9" w:rsidRPr="00E950F9" w:rsidRDefault="00566ECF" w:rsidP="00566ECF">
      <w:pPr>
        <w:pStyle w:val="FootnoteText"/>
      </w:pPr>
      <w:r w:rsidRPr="00917A9B">
        <w:rPr>
          <w:rStyle w:val="FootnoteReference"/>
        </w:rPr>
        <w:t>***</w:t>
      </w:r>
      <w:r w:rsidR="00E950F9" w:rsidRPr="00917A9B">
        <w:rPr>
          <w:szCs w:val="18"/>
          <w:bdr w:val="none" w:sz="0" w:space="0" w:color="auto" w:frame="1"/>
          <w:shd w:val="clear" w:color="auto" w:fill="FFFFFF"/>
        </w:rPr>
        <w:t xml:space="preserve"> </w:t>
      </w:r>
      <w:r w:rsidR="00E950F9" w:rsidRPr="00E950F9">
        <w:rPr>
          <w:i/>
          <w:iCs/>
          <w:szCs w:val="18"/>
          <w:bdr w:val="none" w:sz="0" w:space="0" w:color="auto" w:frame="1"/>
          <w:shd w:val="clear" w:color="auto" w:fill="FFFFFF"/>
        </w:rPr>
        <w:t xml:space="preserve">Note by </w:t>
      </w:r>
      <w:r w:rsidR="00E950F9" w:rsidRPr="00917A9B">
        <w:rPr>
          <w:i/>
          <w:iCs/>
          <w:szCs w:val="18"/>
          <w:bdr w:val="none" w:sz="0" w:space="0" w:color="auto" w:frame="1"/>
          <w:shd w:val="clear" w:color="auto" w:fill="FFFFFF"/>
        </w:rPr>
        <w:t xml:space="preserve">the </w:t>
      </w:r>
      <w:r w:rsidR="00E950F9" w:rsidRPr="00E950F9">
        <w:rPr>
          <w:i/>
          <w:iCs/>
          <w:szCs w:val="18"/>
          <w:bdr w:val="none" w:sz="0" w:space="0" w:color="auto" w:frame="1"/>
          <w:shd w:val="clear" w:color="auto" w:fill="FFFFFF"/>
        </w:rPr>
        <w:t>Secretariat</w:t>
      </w:r>
      <w:r w:rsidR="00E950F9" w:rsidRPr="00917A9B">
        <w:rPr>
          <w:szCs w:val="18"/>
          <w:bdr w:val="none" w:sz="0" w:space="0" w:color="auto" w:frame="1"/>
          <w:shd w:val="clear" w:color="auto" w:fill="FFFFFF"/>
        </w:rPr>
        <w:t xml:space="preserve">: </w:t>
      </w:r>
      <w:r w:rsidR="00E950F9" w:rsidRPr="00917A9B">
        <w:t xml:space="preserve">The definitive number of </w:t>
      </w:r>
      <w:r w:rsidR="00E950F9" w:rsidRPr="00E950F9">
        <w:t>Resolution [</w:t>
      </w:r>
      <w:r w:rsidR="00E950F9" w:rsidRPr="00E950F9">
        <w:rPr>
          <w:b/>
          <w:bCs/>
        </w:rPr>
        <w:t>[7(A)-NGSO-MILESTONES] (WRC-19)</w:t>
      </w:r>
      <w:r w:rsidR="00E950F9" w:rsidRPr="00E950F9">
        <w:t>] is Resolution </w:t>
      </w:r>
      <w:r w:rsidR="00E950F9" w:rsidRPr="00E950F9">
        <w:rPr>
          <w:b/>
          <w:bCs/>
        </w:rPr>
        <w:t>35</w:t>
      </w:r>
      <w:r w:rsidR="00E950F9" w:rsidRPr="00917A9B">
        <w:rPr>
          <w:b/>
          <w:bCs/>
        </w:rPr>
        <w:t> </w:t>
      </w:r>
      <w:r w:rsidR="00E950F9" w:rsidRPr="00E950F9">
        <w:rPr>
          <w:b/>
          <w:bCs/>
        </w:rPr>
        <w:t>(WRC-19)</w:t>
      </w:r>
      <w:r w:rsidR="00E950F9">
        <w:t>.</w:t>
      </w:r>
      <w:r w:rsidRPr="00566ECF">
        <w:rPr>
          <w:color w:val="000000"/>
          <w:sz w:val="24"/>
        </w:rPr>
        <w:t xml:space="preserve"> </w:t>
      </w:r>
      <w:r w:rsidRPr="00566ECF">
        <w:t>     </w:t>
      </w:r>
      <w:r w:rsidRPr="00566ECF">
        <w:rPr>
          <w:sz w:val="16"/>
          <w:szCs w:val="16"/>
        </w:rPr>
        <w:t>(ADD RRB20/85)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4D4B" w14:paraId="1E393E78" w14:textId="77777777" w:rsidTr="006E4D4B">
      <w:trPr>
        <w:cantSplit/>
      </w:trPr>
      <w:tc>
        <w:tcPr>
          <w:tcW w:w="1701" w:type="dxa"/>
          <w:tcBorders>
            <w:top w:val="single" w:sz="6" w:space="0" w:color="auto"/>
            <w:left w:val="single" w:sz="6" w:space="0" w:color="auto"/>
            <w:bottom w:val="single" w:sz="6" w:space="0" w:color="auto"/>
            <w:right w:val="single" w:sz="6" w:space="0" w:color="auto"/>
          </w:tcBorders>
        </w:tcPr>
        <w:p w14:paraId="160509B0" w14:textId="77777777" w:rsidR="006E4D4B" w:rsidRDefault="006E4D4B" w:rsidP="006E4D4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A517350" w14:textId="5EE09A81" w:rsidR="006E4D4B" w:rsidRDefault="00415926" w:rsidP="006E4D4B">
          <w:pPr>
            <w:pStyle w:val="HeaderRegProc"/>
            <w:rPr>
              <w:color w:val="000000"/>
              <w:lang w:val="fr-CH"/>
            </w:rPr>
          </w:pPr>
          <w:fldSimple w:instr=" DOCPROPERTY &quot;Header&quot; \* MERGEFORMAT ">
            <w:r w:rsidR="00336F5C" w:rsidRPr="00336F5C">
              <w:rPr>
                <w:color w:val="000000"/>
                <w:lang w:val="fr-CH"/>
              </w:rPr>
              <w:t>AR</w:t>
            </w:r>
          </w:fldSimple>
          <w:r w:rsidR="006E4D4B">
            <w:rPr>
              <w:color w:val="000000"/>
            </w:rPr>
            <w:fldChar w:fldCharType="begin"/>
          </w:r>
          <w:r w:rsidR="006E4D4B">
            <w:rPr>
              <w:color w:val="000000"/>
              <w:lang w:val="fr-CH"/>
            </w:rPr>
            <w:instrText>styleref href2</w:instrText>
          </w:r>
          <w:r w:rsidR="006E4D4B">
            <w:rPr>
              <w:color w:val="000000"/>
            </w:rPr>
            <w:fldChar w:fldCharType="separate"/>
          </w:r>
          <w:r w:rsidR="00336F5C">
            <w:rPr>
              <w:noProof/>
              <w:color w:val="000000"/>
            </w:rPr>
            <w:t>13</w:t>
          </w:r>
          <w:r w:rsidR="006E4D4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19DC1" w14:textId="77777777" w:rsidR="006E4D4B" w:rsidRDefault="006E4D4B" w:rsidP="006E4D4B">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F30D92">
            <w:rPr>
              <w:rStyle w:val="PageNumber"/>
              <w:noProof/>
              <w:color w:val="000000"/>
              <w:lang w:val="fr-CH"/>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DB8D8" w14:textId="5C69CADB" w:rsidR="006E4D4B" w:rsidRDefault="006E4D4B" w:rsidP="006E4D4B">
          <w:pPr>
            <w:pStyle w:val="HeaderRegProc"/>
            <w:rPr>
              <w:color w:val="000000"/>
              <w:lang w:val="fr-CH"/>
            </w:rPr>
          </w:pPr>
          <w:proofErr w:type="gramStart"/>
          <w:r>
            <w:rPr>
              <w:color w:val="000000"/>
              <w:lang w:val="fr-CH"/>
            </w:rPr>
            <w:t>rev</w:t>
          </w:r>
          <w:proofErr w:type="gramEnd"/>
          <w:r>
            <w:rPr>
              <w:color w:val="000000"/>
              <w:lang w:val="fr-CH"/>
            </w:rPr>
            <w:t>.</w:t>
          </w:r>
          <w:r w:rsidR="00566ECF">
            <w:rPr>
              <w:color w:val="000000"/>
              <w:lang w:val="fr-CH"/>
            </w:rPr>
            <w:t xml:space="preserve"> </w:t>
          </w:r>
          <w:r w:rsidR="009555C6">
            <w:rPr>
              <w:color w:val="000000"/>
              <w:lang w:val="fr-CH"/>
            </w:rPr>
            <w:t>7</w:t>
          </w:r>
        </w:p>
      </w:tc>
    </w:tr>
  </w:tbl>
  <w:p w14:paraId="151E3FB6" w14:textId="77777777" w:rsidR="006E4D4B" w:rsidRDefault="006E4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2E66" w14:paraId="76C16CEF" w14:textId="77777777" w:rsidTr="00C71F3C">
      <w:trPr>
        <w:cantSplit/>
        <w:jc w:val="right"/>
      </w:trPr>
      <w:tc>
        <w:tcPr>
          <w:tcW w:w="1701" w:type="dxa"/>
          <w:tcBorders>
            <w:top w:val="single" w:sz="6" w:space="0" w:color="auto"/>
            <w:left w:val="single" w:sz="6" w:space="0" w:color="auto"/>
            <w:bottom w:val="single" w:sz="6" w:space="0" w:color="auto"/>
            <w:right w:val="single" w:sz="6" w:space="0" w:color="auto"/>
          </w:tcBorders>
        </w:tcPr>
        <w:p w14:paraId="55373E7B" w14:textId="77777777" w:rsidR="00E22E66" w:rsidRDefault="00E22E66" w:rsidP="00E22E6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364D1BF" w14:textId="78D5F649" w:rsidR="00E22E66" w:rsidRDefault="00415926" w:rsidP="00E22E66">
          <w:pPr>
            <w:pStyle w:val="HeaderRegProc"/>
            <w:rPr>
              <w:color w:val="000000"/>
              <w:lang w:val="fr-CH"/>
            </w:rPr>
          </w:pPr>
          <w:fldSimple w:instr=" DOCPROPERTY &quot;Header&quot; \* MERGEFORMAT ">
            <w:r w:rsidR="00336F5C" w:rsidRPr="00336F5C">
              <w:rPr>
                <w:color w:val="000000"/>
                <w:lang w:val="fr-CH"/>
              </w:rPr>
              <w:t>AR</w:t>
            </w:r>
          </w:fldSimple>
          <w:r w:rsidR="00E22E66">
            <w:rPr>
              <w:color w:val="000000"/>
            </w:rPr>
            <w:fldChar w:fldCharType="begin"/>
          </w:r>
          <w:r w:rsidR="00E22E66">
            <w:rPr>
              <w:color w:val="000000"/>
              <w:lang w:val="fr-CH"/>
            </w:rPr>
            <w:instrText>styleref href2</w:instrText>
          </w:r>
          <w:r w:rsidR="00E22E66">
            <w:rPr>
              <w:color w:val="000000"/>
            </w:rPr>
            <w:fldChar w:fldCharType="separate"/>
          </w:r>
          <w:r w:rsidR="00336F5C">
            <w:rPr>
              <w:noProof/>
              <w:color w:val="000000"/>
            </w:rPr>
            <w:t>13</w:t>
          </w:r>
          <w:r w:rsidR="00E22E6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CF56CB" w14:textId="77777777" w:rsidR="00E22E66" w:rsidRDefault="00E22E66" w:rsidP="00E22E6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F30D92">
            <w:rPr>
              <w:rStyle w:val="PageNumber"/>
              <w:noProof/>
              <w:color w:val="000000"/>
              <w:lang w:val="fr-CH"/>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416B62" w14:textId="44C59B84" w:rsidR="00E22E66" w:rsidRDefault="00E22E66" w:rsidP="00E22E66">
          <w:pPr>
            <w:pStyle w:val="HeaderRegProc"/>
            <w:rPr>
              <w:color w:val="000000"/>
              <w:lang w:val="fr-CH"/>
            </w:rPr>
          </w:pPr>
          <w:proofErr w:type="gramStart"/>
          <w:r>
            <w:rPr>
              <w:color w:val="000000"/>
              <w:lang w:val="fr-CH"/>
            </w:rPr>
            <w:t>rev</w:t>
          </w:r>
          <w:proofErr w:type="gramEnd"/>
          <w:r>
            <w:rPr>
              <w:color w:val="000000"/>
              <w:lang w:val="fr-CH"/>
            </w:rPr>
            <w:t>.</w:t>
          </w:r>
          <w:r w:rsidR="00566ECF">
            <w:rPr>
              <w:color w:val="000000"/>
              <w:lang w:val="fr-CH"/>
            </w:rPr>
            <w:t xml:space="preserve"> </w:t>
          </w:r>
          <w:r w:rsidR="009555C6">
            <w:rPr>
              <w:color w:val="000000"/>
              <w:lang w:val="fr-CH"/>
            </w:rPr>
            <w:t>7</w:t>
          </w:r>
        </w:p>
      </w:tc>
    </w:tr>
  </w:tbl>
  <w:p w14:paraId="757D00F6" w14:textId="77777777" w:rsidR="00A71D99" w:rsidRDefault="00A71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819CA" w14:textId="77777777" w:rsidR="006E4D4B" w:rsidRDefault="006E4D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2868"/>
    <w:rsid w:val="000F29C3"/>
    <w:rsid w:val="001A0464"/>
    <w:rsid w:val="00211B61"/>
    <w:rsid w:val="002442CE"/>
    <w:rsid w:val="00254A2B"/>
    <w:rsid w:val="00336F5C"/>
    <w:rsid w:val="00415926"/>
    <w:rsid w:val="004764CA"/>
    <w:rsid w:val="0053282D"/>
    <w:rsid w:val="00560C69"/>
    <w:rsid w:val="00566ECF"/>
    <w:rsid w:val="005826B3"/>
    <w:rsid w:val="006649A6"/>
    <w:rsid w:val="006E4D4B"/>
    <w:rsid w:val="0072425D"/>
    <w:rsid w:val="008C36C6"/>
    <w:rsid w:val="009555C6"/>
    <w:rsid w:val="009661C0"/>
    <w:rsid w:val="00A7012B"/>
    <w:rsid w:val="00A71D99"/>
    <w:rsid w:val="00B31451"/>
    <w:rsid w:val="00C04026"/>
    <w:rsid w:val="00CA2E2E"/>
    <w:rsid w:val="00CB62ED"/>
    <w:rsid w:val="00E22E66"/>
    <w:rsid w:val="00E950F9"/>
    <w:rsid w:val="00F04A3E"/>
    <w:rsid w:val="00F1625B"/>
    <w:rsid w:val="00F30D92"/>
    <w:rsid w:val="00FB28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4B913"/>
  <w15:docId w15:val="{3FD2DDF3-65CC-427C-B261-3A60CBDD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ArtNo">
    <w:name w:val="Art_No"/>
    <w:basedOn w:val="Normal"/>
    <w:next w:val="Arttitle"/>
    <w:rsid w:val="00E950F9"/>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character" w:customStyle="1" w:styleId="FootnoteTextChar">
    <w:name w:val="Footnote Text Char"/>
    <w:basedOn w:val="DefaultParagraphFont"/>
    <w:link w:val="FootnoteText"/>
    <w:rsid w:val="00E950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5D18A-78A2-4ADE-8F9E-43A6EB069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37</TotalTime>
  <Pages>3</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1 - 2</cp:keywords>
  <dc:description>Edition 2009:  10.02.2009/SdN_x000d_
Corr.:  24.02.2009/DD (dict. ok)</dc:description>
  <cp:lastModifiedBy>Hala Al-Yammouni</cp:lastModifiedBy>
  <cp:revision>28</cp:revision>
  <cp:lastPrinted>2020-11-20T10:42:00Z</cp:lastPrinted>
  <dcterms:created xsi:type="dcterms:W3CDTF">2012-08-08T06:49:00Z</dcterms:created>
  <dcterms:modified xsi:type="dcterms:W3CDTF">2020-11-20T10:43:00Z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