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A17857" w14:textId="77777777" w:rsidR="002150F8" w:rsidRPr="008E5ED7" w:rsidRDefault="002150F8" w:rsidP="00552405">
      <w:pPr>
        <w:pStyle w:val="Heading1"/>
        <w:spacing w:before="300"/>
        <w:ind w:left="0" w:firstLine="0"/>
        <w:jc w:val="center"/>
      </w:pPr>
      <w:r w:rsidRPr="008E5ED7">
        <w:t>Rules concerning</w:t>
      </w:r>
    </w:p>
    <w:p w14:paraId="41924C51" w14:textId="77777777" w:rsidR="002150F8" w:rsidRPr="008E5ED7" w:rsidRDefault="002150F8">
      <w:pPr>
        <w:pStyle w:val="Heading2"/>
        <w:jc w:val="center"/>
      </w:pPr>
      <w:r w:rsidRPr="008E5ED7">
        <w:t xml:space="preserve">APPENDIX  </w:t>
      </w:r>
      <w:r w:rsidRPr="008E5ED7">
        <w:rPr>
          <w:rStyle w:val="href2"/>
        </w:rPr>
        <w:t>30A</w:t>
      </w:r>
      <w:r w:rsidRPr="008E5ED7">
        <w:t xml:space="preserve"> to the RR</w:t>
      </w:r>
    </w:p>
    <w:p w14:paraId="2486876F" w14:textId="77777777" w:rsidR="002150F8" w:rsidRPr="008E5ED7" w:rsidRDefault="002150F8">
      <w:pPr>
        <w:jc w:val="center"/>
      </w:pPr>
      <w:r w:rsidRPr="008E5ED7">
        <w:t xml:space="preserve">(Rules are arranged by paragraph numbers of Appendix </w:t>
      </w:r>
      <w:r w:rsidRPr="008E5ED7">
        <w:rPr>
          <w:rStyle w:val="Appref"/>
          <w:b/>
          <w:color w:val="000000"/>
        </w:rPr>
        <w:t>30A</w:t>
      </w:r>
      <w:r w:rsidRPr="008E5ED7">
        <w:t>)</w:t>
      </w:r>
    </w:p>
    <w:p w14:paraId="58067627" w14:textId="77777777" w:rsidR="00D416CC" w:rsidRPr="00D416CC" w:rsidRDefault="00D416CC" w:rsidP="007F63CA">
      <w:pPr>
        <w:pStyle w:val="Heading8"/>
        <w:spacing w:before="240"/>
      </w:pPr>
      <w:r w:rsidRPr="00D416CC">
        <w:t>Art. 2A</w:t>
      </w:r>
    </w:p>
    <w:p w14:paraId="0AEFA54A" w14:textId="77777777" w:rsidR="00D416CC" w:rsidRPr="00236B7B" w:rsidRDefault="00D416CC" w:rsidP="00D416CC">
      <w:pPr>
        <w:pStyle w:val="Heading2"/>
        <w:ind w:left="0" w:firstLine="0"/>
        <w:jc w:val="center"/>
        <w:rPr>
          <w:rFonts w:asciiTheme="minorHAnsi" w:hAnsiTheme="minorHAnsi"/>
          <w:b w:val="0"/>
        </w:rPr>
      </w:pPr>
      <w:r w:rsidRPr="00D416CC">
        <w:t>Use of the guardbands</w:t>
      </w:r>
    </w:p>
    <w:p w14:paraId="5648E475" w14:textId="77777777" w:rsidR="007F63CA" w:rsidRDefault="007F63CA"/>
    <w:p w14:paraId="45713179" w14:textId="52FF9FC0" w:rsidR="007F63CA" w:rsidRDefault="007F63CA"/>
    <w:p w14:paraId="33A05FD2" w14:textId="4A392AB7" w:rsidR="006C381B" w:rsidRDefault="006C381B"/>
    <w:p w14:paraId="0E288FF7" w14:textId="0F790961" w:rsidR="006C381B" w:rsidRDefault="006C381B"/>
    <w:p w14:paraId="31698802" w14:textId="7A3B638F" w:rsidR="006C381B" w:rsidRDefault="006C381B"/>
    <w:p w14:paraId="53677017" w14:textId="77777777" w:rsidR="006C381B" w:rsidRDefault="006C381B"/>
    <w:p w14:paraId="496BB22F" w14:textId="77777777" w:rsidR="00664725" w:rsidRDefault="00664725">
      <w:pPr>
        <w:sectPr w:rsidR="00664725">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349E4D13" w14:textId="77777777" w:rsidR="002150F8" w:rsidRPr="008E5ED7" w:rsidRDefault="002150F8">
      <w:pPr>
        <w:pStyle w:val="Heading8"/>
        <w:spacing w:before="240"/>
      </w:pPr>
      <w:bookmarkStart w:id="0" w:name="_Toc510511260"/>
      <w:r w:rsidRPr="008E5ED7">
        <w:lastRenderedPageBreak/>
        <w:t>Art. 4</w:t>
      </w:r>
      <w:bookmarkEnd w:id="0"/>
    </w:p>
    <w:p w14:paraId="37FFAE24" w14:textId="77777777" w:rsidR="002150F8" w:rsidRPr="008E5ED7" w:rsidRDefault="002150F8" w:rsidP="00552405">
      <w:pPr>
        <w:pStyle w:val="Heading2"/>
        <w:ind w:left="0" w:firstLine="0"/>
        <w:jc w:val="center"/>
      </w:pPr>
      <w:bookmarkStart w:id="1" w:name="_Toc510511261"/>
      <w:r w:rsidRPr="008E5ED7">
        <w:t>Procedures for modifications to the Region 2 feeder-link</w:t>
      </w:r>
      <w:r w:rsidR="00552405" w:rsidRPr="008E5ED7">
        <w:t xml:space="preserve"> </w:t>
      </w:r>
      <w:r w:rsidRPr="008E5ED7">
        <w:t>Plan</w:t>
      </w:r>
      <w:bookmarkEnd w:id="1"/>
      <w:r w:rsidR="00552405" w:rsidRPr="008E5ED7">
        <w:br/>
      </w:r>
      <w:r w:rsidRPr="008E5ED7">
        <w:t xml:space="preserve">or for additional uses in Regions </w:t>
      </w:r>
      <w:r w:rsidRPr="008E5ED7">
        <w:rPr>
          <w:rStyle w:val="href"/>
        </w:rPr>
        <w:t>1</w:t>
      </w:r>
      <w:r w:rsidRPr="008E5ED7">
        <w:t xml:space="preserve"> and 3</w:t>
      </w:r>
    </w:p>
    <w:p w14:paraId="66C8658E" w14:textId="77777777" w:rsidR="002150F8" w:rsidRPr="008E5ED7" w:rsidRDefault="002150F8">
      <w:pPr>
        <w:pStyle w:val="Heading9"/>
        <w:tabs>
          <w:tab w:val="clear" w:pos="1134"/>
          <w:tab w:val="clear" w:pos="1871"/>
        </w:tabs>
        <w:ind w:right="7370"/>
        <w:jc w:val="left"/>
      </w:pPr>
      <w:r w:rsidRPr="008E5ED7">
        <w:t xml:space="preserve">4.1.1 </w:t>
      </w:r>
      <w:r w:rsidRPr="008E5ED7">
        <w:rPr>
          <w:i/>
          <w:iCs/>
        </w:rPr>
        <w:t>a)</w:t>
      </w:r>
      <w:r w:rsidRPr="008E5ED7">
        <w:rPr>
          <w:i/>
          <w:iCs/>
        </w:rPr>
        <w:br/>
      </w:r>
      <w:r w:rsidRPr="008E5ED7">
        <w:t xml:space="preserve">and 4.1.1 </w:t>
      </w:r>
      <w:r w:rsidRPr="008E5ED7">
        <w:rPr>
          <w:i/>
          <w:iCs/>
        </w:rPr>
        <w:t>b)</w:t>
      </w:r>
    </w:p>
    <w:p w14:paraId="30ECE78E" w14:textId="77777777" w:rsidR="002150F8" w:rsidRPr="008E5ED7" w:rsidRDefault="002150F8" w:rsidP="00552405">
      <w:r w:rsidRPr="008E5ED7">
        <w:t>1</w:t>
      </w:r>
      <w:r w:rsidRPr="008E5ED7">
        <w:tab/>
        <w:t>In determining those administrations of Regions 1 and 3 that may be affected, the proposed new or modified assignment to the List is examined with respect to the Regions</w:t>
      </w:r>
      <w:r w:rsidR="00552405" w:rsidRPr="008E5ED7">
        <w:t> </w:t>
      </w:r>
      <w:r w:rsidRPr="008E5ED7">
        <w:t xml:space="preserve">1 and 3 Plan and List as they exist at the date of receipt of the proposed new or modified assignment to the List, including the other proposed new or modified assignments to the List received before that date (whether the procedure of Article 4 is complete or not). The examination consists of ensuring that the limits of § 4 of Annex 1 of Appendix </w:t>
      </w:r>
      <w:r w:rsidRPr="008E5ED7">
        <w:rPr>
          <w:rStyle w:val="Appref"/>
          <w:b/>
          <w:color w:val="000000"/>
        </w:rPr>
        <w:t>30A</w:t>
      </w:r>
      <w:r w:rsidRPr="008E5ED7">
        <w:t xml:space="preserve"> are not exceeded. Account is also taken of any time-limited new or modified assignments to the List in accordance with § 4.1.13.</w:t>
      </w:r>
    </w:p>
    <w:p w14:paraId="0B7C0CCE" w14:textId="77777777" w:rsidR="002150F8" w:rsidRPr="008E5ED7" w:rsidRDefault="002150F8" w:rsidP="00552405">
      <w:r w:rsidRPr="008E5ED7">
        <w:t>2</w:t>
      </w:r>
      <w:r w:rsidRPr="008E5ED7">
        <w:tab/>
        <w:t>Following the introduction by the 1983 Conference of the grouping concept for</w:t>
      </w:r>
      <w:r w:rsidR="00552405" w:rsidRPr="008E5ED7">
        <w:t xml:space="preserve"> </w:t>
      </w:r>
      <w:r w:rsidRPr="008E5ED7">
        <w:t xml:space="preserve">Region 2 (Articles 9 and 10 of Appendices </w:t>
      </w:r>
      <w:r w:rsidRPr="008E5ED7">
        <w:rPr>
          <w:rStyle w:val="Appref"/>
          <w:b/>
          <w:color w:val="000000"/>
        </w:rPr>
        <w:t>S30A</w:t>
      </w:r>
      <w:r w:rsidRPr="008E5ED7">
        <w:t xml:space="preserve"> and </w:t>
      </w:r>
      <w:r w:rsidRPr="008E5ED7">
        <w:rPr>
          <w:rStyle w:val="Appref"/>
          <w:b/>
          <w:color w:val="000000"/>
        </w:rPr>
        <w:t>S30</w:t>
      </w:r>
      <w:r w:rsidRPr="008E5ED7">
        <w:t xml:space="preserve"> respectively) and further to the</w:t>
      </w:r>
      <w:r w:rsidR="00552405" w:rsidRPr="008E5ED7">
        <w:t xml:space="preserve"> </w:t>
      </w:r>
      <w:r w:rsidRPr="008E5ED7">
        <w:t>de</w:t>
      </w:r>
      <w:r w:rsidR="00552405" w:rsidRPr="008E5ED7">
        <w:t>c</w:t>
      </w:r>
      <w:r w:rsidRPr="008E5ED7">
        <w:t xml:space="preserve">ision of WARC Orb-88 to apply the grouping concept to the Regions 1 and 3 feeder-link Plan (Article 9A of Appendix </w:t>
      </w:r>
      <w:r w:rsidRPr="008E5ED7">
        <w:rPr>
          <w:rStyle w:val="Appref"/>
          <w:b/>
          <w:color w:val="000000"/>
        </w:rPr>
        <w:t>S30A</w:t>
      </w:r>
      <w:r w:rsidRPr="008E5ED7">
        <w:t>), the ex-IFRB decided to extend this concept to the</w:t>
      </w:r>
      <w:r w:rsidR="00552405" w:rsidRPr="008E5ED7">
        <w:t xml:space="preserve"> </w:t>
      </w:r>
      <w:r w:rsidRPr="008E5ED7">
        <w:t>1977 Conference BSS Plan. WRC</w:t>
      </w:r>
      <w:r w:rsidRPr="008E5ED7">
        <w:noBreakHyphen/>
        <w:t>2000 endorsed this decision and decided to include the</w:t>
      </w:r>
      <w:r w:rsidR="00552405" w:rsidRPr="008E5ED7">
        <w:t xml:space="preserve"> </w:t>
      </w:r>
      <w:r w:rsidRPr="008E5ED7">
        <w:t>same grouping concept definition in Articles 11 and 9A of Appendices</w:t>
      </w:r>
      <w:r w:rsidR="00552405" w:rsidRPr="008E5ED7">
        <w:t> </w:t>
      </w:r>
      <w:r w:rsidRPr="008E5ED7">
        <w:rPr>
          <w:rStyle w:val="Appref"/>
          <w:b/>
          <w:color w:val="000000"/>
        </w:rPr>
        <w:t>30</w:t>
      </w:r>
      <w:r w:rsidRPr="008E5ED7">
        <w:t xml:space="preserve"> and</w:t>
      </w:r>
      <w:r w:rsidR="00552405" w:rsidRPr="008E5ED7">
        <w:t> </w:t>
      </w:r>
      <w:r w:rsidRPr="008E5ED7">
        <w:rPr>
          <w:rStyle w:val="Appref"/>
          <w:b/>
          <w:color w:val="000000"/>
        </w:rPr>
        <w:t>30A</w:t>
      </w:r>
      <w:r w:rsidRPr="008E5ED7">
        <w:t xml:space="preserve"> respectively.</w:t>
      </w:r>
    </w:p>
    <w:p w14:paraId="3103E2A0" w14:textId="77777777" w:rsidR="002150F8" w:rsidRPr="008E5ED7" w:rsidRDefault="002150F8" w:rsidP="00552405">
      <w:r w:rsidRPr="008E5ED7">
        <w:t>3</w:t>
      </w:r>
      <w:r w:rsidRPr="008E5ED7">
        <w:tab/>
        <w:t>The Board’s understanding of the group concept is that in the interference calculation to assignments that are part of the group, only the interference contribution from assignments that are not part of the same group are to be considered. On the other hand, for the interference calculation from assignments belonging to a group into assignments that are not part of the same group, only the worst interference contribution from that group is to be taken into consideration.</w:t>
      </w:r>
    </w:p>
    <w:p w14:paraId="7D19D8E8" w14:textId="77777777" w:rsidR="007F63CA" w:rsidRDefault="002150F8" w:rsidP="005D60D8">
      <w:r w:rsidRPr="008E5ED7">
        <w:t>4</w:t>
      </w:r>
      <w:r w:rsidRPr="008E5ED7">
        <w:tab/>
        <w:t xml:space="preserve">According to </w:t>
      </w:r>
      <w:r w:rsidRPr="008E5ED7">
        <w:rPr>
          <w:i/>
          <w:iCs/>
        </w:rPr>
        <w:t>resolves</w:t>
      </w:r>
      <w:r w:rsidRPr="008E5ED7">
        <w:t xml:space="preserve"> 5 of Resolution </w:t>
      </w:r>
      <w:r w:rsidRPr="008E5ED7">
        <w:rPr>
          <w:rStyle w:val="Resref"/>
          <w:b/>
          <w:bCs/>
          <w:color w:val="000000"/>
        </w:rPr>
        <w:t>548 (WRC-</w:t>
      </w:r>
      <w:r w:rsidR="005D60D8">
        <w:rPr>
          <w:rStyle w:val="Resref"/>
          <w:b/>
          <w:bCs/>
          <w:color w:val="000000"/>
        </w:rPr>
        <w:t>12</w:t>
      </w:r>
      <w:r w:rsidRPr="008E5ED7">
        <w:rPr>
          <w:rStyle w:val="Resref"/>
          <w:b/>
          <w:bCs/>
          <w:color w:val="000000"/>
        </w:rPr>
        <w:t>)</w:t>
      </w:r>
      <w:r w:rsidRPr="008E5ED7">
        <w:t>, in the processing of Regions 1 and 3 Article 4 submissions received after 2 June 2000 for identification of affected administrations, each network in a group shall be examined separately without taking into account the interference contribution from the other networks in the group. This means that the concept of calculating the worst interference contribution from the assignments that are part of a group to assignments that are not part of the same group, as indicated in Article</w:t>
      </w:r>
      <w:r w:rsidR="00552405" w:rsidRPr="008E5ED7">
        <w:t> </w:t>
      </w:r>
      <w:r w:rsidRPr="008E5ED7">
        <w:t xml:space="preserve">9A </w:t>
      </w:r>
      <w:r w:rsidR="00C96159">
        <w:br/>
      </w:r>
    </w:p>
    <w:p w14:paraId="63A332BE" w14:textId="77777777" w:rsidR="00C96159" w:rsidRDefault="00C96159">
      <w:pPr>
        <w:tabs>
          <w:tab w:val="clear" w:pos="1134"/>
          <w:tab w:val="clear" w:pos="1871"/>
          <w:tab w:val="clear" w:pos="2268"/>
        </w:tabs>
        <w:overflowPunct/>
        <w:autoSpaceDE/>
        <w:autoSpaceDN/>
        <w:adjustRightInd/>
        <w:spacing w:before="0"/>
        <w:jc w:val="left"/>
        <w:textAlignment w:val="auto"/>
      </w:pPr>
      <w:r>
        <w:br w:type="page"/>
      </w:r>
    </w:p>
    <w:p w14:paraId="06DE839C" w14:textId="77777777" w:rsidR="002150F8" w:rsidRPr="008E5ED7" w:rsidRDefault="002150F8" w:rsidP="007F63CA">
      <w:r w:rsidRPr="008E5ED7">
        <w:lastRenderedPageBreak/>
        <w:t>(column 15) of Appendix</w:t>
      </w:r>
      <w:r w:rsidR="00552405" w:rsidRPr="008E5ED7">
        <w:t xml:space="preserve"> </w:t>
      </w:r>
      <w:r w:rsidRPr="008E5ED7">
        <w:rPr>
          <w:rStyle w:val="Appref"/>
          <w:b/>
          <w:color w:val="000000"/>
        </w:rPr>
        <w:t>30A</w:t>
      </w:r>
      <w:r w:rsidRPr="008E5ED7">
        <w:t>, is not applicable to the grouped networks for the identification of affected administrations in accordance with §</w:t>
      </w:r>
      <w:r w:rsidR="00552405" w:rsidRPr="008E5ED7">
        <w:t> </w:t>
      </w:r>
      <w:r w:rsidRPr="008E5ED7">
        <w:t>4.1.5 of that Appendix. In applying § 4.1.11, the application of this method to networks received before 3 June 2000 shall not result in additional coordination requirements for those networks.</w:t>
      </w:r>
    </w:p>
    <w:p w14:paraId="216BB052" w14:textId="77777777" w:rsidR="002150F8" w:rsidRPr="008E5ED7" w:rsidRDefault="002150F8" w:rsidP="005D60D8">
      <w:r w:rsidRPr="008E5ED7">
        <w:t>5</w:t>
      </w:r>
      <w:r w:rsidRPr="008E5ED7">
        <w:tab/>
      </w:r>
      <w:r w:rsidRPr="008E5ED7">
        <w:rPr>
          <w:color w:val="000000"/>
        </w:rPr>
        <w:t xml:space="preserve">In order to implement this separate examination and calculate the interference effect of </w:t>
      </w:r>
      <w:r w:rsidRPr="008E5ED7">
        <w:t xml:space="preserve">an Article 4 network under examination independent of the other networks in the group </w:t>
      </w:r>
      <w:r w:rsidRPr="008E5ED7">
        <w:rPr>
          <w:color w:val="000000"/>
        </w:rPr>
        <w:t xml:space="preserve">in accordance with </w:t>
      </w:r>
      <w:r w:rsidRPr="008E5ED7">
        <w:rPr>
          <w:i/>
          <w:iCs/>
        </w:rPr>
        <w:t xml:space="preserve">resolves </w:t>
      </w:r>
      <w:r w:rsidRPr="008E5ED7">
        <w:t xml:space="preserve">5 of Resolution </w:t>
      </w:r>
      <w:r w:rsidRPr="008E5ED7">
        <w:rPr>
          <w:rStyle w:val="Resref"/>
          <w:b/>
          <w:bCs/>
          <w:color w:val="000000"/>
        </w:rPr>
        <w:t>548 (WRC-</w:t>
      </w:r>
      <w:r w:rsidR="005D60D8">
        <w:rPr>
          <w:rStyle w:val="Resref"/>
          <w:b/>
          <w:bCs/>
          <w:color w:val="000000"/>
        </w:rPr>
        <w:t>12</w:t>
      </w:r>
      <w:r w:rsidRPr="008E5ED7">
        <w:rPr>
          <w:rStyle w:val="Resref"/>
          <w:b/>
          <w:bCs/>
          <w:color w:val="000000"/>
        </w:rPr>
        <w:t>)</w:t>
      </w:r>
      <w:r w:rsidRPr="008E5ED7">
        <w:t>, the Board concluded that the following method should be used.</w:t>
      </w:r>
    </w:p>
    <w:p w14:paraId="3B57F98E" w14:textId="77777777" w:rsidR="002150F8" w:rsidRPr="008E5ED7" w:rsidRDefault="002150F8">
      <w:r w:rsidRPr="008E5ED7">
        <w:t>Identification of affected administrations should be carried out without taking into account the interference contribution from the Plan and the List assignments grouped with assignments of an Article 4 network under examination based on the reference situation established without taking into account the interference contribution from those grouped assignments.</w:t>
      </w:r>
    </w:p>
    <w:p w14:paraId="390D862B" w14:textId="77777777" w:rsidR="002150F8" w:rsidRPr="008E5ED7" w:rsidRDefault="002150F8" w:rsidP="005D60D8">
      <w:r w:rsidRPr="008E5ED7">
        <w:t>6</w:t>
      </w:r>
      <w:r w:rsidRPr="008E5ED7">
        <w:tab/>
        <w:t xml:space="preserve">For the Regions 1 and 3 feeder-link Plans and Lists, in accordance with </w:t>
      </w:r>
      <w:r w:rsidRPr="008E5ED7">
        <w:rPr>
          <w:i/>
          <w:iCs/>
        </w:rPr>
        <w:t>resolves</w:t>
      </w:r>
      <w:r w:rsidR="00552405" w:rsidRPr="008E5ED7">
        <w:t> </w:t>
      </w:r>
      <w:r w:rsidRPr="008E5ED7">
        <w:t xml:space="preserve">1 of Resolution </w:t>
      </w:r>
      <w:r w:rsidRPr="008E5ED7">
        <w:rPr>
          <w:rStyle w:val="Resref"/>
          <w:b/>
          <w:bCs/>
          <w:color w:val="000000"/>
        </w:rPr>
        <w:t>548 (WRC-</w:t>
      </w:r>
      <w:r w:rsidR="005D60D8">
        <w:rPr>
          <w:rStyle w:val="Resref"/>
          <w:b/>
          <w:bCs/>
          <w:color w:val="000000"/>
        </w:rPr>
        <w:t>12</w:t>
      </w:r>
      <w:r w:rsidRPr="008E5ED7">
        <w:rPr>
          <w:rStyle w:val="Resref"/>
          <w:b/>
          <w:bCs/>
          <w:color w:val="000000"/>
        </w:rPr>
        <w:t>)</w:t>
      </w:r>
      <w:r w:rsidRPr="008E5ED7">
        <w:t xml:space="preserve"> and the decision of the Plenary of WRC-03, the Board concluded that grouping of networks separated by more than 0.4° in the geostationary arc is not permitted in the List except for application of § 4.1.27. However, grouping of networks separated by more than 0.4° may be used before the inclusion of the assignments in the List to modify the orbital position of a network.</w:t>
      </w:r>
    </w:p>
    <w:p w14:paraId="56E0E155" w14:textId="77777777" w:rsidR="002150F8" w:rsidRPr="008E5ED7" w:rsidRDefault="002150F8" w:rsidP="00552405">
      <w:pPr>
        <w:spacing w:line="270" w:lineRule="exact"/>
        <w:rPr>
          <w:color w:val="000000"/>
        </w:rPr>
      </w:pPr>
      <w:r w:rsidRPr="008E5ED7">
        <w:rPr>
          <w:color w:val="000000"/>
        </w:rPr>
        <w:t>For the Region 2 Plan, with respect to §</w:t>
      </w:r>
      <w:r w:rsidR="00552405" w:rsidRPr="008E5ED7">
        <w:rPr>
          <w:color w:val="000000"/>
        </w:rPr>
        <w:t> </w:t>
      </w:r>
      <w:r w:rsidRPr="008E5ED7">
        <w:rPr>
          <w:color w:val="000000"/>
        </w:rPr>
        <w:t xml:space="preserve">4.2.2 </w:t>
      </w:r>
      <w:r w:rsidRPr="008E5ED7">
        <w:rPr>
          <w:i/>
          <w:iCs/>
          <w:color w:val="000000"/>
        </w:rPr>
        <w:t>c)</w:t>
      </w:r>
      <w:r w:rsidRPr="008E5ED7">
        <w:rPr>
          <w:color w:val="000000"/>
        </w:rPr>
        <w:t>, the Board did not find any regulatory basis to extend the use of groupings involving multiple orbital positions (except for the case of 0.4</w:t>
      </w:r>
      <w:r w:rsidRPr="008E5ED7">
        <w:rPr>
          <w:color w:val="000000"/>
        </w:rPr>
        <w:sym w:font="Symbol" w:char="F0B0"/>
      </w:r>
      <w:r w:rsidRPr="008E5ED7">
        <w:rPr>
          <w:color w:val="000000"/>
        </w:rPr>
        <w:t xml:space="preserve"> orbital separation which was allowed for clusters within the Region 2 Plan and its subsequent modifications).</w:t>
      </w:r>
    </w:p>
    <w:p w14:paraId="0C315F2F" w14:textId="77777777" w:rsidR="002150F8" w:rsidRPr="008E5ED7" w:rsidRDefault="002150F8">
      <w:r w:rsidRPr="008E5ED7">
        <w:t xml:space="preserve">In case of a request for replacement of an assignment/entry of an administration in the Region 2 Plan, the implementation of § 2.2 of the Rules of Procedure relating to § 4.2.6 of Appendix </w:t>
      </w:r>
      <w:r w:rsidRPr="008E5ED7">
        <w:rPr>
          <w:rStyle w:val="Appref"/>
          <w:b/>
          <w:bCs/>
          <w:color w:val="000000"/>
        </w:rPr>
        <w:t>30A</w:t>
      </w:r>
      <w:r w:rsidRPr="008E5ED7">
        <w:t xml:space="preserve"> requires the processing of the modified assignment requested by that admini</w:t>
      </w:r>
      <w:r w:rsidR="00552405" w:rsidRPr="008E5ED7">
        <w:softHyphen/>
      </w:r>
      <w:r w:rsidRPr="008E5ED7">
        <w:t>stration under Article 4 of that Appendix based on the following conditions:</w:t>
      </w:r>
    </w:p>
    <w:p w14:paraId="5D1D57BA" w14:textId="77777777" w:rsidR="002150F8" w:rsidRPr="008E5ED7" w:rsidRDefault="002150F8" w:rsidP="00552405">
      <w:pPr>
        <w:pStyle w:val="enumlev1"/>
      </w:pPr>
      <w:r w:rsidRPr="008E5ED7">
        <w:t>–</w:t>
      </w:r>
      <w:r w:rsidRPr="008E5ED7">
        <w:tab/>
        <w:t>no interference effect from the initial assignment of the requesting administration is considered in the overall equivalent protection margin calculations of the modified assignment requested by that administration, and vice versa; and</w:t>
      </w:r>
    </w:p>
    <w:p w14:paraId="49BB699D" w14:textId="77777777" w:rsidR="002150F8" w:rsidRPr="008E5ED7" w:rsidRDefault="002150F8">
      <w:pPr>
        <w:pStyle w:val="enumlev1"/>
      </w:pPr>
      <w:r w:rsidRPr="008E5ED7">
        <w:t>–</w:t>
      </w:r>
      <w:r w:rsidRPr="008E5ED7">
        <w:tab/>
        <w:t>no aggregate interference effect from the subject initial assignment and the modified assignment of the requesting administration is considered in the overall equivalent protection margin calculations of other assignments, but only the worst interference effect from the two is to be considered.</w:t>
      </w:r>
    </w:p>
    <w:p w14:paraId="35CF8D38" w14:textId="77777777" w:rsidR="002150F8" w:rsidRPr="008E5ED7" w:rsidRDefault="002150F8" w:rsidP="00552405">
      <w:r w:rsidRPr="008E5ED7">
        <w:t>The above-mentioned conditions apply only during the time-period afforded for the processing of the modified assignments under Article 4 of that Appendix. After that time-period, either the subject initial assignment or the modified assignment of the requesting administration will remain in the Plan, depending on the successful application or otherwise of the Article 4 procedure for this modified assignment.</w:t>
      </w:r>
    </w:p>
    <w:p w14:paraId="7669675F" w14:textId="77777777" w:rsidR="002150F8" w:rsidRPr="008E5ED7" w:rsidRDefault="002150F8">
      <w:pPr>
        <w:pStyle w:val="Heading9"/>
      </w:pPr>
      <w:r w:rsidRPr="008E5ED7">
        <w:br w:type="page"/>
      </w:r>
      <w:r w:rsidRPr="008E5ED7">
        <w:lastRenderedPageBreak/>
        <w:t xml:space="preserve">4.1.1 </w:t>
      </w:r>
      <w:r w:rsidRPr="008E5ED7">
        <w:rPr>
          <w:i/>
          <w:iCs/>
        </w:rPr>
        <w:t>c)</w:t>
      </w:r>
    </w:p>
    <w:p w14:paraId="44AF9309" w14:textId="77777777" w:rsidR="002150F8" w:rsidRPr="008E5ED7" w:rsidRDefault="002150F8" w:rsidP="00552405">
      <w:r w:rsidRPr="008E5ED7">
        <w:t>In determining those administrations of Region 2 that may be affected, the proposed new or modified assignment to the 17 GHz Regions 1 and 3 List is examined with respect to the Region 2 Plan as it exists at the date of receipt of the proposed new or modified assignment including the proposed modifications of the Region 2 Plan received before that date (whether the procedure of Article 4 is complete or not). The examination will consider only those administrations having assignments whose necessary</w:t>
      </w:r>
      <w:r w:rsidRPr="008E5ED7">
        <w:rPr>
          <w:rStyle w:val="FootnoteReference"/>
        </w:rPr>
        <w:footnoteReference w:customMarkFollows="1" w:id="1"/>
        <w:t>1</w:t>
      </w:r>
      <w:r w:rsidRPr="008E5ED7">
        <w:t xml:space="preserve"> bandwidth overlaps the necessary</w:t>
      </w:r>
      <w:r w:rsidRPr="002C7F4E">
        <w:rPr>
          <w:rStyle w:val="FootnoteReference"/>
        </w:rPr>
        <w:t>1</w:t>
      </w:r>
      <w:r w:rsidRPr="008E5ED7">
        <w:t xml:space="preserve"> bandwidth of the proposed</w:t>
      </w:r>
      <w:r w:rsidR="00E65E90">
        <w:t xml:space="preserve"> </w:t>
      </w:r>
      <w:r w:rsidRPr="008E5ED7">
        <w:t>new or modified assignment to the 17 GHz Regions</w:t>
      </w:r>
      <w:r w:rsidR="00552405" w:rsidRPr="008E5ED7">
        <w:t> </w:t>
      </w:r>
      <w:r w:rsidRPr="008E5ED7">
        <w:t>1 and</w:t>
      </w:r>
      <w:r w:rsidR="00552405" w:rsidRPr="008E5ED7">
        <w:t> </w:t>
      </w:r>
      <w:r w:rsidRPr="008E5ED7">
        <w:t>3 List. The Region 2 administration is identified as having services which are considered to be affected when the limits specified in § 5 of Annex</w:t>
      </w:r>
      <w:r w:rsidR="00552405" w:rsidRPr="008E5ED7">
        <w:t> </w:t>
      </w:r>
      <w:r w:rsidRPr="008E5ED7">
        <w:t>1 to Appendix</w:t>
      </w:r>
      <w:r w:rsidR="00552405" w:rsidRPr="008E5ED7">
        <w:t> </w:t>
      </w:r>
      <w:r w:rsidRPr="008E5ED7">
        <w:rPr>
          <w:rStyle w:val="Appref"/>
          <w:b/>
          <w:color w:val="000000"/>
        </w:rPr>
        <w:t>30A</w:t>
      </w:r>
      <w:r w:rsidRPr="008E5ED7">
        <w:t xml:space="preserve"> are exceeded.</w:t>
      </w:r>
    </w:p>
    <w:p w14:paraId="1EA88CEC" w14:textId="77777777" w:rsidR="002150F8" w:rsidRPr="008E5ED7" w:rsidRDefault="002150F8">
      <w:pPr>
        <w:pStyle w:val="Heading9"/>
      </w:pPr>
      <w:r w:rsidRPr="008E5ED7">
        <w:t>4.1.3</w:t>
      </w:r>
    </w:p>
    <w:p w14:paraId="43330C9B" w14:textId="77777777" w:rsidR="002150F8" w:rsidRPr="008E5ED7" w:rsidRDefault="002150F8" w:rsidP="00552405">
      <w:r w:rsidRPr="008E5ED7">
        <w:t>1</w:t>
      </w:r>
      <w:r w:rsidRPr="008E5ED7">
        <w:tab/>
        <w:t>In the event that the Bureau cancels a frequency assignment in application of</w:t>
      </w:r>
      <w:r w:rsidR="00552405" w:rsidRPr="008E5ED7">
        <w:t> </w:t>
      </w:r>
      <w:r w:rsidRPr="008E5ED7">
        <w:t>§ 5.3.2 of Article 5 of this Appendix, the corresponding assignment, which has been submitted either under § 4.2.6 (except in the case of a request for replacement of an assignment in the Region 2 Plan) and entered in the Region 2 Plan, or under §</w:t>
      </w:r>
      <w:r w:rsidR="00552405" w:rsidRPr="008E5ED7">
        <w:t> </w:t>
      </w:r>
      <w:r w:rsidRPr="008E5ED7">
        <w:t>4.1.3 and entered in the Regions 1 and 3 List, shall also be removed from the Plan or the List according to the case. The Bureau does not need to recalculate the affected administration(s) as a result of the above-mentioned cancellation.</w:t>
      </w:r>
    </w:p>
    <w:p w14:paraId="18776C1B" w14:textId="77777777" w:rsidR="002150F8" w:rsidRPr="008E5ED7" w:rsidRDefault="002150F8">
      <w:r w:rsidRPr="008E5ED7">
        <w:t>2</w:t>
      </w:r>
      <w:r w:rsidRPr="008E5ED7">
        <w:tab/>
        <w:t>See also Rules of Procedure concerning Receivability of the Forms of Notice.</w:t>
      </w:r>
    </w:p>
    <w:p w14:paraId="387AFA76" w14:textId="77777777" w:rsidR="002150F8" w:rsidRPr="008E5ED7" w:rsidRDefault="002150F8" w:rsidP="00552405">
      <w:pPr>
        <w:pStyle w:val="Heading9"/>
      </w:pPr>
      <w:r w:rsidRPr="008E5ED7">
        <w:t>4.1.7</w:t>
      </w:r>
    </w:p>
    <w:p w14:paraId="60E7529D" w14:textId="77777777" w:rsidR="002150F8" w:rsidRPr="008E5ED7" w:rsidRDefault="002150F8">
      <w:r w:rsidRPr="008E5ED7">
        <w:t>Any request by an administration to be included in the list of administrations to be published shall be based only on technical reasons to be verified using Annex 1 as well as other relevant Annexes. If this indicates that the requesting administration should have been included in the list, the Bureau will include it; otherwise the requesting administration will be informed that its name will not be published, it being left to the notifying administration to consider if it is appropriate to take the request into account.</w:t>
      </w:r>
    </w:p>
    <w:p w14:paraId="25593165" w14:textId="77777777" w:rsidR="002150F8" w:rsidRPr="008E5ED7" w:rsidRDefault="002150F8">
      <w:pPr>
        <w:pStyle w:val="Heading9"/>
      </w:pPr>
      <w:r w:rsidRPr="008E5ED7">
        <w:t>4.1.7</w:t>
      </w:r>
      <w:r w:rsidRPr="008E5ED7">
        <w:rPr>
          <w:i/>
          <w:iCs/>
        </w:rPr>
        <w:t>bis</w:t>
      </w:r>
    </w:p>
    <w:p w14:paraId="69C8B9CB" w14:textId="77777777" w:rsidR="002150F8" w:rsidRPr="008E5ED7" w:rsidRDefault="002150F8">
      <w:r w:rsidRPr="008E5ED7">
        <w:t>The agreement referred to in § 4.1.7</w:t>
      </w:r>
      <w:r w:rsidRPr="008E5ED7">
        <w:rPr>
          <w:i/>
          <w:iCs/>
        </w:rPr>
        <w:t>bis</w:t>
      </w:r>
      <w:r w:rsidRPr="008E5ED7">
        <w:t xml:space="preserve"> is the agreement of the administrations identified under § 4.1.1 and of those under § 4.1.7 which have been confirmed by the Bureau using the appropriate criteria.</w:t>
      </w:r>
    </w:p>
    <w:p w14:paraId="548C933C" w14:textId="77777777" w:rsidR="00C96159" w:rsidRDefault="00C96159">
      <w:pPr>
        <w:tabs>
          <w:tab w:val="clear" w:pos="1134"/>
          <w:tab w:val="clear" w:pos="1871"/>
          <w:tab w:val="clear" w:pos="2268"/>
        </w:tabs>
        <w:overflowPunct/>
        <w:autoSpaceDE/>
        <w:autoSpaceDN/>
        <w:adjustRightInd/>
        <w:spacing w:before="0"/>
        <w:jc w:val="left"/>
        <w:textAlignment w:val="auto"/>
        <w:rPr>
          <w:b/>
        </w:rPr>
      </w:pPr>
      <w:r>
        <w:br w:type="page"/>
      </w:r>
    </w:p>
    <w:p w14:paraId="2FF9539E" w14:textId="77777777" w:rsidR="002150F8" w:rsidRPr="008E5ED7" w:rsidRDefault="002150F8">
      <w:pPr>
        <w:pStyle w:val="Heading9"/>
      </w:pPr>
      <w:r w:rsidRPr="008E5ED7">
        <w:lastRenderedPageBreak/>
        <w:t>4.1.8</w:t>
      </w:r>
    </w:p>
    <w:p w14:paraId="0B09A0AE" w14:textId="77777777" w:rsidR="002150F8" w:rsidRPr="008E5ED7" w:rsidRDefault="002150F8">
      <w:r w:rsidRPr="008E5ED7">
        <w:t>An administration which has only requested additional information in accordance with § 4.1.8 or § 4.2.12 will not be considered by the Bureau to have submitted comments in accordance with § 4.1.10 or § 4.2.14 respectively.</w:t>
      </w:r>
    </w:p>
    <w:p w14:paraId="0B65E33E" w14:textId="77777777" w:rsidR="002150F8" w:rsidRPr="008E5ED7" w:rsidRDefault="002150F8">
      <w:pPr>
        <w:pStyle w:val="Heading9"/>
      </w:pPr>
      <w:r w:rsidRPr="008E5ED7">
        <w:t>4.1.11</w:t>
      </w:r>
    </w:p>
    <w:p w14:paraId="5ECB858F" w14:textId="77777777" w:rsidR="002150F8" w:rsidRDefault="002150F8" w:rsidP="00552405">
      <w:r w:rsidRPr="008E5ED7">
        <w:t>See also comments under §</w:t>
      </w:r>
      <w:r w:rsidR="00552405" w:rsidRPr="008E5ED7">
        <w:t> </w:t>
      </w:r>
      <w:r w:rsidRPr="008E5ED7">
        <w:t>4.1.3 and 4.2.6 and Rules of Procedure relating to the Receivability of the Forms of Notice.</w:t>
      </w:r>
    </w:p>
    <w:p w14:paraId="40CF9617" w14:textId="77777777" w:rsidR="007F63CA" w:rsidRPr="007F63CA" w:rsidRDefault="007F63CA" w:rsidP="007F63CA">
      <w:r w:rsidRPr="007F63CA">
        <w:rPr>
          <w:b/>
          <w:bCs/>
        </w:rPr>
        <w:t>Note</w:t>
      </w:r>
      <w:r w:rsidRPr="007F63CA">
        <w:t xml:space="preserve">:  WRC-15 took the decision related to the RoP on paragraph 4.1.11 of RR Appendices </w:t>
      </w:r>
      <w:r w:rsidRPr="007F63CA">
        <w:rPr>
          <w:b/>
          <w:bCs/>
        </w:rPr>
        <w:t>30</w:t>
      </w:r>
      <w:r w:rsidRPr="007F63CA">
        <w:t xml:space="preserve"> and </w:t>
      </w:r>
      <w:r w:rsidRPr="007F63CA">
        <w:rPr>
          <w:b/>
          <w:bCs/>
        </w:rPr>
        <w:t>30A</w:t>
      </w:r>
      <w:r w:rsidRPr="007F63CA">
        <w:t xml:space="preserve"> during the 8</w:t>
      </w:r>
      <w:r w:rsidRPr="007F63CA">
        <w:rPr>
          <w:vertAlign w:val="superscript"/>
        </w:rPr>
        <w:t>th</w:t>
      </w:r>
      <w:r w:rsidRPr="007F63CA">
        <w:t xml:space="preserve"> Plenary, Par. 1.39 to 1.42 of D</w:t>
      </w:r>
      <w:r w:rsidR="0041080B">
        <w:t>oc. CMR15/505, approval of Doc. </w:t>
      </w:r>
      <w:r w:rsidRPr="007F63CA">
        <w:t>CMR15/416 in relation to Section 3.2.6.4 of Doc. 4 (Add2) (Rev1), as follows:</w:t>
      </w:r>
    </w:p>
    <w:p w14:paraId="76BDD3B5" w14:textId="77777777" w:rsidR="007F63CA" w:rsidRPr="007F63CA" w:rsidRDefault="007F63CA" w:rsidP="00AE076A">
      <w:pPr>
        <w:spacing w:before="120"/>
        <w:rPr>
          <w:i/>
          <w:iCs/>
        </w:rPr>
      </w:pPr>
      <w:r w:rsidRPr="007F63CA">
        <w:rPr>
          <w:i/>
          <w:iCs/>
        </w:rPr>
        <w:t xml:space="preserve">“In Section 3.2.6.2 of Doc. 4 (Add2) (Rev1), the Director described the current practice of the Bureau in examining Part B submissions received under § 4.1.12 of Appendices </w:t>
      </w:r>
      <w:r w:rsidRPr="007F63CA">
        <w:rPr>
          <w:b/>
          <w:bCs/>
          <w:i/>
          <w:iCs/>
        </w:rPr>
        <w:t>30</w:t>
      </w:r>
      <w:r w:rsidRPr="007F63CA">
        <w:rPr>
          <w:i/>
          <w:iCs/>
        </w:rPr>
        <w:t xml:space="preserve"> and </w:t>
      </w:r>
      <w:r w:rsidRPr="007F63CA">
        <w:rPr>
          <w:b/>
          <w:bCs/>
          <w:i/>
          <w:iCs/>
        </w:rPr>
        <w:t>30A</w:t>
      </w:r>
      <w:r w:rsidRPr="007F63CA">
        <w:rPr>
          <w:i/>
          <w:iCs/>
        </w:rPr>
        <w:t xml:space="preserve">: </w:t>
      </w:r>
    </w:p>
    <w:p w14:paraId="6B6FC169" w14:textId="77777777" w:rsidR="007F63CA" w:rsidRPr="007F63CA" w:rsidRDefault="007F63CA" w:rsidP="00AE076A">
      <w:pPr>
        <w:spacing w:before="120"/>
        <w:rPr>
          <w:i/>
          <w:iCs/>
        </w:rPr>
      </w:pPr>
      <w:r w:rsidRPr="007F63CA">
        <w:rPr>
          <w:i/>
          <w:iCs/>
        </w:rPr>
        <w:t xml:space="preserve">The Bureau identifies a list of administrations whose assignments are considered as being affected and receiving more interference as a result of the modification than that produced by the initial proposal in accordance with § 4.1.11. The Bureau then requests the notifying administration to modify the submitted characteristics in order to eliminate the above-mentioned identification or to apply again the provisions of § 4.1 of Appendices </w:t>
      </w:r>
      <w:r w:rsidRPr="007F63CA">
        <w:rPr>
          <w:b/>
          <w:bCs/>
          <w:i/>
          <w:iCs/>
        </w:rPr>
        <w:t>30</w:t>
      </w:r>
      <w:r w:rsidRPr="007F63CA">
        <w:rPr>
          <w:i/>
          <w:iCs/>
        </w:rPr>
        <w:t xml:space="preserve"> and </w:t>
      </w:r>
      <w:r w:rsidRPr="007F63CA">
        <w:rPr>
          <w:b/>
          <w:bCs/>
          <w:i/>
          <w:iCs/>
        </w:rPr>
        <w:t>30A</w:t>
      </w:r>
      <w:r w:rsidRPr="007F63CA">
        <w:rPr>
          <w:i/>
          <w:iCs/>
        </w:rPr>
        <w:t>.</w:t>
      </w:r>
    </w:p>
    <w:p w14:paraId="395BC052" w14:textId="77777777" w:rsidR="007F63CA" w:rsidRPr="007F63CA" w:rsidRDefault="007F63CA" w:rsidP="00AE076A">
      <w:pPr>
        <w:spacing w:before="120"/>
        <w:rPr>
          <w:i/>
          <w:iCs/>
        </w:rPr>
      </w:pPr>
      <w:r w:rsidRPr="007F63CA">
        <w:rPr>
          <w:i/>
          <w:iCs/>
        </w:rPr>
        <w:t>In reply to the Bureau’s request, some administrations have provided the Bureau with the agreement of the administration identified under § 4.1.11.</w:t>
      </w:r>
    </w:p>
    <w:p w14:paraId="0FEDE847" w14:textId="77777777" w:rsidR="007F63CA" w:rsidRPr="007F63CA" w:rsidRDefault="007F63CA" w:rsidP="00AE076A">
      <w:pPr>
        <w:spacing w:before="120"/>
        <w:rPr>
          <w:i/>
          <w:iCs/>
        </w:rPr>
      </w:pPr>
      <w:r w:rsidRPr="007F63CA">
        <w:rPr>
          <w:i/>
          <w:iCs/>
        </w:rPr>
        <w:t>As the agreement to accept more interference has been provided and § 4.1.11 does not explicitly prevent this possibility, the Bureau has not rejected such agreements.</w:t>
      </w:r>
    </w:p>
    <w:p w14:paraId="34F4A125" w14:textId="77777777" w:rsidR="007F63CA" w:rsidRPr="008E5ED7" w:rsidRDefault="007F63CA" w:rsidP="00AE076A">
      <w:pPr>
        <w:spacing w:before="120"/>
      </w:pPr>
      <w:r w:rsidRPr="007F63CA">
        <w:rPr>
          <w:i/>
          <w:iCs/>
        </w:rPr>
        <w:t>WRC-15 endorsed the current BR practice outlined in this section.”</w:t>
      </w:r>
    </w:p>
    <w:p w14:paraId="27D6C882" w14:textId="77777777" w:rsidR="002150F8" w:rsidRPr="008E5ED7" w:rsidRDefault="002150F8">
      <w:pPr>
        <w:pStyle w:val="Heading9"/>
      </w:pPr>
      <w:r w:rsidRPr="008E5ED7">
        <w:t>4.1.15</w:t>
      </w:r>
    </w:p>
    <w:p w14:paraId="75D6E250" w14:textId="77777777" w:rsidR="002150F8" w:rsidRPr="008E5ED7" w:rsidRDefault="002150F8" w:rsidP="00552405">
      <w:r w:rsidRPr="008E5ED7">
        <w:t>The second part of these paragraphs applies only to those assignments for which the procedure of Article 4 has been successfully applied, i.e., all administrations identified by the Bureau in application of § 4.1.5 or 4.2.8 and § 4.1.7 or 4.2.10 have either given their agreement or failed to comment on the proposed new or modified assignment to the Regions 1 and 3 feeder-link List(s) or on the proposed modification to the Region</w:t>
      </w:r>
      <w:r w:rsidR="00552405" w:rsidRPr="008E5ED7">
        <w:t> </w:t>
      </w:r>
      <w:r w:rsidRPr="008E5ED7">
        <w:t>2 Plan.</w:t>
      </w:r>
    </w:p>
    <w:p w14:paraId="4FB51504" w14:textId="77777777" w:rsidR="00AE076A" w:rsidRDefault="00AE076A" w:rsidP="00552405">
      <w:r>
        <w:br w:type="page"/>
      </w:r>
    </w:p>
    <w:p w14:paraId="70F42154" w14:textId="77777777" w:rsidR="002150F8" w:rsidRPr="008E5ED7" w:rsidRDefault="002150F8" w:rsidP="00552405">
      <w:r w:rsidRPr="008E5ED7">
        <w:lastRenderedPageBreak/>
        <w:t>The Bureau shall update the reference situation of the Regions 1 and 3 feeder-link Plan(s) and List(s) or of the Region 2 Plan entries and of those networks which are the subject of requests for new or modified assignment to the Regions 1 and 3 feeder-link List(s) or for Region</w:t>
      </w:r>
      <w:r w:rsidR="00552405" w:rsidRPr="008E5ED7">
        <w:t> </w:t>
      </w:r>
      <w:r w:rsidRPr="008E5ED7">
        <w:t>2 Plan modifications which are still at the stage of application of Article 4. Nevertheless, the Bureau does not need to recalculate the affected administration(s) as a result of the above-mentioned update.</w:t>
      </w:r>
    </w:p>
    <w:p w14:paraId="60AF7C6A" w14:textId="77777777" w:rsidR="002150F8" w:rsidRPr="008E5ED7" w:rsidRDefault="002150F8">
      <w:pPr>
        <w:pStyle w:val="Heading9"/>
      </w:pPr>
      <w:r w:rsidRPr="008E5ED7">
        <w:t>4.1.23</w:t>
      </w:r>
    </w:p>
    <w:p w14:paraId="4744D3BC" w14:textId="77777777" w:rsidR="002150F8" w:rsidRPr="008E5ED7" w:rsidRDefault="002150F8">
      <w:r w:rsidRPr="008E5ED7">
        <w:t>If the assignments in question were deleted from the Regions 1 and 3 feeder-link List(s) or the Region 2 Plan, the Bureau shall update the reference situation of the assignments in the Regions 1 and 3 feeder-link Plan(s) and List(s) or in the Region 2 Plan and of the assignments under Article 4 procedure and inform all administrations of the action taken together with Special Sections published as a result of cancellation of frequency assignments from the Regions 1 and 3 feeder-link List(s) or the Region 2 Plan. The Bureau does not need to recalculate the affected administration(s) as a result of the above-mentioned cancellation.</w:t>
      </w:r>
    </w:p>
    <w:p w14:paraId="367BBC59" w14:textId="77777777" w:rsidR="002150F8" w:rsidRPr="008E5ED7" w:rsidRDefault="002150F8">
      <w:pPr>
        <w:pStyle w:val="Heading9"/>
      </w:pPr>
      <w:r w:rsidRPr="008E5ED7">
        <w:t xml:space="preserve">4.2.1 </w:t>
      </w:r>
      <w:r w:rsidRPr="008E5ED7">
        <w:rPr>
          <w:i/>
          <w:iCs/>
        </w:rPr>
        <w:t>a)</w:t>
      </w:r>
    </w:p>
    <w:p w14:paraId="43F56F22" w14:textId="77777777" w:rsidR="002150F8" w:rsidRDefault="002150F8" w:rsidP="00552405">
      <w:r w:rsidRPr="008E5ED7">
        <w:t>This paragraph refers to the modification in the sense of a change to “the characteristics of any of its frequency assignments in the FSS which are shown in the Region</w:t>
      </w:r>
      <w:r w:rsidR="00552405" w:rsidRPr="008E5ED7">
        <w:t xml:space="preserve"> </w:t>
      </w:r>
      <w:r w:rsidRPr="008E5ED7">
        <w:t>2 feeder-link Plan”. The Plan as it appears in Article 9 contains only eight characteristics, while Annex</w:t>
      </w:r>
      <w:r w:rsidR="00552405" w:rsidRPr="008E5ED7">
        <w:t> </w:t>
      </w:r>
      <w:r w:rsidRPr="008E5ED7">
        <w:t>2 contains a greater number of characteristics which were used by the RARC</w:t>
      </w:r>
      <w:r w:rsidRPr="008E5ED7">
        <w:noBreakHyphen/>
        <w:t>SAT-R2 (Geneva, 1983) Conference to establish the Plan. The Board considers that modifications of characteristics other than those listed in Article 9 may be considered as modifications to the Plan. These other characteristics are listed in the Rules of Procedure relating to §</w:t>
      </w:r>
      <w:r w:rsidR="00552405" w:rsidRPr="008E5ED7">
        <w:t> </w:t>
      </w:r>
      <w:r w:rsidRPr="008E5ED7">
        <w:t>5.2.1</w:t>
      </w:r>
      <w:r w:rsidR="00552405" w:rsidRPr="008E5ED7">
        <w:t> </w:t>
      </w:r>
      <w:r w:rsidRPr="008E5ED7">
        <w:rPr>
          <w:i/>
        </w:rPr>
        <w:t>b)</w:t>
      </w:r>
      <w:r w:rsidRPr="008E5ED7">
        <w:t xml:space="preserve"> of Article</w:t>
      </w:r>
      <w:r w:rsidR="00552405" w:rsidRPr="008E5ED7">
        <w:t> </w:t>
      </w:r>
      <w:r w:rsidRPr="008E5ED7">
        <w:t>5.</w:t>
      </w:r>
    </w:p>
    <w:p w14:paraId="39B54C29" w14:textId="77777777" w:rsidR="002150F8" w:rsidRPr="008E5ED7" w:rsidRDefault="002150F8">
      <w:r w:rsidRPr="008E5ED7">
        <w:t>See also Rules of Procedure relating to § 4.2.6.</w:t>
      </w:r>
    </w:p>
    <w:p w14:paraId="7B378E71" w14:textId="77777777" w:rsidR="002150F8" w:rsidRPr="008E5ED7" w:rsidRDefault="002150F8">
      <w:pPr>
        <w:pStyle w:val="Heading9"/>
      </w:pPr>
      <w:bookmarkStart w:id="2" w:name="_Toc510511263"/>
      <w:r w:rsidRPr="008E5ED7">
        <w:t xml:space="preserve">4.2.1 </w:t>
      </w:r>
      <w:r w:rsidRPr="008E5ED7">
        <w:rPr>
          <w:i/>
        </w:rPr>
        <w:t>b)</w:t>
      </w:r>
      <w:bookmarkEnd w:id="2"/>
    </w:p>
    <w:p w14:paraId="1D60852E" w14:textId="77777777" w:rsidR="002150F8" w:rsidRPr="008E5ED7" w:rsidRDefault="002150F8">
      <w:r w:rsidRPr="008E5ED7">
        <w:t xml:space="preserve">See Rules of Procedure relating to § 4.2.1 </w:t>
      </w:r>
      <w:r w:rsidRPr="008E5ED7">
        <w:rPr>
          <w:i/>
        </w:rPr>
        <w:t>a)</w:t>
      </w:r>
      <w:r w:rsidRPr="008E5ED7">
        <w:t xml:space="preserve"> above.</w:t>
      </w:r>
    </w:p>
    <w:p w14:paraId="1AE20091" w14:textId="77777777" w:rsidR="002150F8" w:rsidRPr="008E5ED7" w:rsidRDefault="002150F8">
      <w:r w:rsidRPr="008E5ED7">
        <w:t>See also Rules of Procedure relating to § 4.2.6.</w:t>
      </w:r>
    </w:p>
    <w:p w14:paraId="6B3C7FC2" w14:textId="77777777" w:rsidR="002150F8" w:rsidRPr="008E5ED7" w:rsidRDefault="002150F8">
      <w:pPr>
        <w:pStyle w:val="Heading9"/>
      </w:pPr>
      <w:bookmarkStart w:id="3" w:name="_Toc510511264"/>
      <w:r w:rsidRPr="008E5ED7">
        <w:t xml:space="preserve">4.2.1 </w:t>
      </w:r>
      <w:r w:rsidRPr="008E5ED7">
        <w:rPr>
          <w:i/>
        </w:rPr>
        <w:t>c)</w:t>
      </w:r>
      <w:bookmarkEnd w:id="3"/>
    </w:p>
    <w:p w14:paraId="0AFE2174" w14:textId="77777777" w:rsidR="002150F8" w:rsidRPr="008E5ED7" w:rsidRDefault="002150F8">
      <w:pPr>
        <w:rPr>
          <w:u w:val="single"/>
        </w:rPr>
      </w:pPr>
      <w:r w:rsidRPr="008E5ED7">
        <w:t>When an administration cancels an assignment from the Region 2 Plan under this paragraph, or when the Bureau, in applying § 4.2.6 deletes an assignment from the Plan, the reference situation of the Plan assignments and those in the process of modification would be updated. The Bureau does not need to recalculate the affected administration(s) as a result of the above-mentioned cancellation.</w:t>
      </w:r>
    </w:p>
    <w:p w14:paraId="525608E0" w14:textId="77777777" w:rsidR="00C96159" w:rsidRDefault="00C96159" w:rsidP="00C96159">
      <w:pPr>
        <w:tabs>
          <w:tab w:val="clear" w:pos="1134"/>
          <w:tab w:val="clear" w:pos="1871"/>
          <w:tab w:val="clear" w:pos="2268"/>
        </w:tabs>
        <w:overflowPunct/>
        <w:autoSpaceDE/>
        <w:autoSpaceDN/>
        <w:adjustRightInd/>
        <w:spacing w:before="0"/>
        <w:jc w:val="left"/>
        <w:textAlignment w:val="auto"/>
      </w:pPr>
      <w:r>
        <w:br w:type="page"/>
      </w:r>
    </w:p>
    <w:p w14:paraId="499F59E2" w14:textId="77777777" w:rsidR="002150F8" w:rsidRPr="008E5ED7" w:rsidRDefault="002150F8">
      <w:pPr>
        <w:pStyle w:val="Heading9"/>
        <w:pBdr>
          <w:right w:val="single" w:sz="6" w:space="0" w:color="auto"/>
        </w:pBdr>
        <w:ind w:right="7484"/>
        <w:jc w:val="left"/>
      </w:pPr>
      <w:r w:rsidRPr="008E5ED7">
        <w:lastRenderedPageBreak/>
        <w:t xml:space="preserve">4.2.2 </w:t>
      </w:r>
      <w:r w:rsidRPr="008E5ED7">
        <w:rPr>
          <w:i/>
          <w:iCs/>
        </w:rPr>
        <w:t>a)</w:t>
      </w:r>
      <w:r w:rsidRPr="008E5ED7">
        <w:rPr>
          <w:i/>
          <w:iCs/>
        </w:rPr>
        <w:br/>
      </w:r>
      <w:r w:rsidRPr="008E5ED7">
        <w:t xml:space="preserve">and 4.2.2 </w:t>
      </w:r>
      <w:r w:rsidRPr="008E5ED7">
        <w:rPr>
          <w:i/>
          <w:iCs/>
        </w:rPr>
        <w:t>b)</w:t>
      </w:r>
    </w:p>
    <w:p w14:paraId="01480B25" w14:textId="77777777" w:rsidR="002150F8" w:rsidRPr="008E5ED7" w:rsidRDefault="002150F8" w:rsidP="00552405">
      <w:r w:rsidRPr="008E5ED7">
        <w:t>In determining the administrations of Regions 1 and 3 that might be affected, the proposed modification of the Region 2 Plan is examined with respect to the 17 GHz Regions 1 and</w:t>
      </w:r>
      <w:r w:rsidR="00552405" w:rsidRPr="008E5ED7">
        <w:t> </w:t>
      </w:r>
      <w:r w:rsidRPr="008E5ED7">
        <w:t>3 Plan and List as it exists at the date of receipt of the proposed modification including all proposed new or modified assignments to the 17 GHz Regions 1 and 3 List received before that date (whether the procedure of Article 4 is complete or not). The examination will identify only those administrations having assignments whose necessary</w:t>
      </w:r>
      <w:r w:rsidRPr="008E5ED7">
        <w:rPr>
          <w:rStyle w:val="FootnoteReference"/>
          <w:sz w:val="20"/>
        </w:rPr>
        <w:footnoteReference w:customMarkFollows="1" w:id="2"/>
        <w:t>2</w:t>
      </w:r>
      <w:r w:rsidRPr="008E5ED7">
        <w:t xml:space="preserve"> bandwidth overlaps the necessary</w:t>
      </w:r>
      <w:r w:rsidRPr="008E5ED7">
        <w:rPr>
          <w:position w:val="6"/>
          <w:sz w:val="20"/>
        </w:rPr>
        <w:t>2</w:t>
      </w:r>
      <w:r w:rsidRPr="008E5ED7">
        <w:t xml:space="preserve"> bandwidth of the proposed modification of the Region 2 Plan. An adminis</w:t>
      </w:r>
      <w:r w:rsidRPr="008E5ED7">
        <w:softHyphen/>
        <w:t>tration is identified as having services which may be affected when the limits specified in § 5 of Annex</w:t>
      </w:r>
      <w:r w:rsidR="00552405" w:rsidRPr="008E5ED7">
        <w:t> </w:t>
      </w:r>
      <w:r w:rsidRPr="008E5ED7">
        <w:t>1 to Appendix</w:t>
      </w:r>
      <w:r w:rsidR="00552405" w:rsidRPr="008E5ED7">
        <w:t> </w:t>
      </w:r>
      <w:r w:rsidRPr="008E5ED7">
        <w:rPr>
          <w:rStyle w:val="Appref"/>
          <w:b/>
          <w:color w:val="000000"/>
        </w:rPr>
        <w:t>30A</w:t>
      </w:r>
      <w:r w:rsidRPr="008E5ED7">
        <w:t xml:space="preserve"> are exceeded.</w:t>
      </w:r>
    </w:p>
    <w:p w14:paraId="43E04E54" w14:textId="77777777" w:rsidR="002150F8" w:rsidRPr="008E5ED7" w:rsidRDefault="002150F8">
      <w:pPr>
        <w:pStyle w:val="Heading9"/>
      </w:pPr>
      <w:r w:rsidRPr="008E5ED7">
        <w:t xml:space="preserve">4.2.2 </w:t>
      </w:r>
      <w:r w:rsidRPr="008E5ED7">
        <w:rPr>
          <w:i/>
          <w:iCs/>
        </w:rPr>
        <w:t>c)</w:t>
      </w:r>
    </w:p>
    <w:p w14:paraId="0F29B5BA" w14:textId="77777777" w:rsidR="002150F8" w:rsidRPr="008E5ED7" w:rsidRDefault="002150F8">
      <w:r w:rsidRPr="008E5ED7">
        <w:t>1</w:t>
      </w:r>
      <w:r w:rsidRPr="008E5ED7">
        <w:tab/>
        <w:t xml:space="preserve">In determining those administrations of Region 2 that may be affected, the proposed modification is examined with respect to the Region 2 Plan as it exists at the date of receipt of the request for modification including the proposed modifications received before that date (whether the procedure of Article 4 is complete or not). The examination consists of ensuring that the limits of § 3 of Annex 1 of Appendix </w:t>
      </w:r>
      <w:r w:rsidRPr="008E5ED7">
        <w:rPr>
          <w:rStyle w:val="Appref"/>
          <w:b/>
          <w:color w:val="000000"/>
        </w:rPr>
        <w:t>30A</w:t>
      </w:r>
      <w:r w:rsidRPr="008E5ED7">
        <w:t xml:space="preserve"> are not exceeded. Account is also taken of any time-limited modifications to the Plans in accordance with § 4.2.17.</w:t>
      </w:r>
    </w:p>
    <w:p w14:paraId="4E2D4AE7" w14:textId="77777777" w:rsidR="002150F8" w:rsidRPr="008E5ED7" w:rsidRDefault="002150F8" w:rsidP="005D60D8">
      <w:r w:rsidRPr="008E5ED7">
        <w:t>2</w:t>
      </w:r>
      <w:r w:rsidRPr="008E5ED7">
        <w:tab/>
        <w:t xml:space="preserve">According to Resolution </w:t>
      </w:r>
      <w:r w:rsidRPr="008E5ED7">
        <w:rPr>
          <w:rStyle w:val="Resref"/>
          <w:b/>
          <w:bCs/>
          <w:color w:val="000000"/>
        </w:rPr>
        <w:t>42 (Rev.WRC-</w:t>
      </w:r>
      <w:r w:rsidR="005D60D8">
        <w:rPr>
          <w:rStyle w:val="Resref"/>
          <w:b/>
          <w:bCs/>
          <w:color w:val="000000"/>
        </w:rPr>
        <w:t>15</w:t>
      </w:r>
      <w:r w:rsidRPr="008E5ED7">
        <w:rPr>
          <w:rStyle w:val="Resref"/>
          <w:b/>
          <w:bCs/>
          <w:color w:val="000000"/>
        </w:rPr>
        <w:t>)</w:t>
      </w:r>
      <w:r w:rsidRPr="008E5ED7">
        <w:t>, the Board decided that, when apply</w:t>
      </w:r>
      <w:r w:rsidRPr="008E5ED7">
        <w:softHyphen/>
        <w:t>ing this paragraph, the Bureau shall not take account of the interim systems.</w:t>
      </w:r>
    </w:p>
    <w:p w14:paraId="3A9F71CF" w14:textId="77777777" w:rsidR="002150F8" w:rsidRPr="008E5ED7" w:rsidRDefault="002150F8" w:rsidP="00552405">
      <w:r w:rsidRPr="008E5ED7">
        <w:t>3</w:t>
      </w:r>
      <w:r w:rsidRPr="008E5ED7">
        <w:tab/>
        <w:t xml:space="preserve">For considerations related to application of the Group concept see Rules of Procedure related to § 4.1.1 </w:t>
      </w:r>
      <w:r w:rsidRPr="008E5ED7">
        <w:rPr>
          <w:i/>
          <w:iCs/>
        </w:rPr>
        <w:t>a)</w:t>
      </w:r>
      <w:r w:rsidRPr="008E5ED7">
        <w:t xml:space="preserve"> and 4.1.1</w:t>
      </w:r>
      <w:r w:rsidR="00552405" w:rsidRPr="008E5ED7">
        <w:t> </w:t>
      </w:r>
      <w:r w:rsidRPr="008E5ED7">
        <w:rPr>
          <w:i/>
          <w:iCs/>
        </w:rPr>
        <w:t>b)</w:t>
      </w:r>
      <w:r w:rsidRPr="008E5ED7">
        <w:t>.</w:t>
      </w:r>
    </w:p>
    <w:p w14:paraId="11DDEFA3" w14:textId="77777777" w:rsidR="002150F8" w:rsidRPr="008E5ED7" w:rsidRDefault="002150F8">
      <w:pPr>
        <w:pStyle w:val="Heading9"/>
      </w:pPr>
      <w:r w:rsidRPr="008E5ED7">
        <w:t>4.2.6</w:t>
      </w:r>
    </w:p>
    <w:p w14:paraId="0A3F071A" w14:textId="77777777" w:rsidR="002150F8" w:rsidRPr="008E5ED7" w:rsidRDefault="002150F8">
      <w:r w:rsidRPr="008E5ED7">
        <w:t>See Rules of Procedure relating to § 4.1.3.</w:t>
      </w:r>
    </w:p>
    <w:p w14:paraId="2F001D7B" w14:textId="77777777" w:rsidR="002150F8" w:rsidRPr="008E5ED7" w:rsidRDefault="002150F8">
      <w:pPr>
        <w:pStyle w:val="Heading9"/>
      </w:pPr>
      <w:r w:rsidRPr="008E5ED7">
        <w:t>4.2.10</w:t>
      </w:r>
    </w:p>
    <w:p w14:paraId="3277B188" w14:textId="77777777" w:rsidR="002150F8" w:rsidRPr="008E5ED7" w:rsidRDefault="002150F8">
      <w:r w:rsidRPr="008E5ED7">
        <w:t>See Rules of Procedure relating to § 4.1.7.</w:t>
      </w:r>
    </w:p>
    <w:p w14:paraId="34E26A93" w14:textId="77777777" w:rsidR="00C96159" w:rsidRDefault="00C96159">
      <w:pPr>
        <w:tabs>
          <w:tab w:val="clear" w:pos="1134"/>
          <w:tab w:val="clear" w:pos="1871"/>
          <w:tab w:val="clear" w:pos="2268"/>
        </w:tabs>
        <w:overflowPunct/>
        <w:autoSpaceDE/>
        <w:autoSpaceDN/>
        <w:adjustRightInd/>
        <w:spacing w:before="0"/>
        <w:jc w:val="left"/>
        <w:textAlignment w:val="auto"/>
        <w:rPr>
          <w:b/>
        </w:rPr>
      </w:pPr>
      <w:r>
        <w:br w:type="page"/>
      </w:r>
    </w:p>
    <w:p w14:paraId="6D1F5DC5" w14:textId="77777777" w:rsidR="002150F8" w:rsidRPr="008E5ED7" w:rsidRDefault="002150F8">
      <w:pPr>
        <w:pStyle w:val="Heading9"/>
      </w:pPr>
      <w:r w:rsidRPr="008E5ED7">
        <w:lastRenderedPageBreak/>
        <w:t>4.2.11</w:t>
      </w:r>
    </w:p>
    <w:p w14:paraId="675D3CA2" w14:textId="77777777" w:rsidR="002150F8" w:rsidRPr="008E5ED7" w:rsidRDefault="002150F8" w:rsidP="00552405">
      <w:r w:rsidRPr="008E5ED7">
        <w:t>The agreement of the administrations identified under § 4.2.2 and of those under §</w:t>
      </w:r>
      <w:r w:rsidR="00552405" w:rsidRPr="008E5ED7">
        <w:t> </w:t>
      </w:r>
      <w:r w:rsidRPr="008E5ED7">
        <w:t>4.2.10 which have been confirmed by the Bureau using the appropriate criteria.</w:t>
      </w:r>
    </w:p>
    <w:p w14:paraId="7EEC0C9B" w14:textId="77777777" w:rsidR="002150F8" w:rsidRPr="008E5ED7" w:rsidRDefault="002150F8">
      <w:pPr>
        <w:pStyle w:val="Heading9"/>
      </w:pPr>
      <w:r w:rsidRPr="008E5ED7">
        <w:t>4.2.12</w:t>
      </w:r>
    </w:p>
    <w:p w14:paraId="40AC9CE1" w14:textId="77777777" w:rsidR="002150F8" w:rsidRPr="008E5ED7" w:rsidRDefault="002150F8">
      <w:r w:rsidRPr="008E5ED7">
        <w:t>See Rules of Procedure relating to § 4.1.8.</w:t>
      </w:r>
    </w:p>
    <w:p w14:paraId="390B4645" w14:textId="77777777" w:rsidR="002150F8" w:rsidRPr="008E5ED7" w:rsidRDefault="002150F8">
      <w:pPr>
        <w:pStyle w:val="Heading9"/>
      </w:pPr>
      <w:r w:rsidRPr="008E5ED7">
        <w:t>4.2.15</w:t>
      </w:r>
    </w:p>
    <w:p w14:paraId="00939971" w14:textId="77777777" w:rsidR="002150F8" w:rsidRPr="008E5ED7" w:rsidRDefault="002150F8">
      <w:r w:rsidRPr="008E5ED7">
        <w:t>See Rules of Procedure relating to § 4.1.11.</w:t>
      </w:r>
    </w:p>
    <w:p w14:paraId="39722565" w14:textId="77777777" w:rsidR="002150F8" w:rsidRPr="008E5ED7" w:rsidRDefault="002150F8">
      <w:pPr>
        <w:pStyle w:val="Heading9"/>
      </w:pPr>
      <w:r w:rsidRPr="008E5ED7">
        <w:t>4.2.19</w:t>
      </w:r>
    </w:p>
    <w:p w14:paraId="6B116703" w14:textId="77777777" w:rsidR="002150F8" w:rsidRPr="008E5ED7" w:rsidRDefault="002150F8">
      <w:r w:rsidRPr="008E5ED7">
        <w:t>See Rules of Procedure relating to § 4.1.15.</w:t>
      </w:r>
    </w:p>
    <w:p w14:paraId="15A9C2CC" w14:textId="77777777" w:rsidR="002150F8" w:rsidRPr="008E5ED7" w:rsidRDefault="002150F8">
      <w:pPr>
        <w:pStyle w:val="Heading9"/>
      </w:pPr>
      <w:r w:rsidRPr="008E5ED7">
        <w:t>4.2.24</w:t>
      </w:r>
    </w:p>
    <w:p w14:paraId="2CA2C462" w14:textId="77777777" w:rsidR="002150F8" w:rsidRPr="008E5ED7" w:rsidRDefault="002150F8">
      <w:r w:rsidRPr="008E5ED7">
        <w:t>See Rules of Procedure relating to § 4.1.23.</w:t>
      </w:r>
    </w:p>
    <w:p w14:paraId="7B54A6E2" w14:textId="77777777" w:rsidR="002150F8" w:rsidRPr="008E5ED7" w:rsidRDefault="002150F8">
      <w:pPr>
        <w:pStyle w:val="Heading8"/>
      </w:pPr>
      <w:bookmarkStart w:id="4" w:name="_Toc510511283"/>
      <w:r w:rsidRPr="008E5ED7">
        <w:t>Art. 5</w:t>
      </w:r>
      <w:bookmarkEnd w:id="4"/>
    </w:p>
    <w:p w14:paraId="799330A6" w14:textId="77777777" w:rsidR="002150F8" w:rsidRPr="008E5ED7" w:rsidRDefault="002150F8">
      <w:pPr>
        <w:pStyle w:val="Heading2"/>
        <w:spacing w:before="240"/>
        <w:ind w:left="0" w:firstLine="0"/>
        <w:jc w:val="center"/>
      </w:pPr>
      <w:bookmarkStart w:id="5" w:name="_Toc510511284"/>
      <w:r w:rsidRPr="008E5ED7">
        <w:t>Notification, examination and recording</w:t>
      </w:r>
      <w:bookmarkEnd w:id="5"/>
    </w:p>
    <w:p w14:paraId="1EBE3696" w14:textId="77777777" w:rsidR="002150F8" w:rsidRPr="008E5ED7" w:rsidRDefault="002150F8">
      <w:pPr>
        <w:pStyle w:val="Heading9"/>
      </w:pPr>
      <w:bookmarkStart w:id="6" w:name="_Toc510511285"/>
      <w:r w:rsidRPr="008E5ED7">
        <w:t xml:space="preserve">5.2.1 </w:t>
      </w:r>
      <w:r w:rsidRPr="008E5ED7">
        <w:rPr>
          <w:i/>
        </w:rPr>
        <w:t>b)</w:t>
      </w:r>
      <w:bookmarkEnd w:id="6"/>
    </w:p>
    <w:p w14:paraId="0240C9B9" w14:textId="77777777" w:rsidR="002150F8" w:rsidRPr="008E5ED7" w:rsidRDefault="002150F8" w:rsidP="00695ECC">
      <w:r w:rsidRPr="008E5ED7">
        <w:t>1</w:t>
      </w:r>
      <w:r w:rsidRPr="008E5ED7">
        <w:tab/>
        <w:t>The Board has considered the question whether the examination with respect to conformity with the Plan</w:t>
      </w:r>
      <w:r w:rsidRPr="008E5ED7">
        <w:rPr>
          <w:rStyle w:val="FootnoteReference"/>
          <w:sz w:val="20"/>
        </w:rPr>
        <w:footnoteReference w:customMarkFollows="1" w:id="3"/>
        <w:t>3</w:t>
      </w:r>
      <w:r w:rsidRPr="008E5ED7">
        <w:t xml:space="preserve"> means only the columns of Articles 9 and 9A of Appendix </w:t>
      </w:r>
      <w:r w:rsidRPr="008E5ED7">
        <w:rPr>
          <w:rStyle w:val="Appref"/>
          <w:b/>
          <w:color w:val="000000"/>
        </w:rPr>
        <w:t>30A</w:t>
      </w:r>
      <w:r w:rsidRPr="008E5ED7">
        <w:t>, as</w:t>
      </w:r>
      <w:r w:rsidR="00552405" w:rsidRPr="008E5ED7">
        <w:t> </w:t>
      </w:r>
      <w:r w:rsidRPr="008E5ED7">
        <w:t xml:space="preserve">updated or whether it also includes an examination with respect to the technical criteria given in Annex 3 to Appendix </w:t>
      </w:r>
      <w:r w:rsidRPr="008E5ED7">
        <w:rPr>
          <w:rStyle w:val="Appref"/>
          <w:b/>
          <w:color w:val="000000"/>
        </w:rPr>
        <w:t>30A</w:t>
      </w:r>
      <w:r w:rsidRPr="008E5ED7">
        <w:t xml:space="preserve"> which were used for the establishment</w:t>
      </w:r>
      <w:r w:rsidRPr="008E5ED7">
        <w:rPr>
          <w:position w:val="6"/>
        </w:rPr>
        <w:t xml:space="preserve"> </w:t>
      </w:r>
      <w:r w:rsidRPr="008E5ED7">
        <w:t>of the Plans. The</w:t>
      </w:r>
      <w:r w:rsidR="00552405" w:rsidRPr="008E5ED7">
        <w:t xml:space="preserve"> </w:t>
      </w:r>
      <w:r w:rsidRPr="008E5ED7">
        <w:t>Board</w:t>
      </w:r>
      <w:r w:rsidR="00552405" w:rsidRPr="008E5ED7">
        <w:t xml:space="preserve"> </w:t>
      </w:r>
      <w:r w:rsidRPr="008E5ED7">
        <w:t>concluded that some of the technical criteria contained in Annex 3 need to be taken into account in this examination. Therefore, the examination from the viewpoint of conformity with the Plan is carried out in two steps:</w:t>
      </w:r>
    </w:p>
    <w:p w14:paraId="0A877EA6" w14:textId="77777777" w:rsidR="002150F8" w:rsidRPr="008E5ED7" w:rsidRDefault="002150F8">
      <w:pPr>
        <w:pStyle w:val="enumlev1"/>
      </w:pPr>
      <w:r w:rsidRPr="008E5ED7">
        <w:rPr>
          <w:i/>
        </w:rPr>
        <w:t>a)</w:t>
      </w:r>
      <w:r w:rsidRPr="008E5ED7">
        <w:tab/>
        <w:t xml:space="preserve">to ensure that the characteristics notified are those specified in the columns of the Plan concerned as updated (see § 3.1 of Article 3). If the characteristics are different then the examination under § 5.2.1 </w:t>
      </w:r>
      <w:r w:rsidRPr="008E5ED7">
        <w:rPr>
          <w:i/>
        </w:rPr>
        <w:t>d)</w:t>
      </w:r>
      <w:r w:rsidRPr="008E5ED7">
        <w:t xml:space="preserve"> is carried out. For the items below, any characteristics for which the procedure of Article 4 has been successfully applied could be notified;</w:t>
      </w:r>
    </w:p>
    <w:p w14:paraId="0B1261E1" w14:textId="77777777" w:rsidR="008806A1" w:rsidRDefault="008806A1">
      <w:pPr>
        <w:tabs>
          <w:tab w:val="clear" w:pos="1134"/>
          <w:tab w:val="clear" w:pos="1871"/>
          <w:tab w:val="clear" w:pos="2268"/>
        </w:tabs>
        <w:overflowPunct/>
        <w:autoSpaceDE/>
        <w:autoSpaceDN/>
        <w:adjustRightInd/>
        <w:spacing w:before="0"/>
        <w:jc w:val="left"/>
        <w:textAlignment w:val="auto"/>
        <w:rPr>
          <w:i/>
        </w:rPr>
      </w:pPr>
      <w:r>
        <w:rPr>
          <w:i/>
        </w:rPr>
        <w:br w:type="page"/>
      </w:r>
    </w:p>
    <w:p w14:paraId="5B41A85A" w14:textId="77777777" w:rsidR="002150F8" w:rsidRPr="008E5ED7" w:rsidRDefault="002150F8" w:rsidP="00AD1A4A">
      <w:pPr>
        <w:pStyle w:val="enumlev1"/>
      </w:pPr>
      <w:r w:rsidRPr="008E5ED7">
        <w:rPr>
          <w:i/>
        </w:rPr>
        <w:lastRenderedPageBreak/>
        <w:t>b)</w:t>
      </w:r>
      <w:r w:rsidRPr="008E5ED7">
        <w:tab/>
        <w:t>to ensure that the protection criteria resulting from the Region 2 Plan</w:t>
      </w:r>
      <w:r w:rsidR="00AD1A4A" w:rsidRPr="00695ECC">
        <w:rPr>
          <w:rStyle w:val="FootnoteReference"/>
        </w:rPr>
        <w:t>3</w:t>
      </w:r>
      <w:r w:rsidRPr="008E5ED7">
        <w:t>, or from the Regions 1 and 3 Plan(s) and List(s), as appropriate, are not exceeded. To this effect, the following characteristics of the satellite network are examined:</w:t>
      </w:r>
    </w:p>
    <w:p w14:paraId="00E47B6A" w14:textId="77777777" w:rsidR="002150F8" w:rsidRPr="008E5ED7" w:rsidRDefault="002150F8">
      <w:pPr>
        <w:pStyle w:val="enumlev2"/>
      </w:pPr>
      <w:r w:rsidRPr="008E5ED7">
        <w:t>i)</w:t>
      </w:r>
      <w:r w:rsidRPr="008E5ED7">
        <w:tab/>
        <w:t>For a receiving space station:</w:t>
      </w:r>
    </w:p>
    <w:p w14:paraId="585F419C" w14:textId="77777777" w:rsidR="002150F8" w:rsidRPr="008E5ED7" w:rsidRDefault="002150F8" w:rsidP="00552405">
      <w:pPr>
        <w:pStyle w:val="enumlev3"/>
      </w:pPr>
      <w:r w:rsidRPr="008E5ED7">
        <w:t>–</w:t>
      </w:r>
      <w:r w:rsidRPr="008E5ED7">
        <w:tab/>
        <w:t>space station beam identification (as indicated in Columns 1 and 2 of Articles</w:t>
      </w:r>
      <w:r w:rsidR="00552405" w:rsidRPr="008E5ED7">
        <w:t> </w:t>
      </w:r>
      <w:r w:rsidRPr="008E5ED7">
        <w:t>9 and 9A, respectively of Appendix </w:t>
      </w:r>
      <w:r w:rsidRPr="008E5ED7">
        <w:rPr>
          <w:rStyle w:val="Appref"/>
          <w:b/>
          <w:color w:val="000000"/>
        </w:rPr>
        <w:t>30A</w:t>
      </w:r>
      <w:r w:rsidRPr="008E5ED7">
        <w:t>);</w:t>
      </w:r>
    </w:p>
    <w:p w14:paraId="5964EF0A" w14:textId="77777777" w:rsidR="002150F8" w:rsidRPr="008E5ED7" w:rsidRDefault="002150F8" w:rsidP="00552405">
      <w:pPr>
        <w:pStyle w:val="enumlev3"/>
      </w:pPr>
      <w:r w:rsidRPr="008E5ED7">
        <w:t>–</w:t>
      </w:r>
      <w:r w:rsidRPr="008E5ED7">
        <w:tab/>
        <w:t>nominal orbital position (as indicated in Columns 2 and 3 of Articles 9 and</w:t>
      </w:r>
      <w:r w:rsidR="00552405" w:rsidRPr="008E5ED7">
        <w:t> </w:t>
      </w:r>
      <w:r w:rsidRPr="008E5ED7">
        <w:t>9A, respectively of Appendix </w:t>
      </w:r>
      <w:r w:rsidRPr="008E5ED7">
        <w:rPr>
          <w:rStyle w:val="Appref"/>
          <w:b/>
          <w:color w:val="000000"/>
        </w:rPr>
        <w:t>30A</w:t>
      </w:r>
      <w:r w:rsidRPr="008E5ED7">
        <w:t>);</w:t>
      </w:r>
    </w:p>
    <w:p w14:paraId="1033311F" w14:textId="77777777" w:rsidR="002150F8" w:rsidRPr="008E5ED7" w:rsidRDefault="002150F8" w:rsidP="00552405">
      <w:pPr>
        <w:pStyle w:val="enumlev3"/>
      </w:pPr>
      <w:r w:rsidRPr="008E5ED7">
        <w:t>–</w:t>
      </w:r>
      <w:r w:rsidRPr="008E5ED7">
        <w:tab/>
        <w:t>channel number/frequency (as indicated in Column 3 of Article 9 and in Column 5 of the Tables entitled “Minimum equivalent protection margin in the Regions 1 and</w:t>
      </w:r>
      <w:r w:rsidR="00552405" w:rsidRPr="008E5ED7">
        <w:t xml:space="preserve"> </w:t>
      </w:r>
      <w:r w:rsidRPr="008E5ED7">
        <w:t>3 feeder-link Plan in the frequency band 14.5-14.8 GHz (sorted by orbital position)” and “Minimum equivalent protection margin in the Regions 1 and 3 feeder-link Plan in the frequency band 17.3-18.1 GHz (sorted by orbital position)” of Article</w:t>
      </w:r>
      <w:r w:rsidR="00552405" w:rsidRPr="008E5ED7">
        <w:t> </w:t>
      </w:r>
      <w:r w:rsidRPr="008E5ED7">
        <w:t>9A of Appendix </w:t>
      </w:r>
      <w:r w:rsidRPr="008E5ED7">
        <w:rPr>
          <w:rStyle w:val="Appref"/>
          <w:b/>
          <w:color w:val="000000"/>
        </w:rPr>
        <w:t>30A</w:t>
      </w:r>
      <w:r w:rsidRPr="008E5ED7">
        <w:t>);</w:t>
      </w:r>
    </w:p>
    <w:p w14:paraId="16F0279D" w14:textId="77777777" w:rsidR="002150F8" w:rsidRPr="008E5ED7" w:rsidRDefault="002150F8">
      <w:pPr>
        <w:pStyle w:val="enumlev3"/>
      </w:pPr>
      <w:r w:rsidRPr="008E5ED7">
        <w:t>–</w:t>
      </w:r>
      <w:r w:rsidRPr="008E5ED7">
        <w:tab/>
        <w:t>boresight coordinates (as indicated in Column 4 of Articles 9 and 9A of Appendix </w:t>
      </w:r>
      <w:r w:rsidRPr="008E5ED7">
        <w:rPr>
          <w:rStyle w:val="Appref"/>
          <w:b/>
          <w:color w:val="000000"/>
        </w:rPr>
        <w:t>30A</w:t>
      </w:r>
      <w:r w:rsidRPr="008E5ED7">
        <w:t>);</w:t>
      </w:r>
    </w:p>
    <w:p w14:paraId="162C721A" w14:textId="77777777" w:rsidR="002150F8" w:rsidRPr="008E5ED7" w:rsidRDefault="002150F8">
      <w:pPr>
        <w:pStyle w:val="enumlev3"/>
      </w:pPr>
      <w:r w:rsidRPr="008E5ED7">
        <w:t>–</w:t>
      </w:r>
      <w:r w:rsidRPr="008E5ED7">
        <w:tab/>
        <w:t>in the case of elliptical beam:</w:t>
      </w:r>
    </w:p>
    <w:p w14:paraId="42220E89" w14:textId="77777777" w:rsidR="002150F8" w:rsidRPr="008E5ED7" w:rsidRDefault="002150F8">
      <w:pPr>
        <w:pStyle w:val="enumlev4"/>
        <w:rPr>
          <w:lang w:val="en-GB"/>
        </w:rPr>
      </w:pPr>
      <w:r w:rsidRPr="008E5ED7">
        <w:rPr>
          <w:lang w:val="en-GB"/>
        </w:rPr>
        <w:t>–</w:t>
      </w:r>
      <w:r w:rsidRPr="008E5ED7">
        <w:rPr>
          <w:lang w:val="en-GB"/>
        </w:rPr>
        <w:tab/>
        <w:t>antenna beamwidth (as indicated in Column 5 of Articles 9 and 9A of Appendix </w:t>
      </w:r>
      <w:r w:rsidRPr="008E5ED7">
        <w:rPr>
          <w:rStyle w:val="Appref"/>
          <w:b/>
          <w:color w:val="000000"/>
          <w:lang w:val="en-GB"/>
        </w:rPr>
        <w:t>30A</w:t>
      </w:r>
      <w:r w:rsidRPr="008E5ED7">
        <w:rPr>
          <w:lang w:val="en-GB"/>
        </w:rPr>
        <w:t>);</w:t>
      </w:r>
    </w:p>
    <w:p w14:paraId="2F94755D" w14:textId="77777777" w:rsidR="002150F8" w:rsidRPr="008E5ED7" w:rsidRDefault="002150F8" w:rsidP="00552405">
      <w:pPr>
        <w:pStyle w:val="enumlev4"/>
        <w:rPr>
          <w:lang w:val="en-GB"/>
        </w:rPr>
      </w:pPr>
      <w:r w:rsidRPr="008E5ED7">
        <w:rPr>
          <w:lang w:val="en-GB"/>
        </w:rPr>
        <w:t>–</w:t>
      </w:r>
      <w:r w:rsidRPr="008E5ED7">
        <w:rPr>
          <w:lang w:val="en-GB"/>
        </w:rPr>
        <w:tab/>
        <w:t>ellipse orientation (as indicated in Columns 6 and 5 of Articles 9 and</w:t>
      </w:r>
      <w:r w:rsidR="00552405" w:rsidRPr="008E5ED7">
        <w:rPr>
          <w:lang w:val="en-GB"/>
        </w:rPr>
        <w:t> </w:t>
      </w:r>
      <w:r w:rsidRPr="008E5ED7">
        <w:rPr>
          <w:lang w:val="en-GB"/>
        </w:rPr>
        <w:t>9A, respectively of Appendix </w:t>
      </w:r>
      <w:r w:rsidRPr="008E5ED7">
        <w:rPr>
          <w:rStyle w:val="Appref"/>
          <w:b/>
          <w:color w:val="000000"/>
          <w:lang w:val="en-GB"/>
        </w:rPr>
        <w:t>30A</w:t>
      </w:r>
      <w:r w:rsidRPr="008E5ED7">
        <w:rPr>
          <w:lang w:val="en-GB"/>
        </w:rPr>
        <w:t>);</w:t>
      </w:r>
    </w:p>
    <w:p w14:paraId="6D673139" w14:textId="77777777" w:rsidR="002150F8" w:rsidRPr="008E5ED7" w:rsidRDefault="002150F8" w:rsidP="00552405">
      <w:pPr>
        <w:pStyle w:val="enumlev4"/>
        <w:rPr>
          <w:lang w:val="en-GB"/>
        </w:rPr>
      </w:pPr>
      <w:r w:rsidRPr="008E5ED7">
        <w:rPr>
          <w:lang w:val="en-GB"/>
        </w:rPr>
        <w:t>–</w:t>
      </w:r>
      <w:r w:rsidRPr="008E5ED7">
        <w:rPr>
          <w:lang w:val="en-GB"/>
        </w:rPr>
        <w:tab/>
        <w:t>antenna</w:t>
      </w:r>
      <w:r w:rsidRPr="008E5ED7">
        <w:rPr>
          <w:sz w:val="20"/>
          <w:lang w:val="en-GB"/>
        </w:rPr>
        <w:t xml:space="preserve"> </w:t>
      </w:r>
      <w:r w:rsidRPr="008E5ED7">
        <w:rPr>
          <w:lang w:val="en-GB"/>
        </w:rPr>
        <w:t>rotational</w:t>
      </w:r>
      <w:r w:rsidRPr="008E5ED7">
        <w:rPr>
          <w:sz w:val="20"/>
          <w:lang w:val="en-GB"/>
        </w:rPr>
        <w:t xml:space="preserve"> </w:t>
      </w:r>
      <w:r w:rsidRPr="008E5ED7">
        <w:rPr>
          <w:lang w:val="en-GB"/>
        </w:rPr>
        <w:t>accuracy</w:t>
      </w:r>
      <w:r w:rsidRPr="008E5ED7">
        <w:rPr>
          <w:sz w:val="20"/>
          <w:lang w:val="en-GB"/>
        </w:rPr>
        <w:t xml:space="preserve"> </w:t>
      </w:r>
      <w:r w:rsidRPr="008E5ED7">
        <w:rPr>
          <w:lang w:val="en-GB"/>
        </w:rPr>
        <w:t>(same</w:t>
      </w:r>
      <w:r w:rsidRPr="008E5ED7">
        <w:rPr>
          <w:sz w:val="20"/>
          <w:lang w:val="en-GB"/>
        </w:rPr>
        <w:t xml:space="preserve"> </w:t>
      </w:r>
      <w:r w:rsidRPr="008E5ED7">
        <w:rPr>
          <w:lang w:val="en-GB"/>
        </w:rPr>
        <w:t>as</w:t>
      </w:r>
      <w:r w:rsidRPr="008E5ED7">
        <w:rPr>
          <w:sz w:val="20"/>
          <w:lang w:val="en-GB"/>
        </w:rPr>
        <w:t xml:space="preserve"> </w:t>
      </w:r>
      <w:r w:rsidRPr="008E5ED7">
        <w:rPr>
          <w:lang w:val="en-GB"/>
        </w:rPr>
        <w:t>or</w:t>
      </w:r>
      <w:r w:rsidRPr="008E5ED7">
        <w:rPr>
          <w:sz w:val="20"/>
          <w:lang w:val="en-GB"/>
        </w:rPr>
        <w:t xml:space="preserve"> </w:t>
      </w:r>
      <w:r w:rsidRPr="008E5ED7">
        <w:rPr>
          <w:lang w:val="en-GB"/>
        </w:rPr>
        <w:t>better</w:t>
      </w:r>
      <w:r w:rsidRPr="008E5ED7">
        <w:rPr>
          <w:sz w:val="20"/>
          <w:lang w:val="en-GB"/>
        </w:rPr>
        <w:t xml:space="preserve"> </w:t>
      </w:r>
      <w:r w:rsidRPr="008E5ED7">
        <w:rPr>
          <w:lang w:val="en-GB"/>
        </w:rPr>
        <w:t>than</w:t>
      </w:r>
      <w:r w:rsidRPr="008E5ED7">
        <w:rPr>
          <w:sz w:val="20"/>
          <w:lang w:val="en-GB"/>
        </w:rPr>
        <w:t xml:space="preserve"> </w:t>
      </w:r>
      <w:r w:rsidRPr="008E5ED7">
        <w:rPr>
          <w:lang w:val="en-GB"/>
        </w:rPr>
        <w:t>§ 3.7.4</w:t>
      </w:r>
      <w:r w:rsidRPr="008E5ED7">
        <w:rPr>
          <w:sz w:val="20"/>
          <w:lang w:val="en-GB"/>
        </w:rPr>
        <w:t xml:space="preserve"> </w:t>
      </w:r>
      <w:r w:rsidRPr="008E5ED7">
        <w:rPr>
          <w:lang w:val="en-GB"/>
        </w:rPr>
        <w:t>(Regions</w:t>
      </w:r>
      <w:r w:rsidRPr="008E5ED7">
        <w:rPr>
          <w:sz w:val="20"/>
          <w:lang w:val="en-GB"/>
        </w:rPr>
        <w:t> </w:t>
      </w:r>
      <w:r w:rsidRPr="008E5ED7">
        <w:rPr>
          <w:lang w:val="en-GB"/>
        </w:rPr>
        <w:t>1</w:t>
      </w:r>
      <w:r w:rsidRPr="008E5ED7">
        <w:rPr>
          <w:sz w:val="20"/>
          <w:lang w:val="en-GB"/>
        </w:rPr>
        <w:t xml:space="preserve"> </w:t>
      </w:r>
      <w:r w:rsidRPr="008E5ED7">
        <w:rPr>
          <w:lang w:val="en-GB"/>
        </w:rPr>
        <w:t>and 3) or 4.6.4 (Region 2) of Annex 3 to Appendix</w:t>
      </w:r>
      <w:r w:rsidR="00552405" w:rsidRPr="008E5ED7">
        <w:rPr>
          <w:lang w:val="en-GB"/>
        </w:rPr>
        <w:t> </w:t>
      </w:r>
      <w:r w:rsidRPr="008E5ED7">
        <w:rPr>
          <w:rStyle w:val="Appref"/>
          <w:b/>
          <w:color w:val="000000"/>
          <w:lang w:val="en-GB"/>
        </w:rPr>
        <w:t>30A</w:t>
      </w:r>
      <w:r w:rsidRPr="008E5ED7">
        <w:rPr>
          <w:lang w:val="en-GB"/>
        </w:rPr>
        <w:t>);</w:t>
      </w:r>
    </w:p>
    <w:p w14:paraId="2AD839A4" w14:textId="77777777" w:rsidR="002150F8" w:rsidRPr="008E5ED7" w:rsidRDefault="002150F8">
      <w:pPr>
        <w:pStyle w:val="enumlev3"/>
      </w:pPr>
      <w:r w:rsidRPr="008E5ED7">
        <w:t>–</w:t>
      </w:r>
      <w:r w:rsidRPr="008E5ED7">
        <w:tab/>
        <w:t>polarization (as indicated in Columns 7 and 10 of Articles 9 and 9A, respectively of Appendix </w:t>
      </w:r>
      <w:r w:rsidRPr="008E5ED7">
        <w:rPr>
          <w:rStyle w:val="Appref"/>
          <w:b/>
          <w:color w:val="000000"/>
        </w:rPr>
        <w:t>30A</w:t>
      </w:r>
      <w:r w:rsidRPr="008E5ED7">
        <w:t>);</w:t>
      </w:r>
    </w:p>
    <w:p w14:paraId="44280BA4" w14:textId="77777777" w:rsidR="002150F8" w:rsidRPr="008E5ED7" w:rsidRDefault="002150F8">
      <w:pPr>
        <w:pStyle w:val="enumlev3"/>
      </w:pPr>
      <w:r w:rsidRPr="008E5ED7">
        <w:t>–</w:t>
      </w:r>
      <w:r w:rsidRPr="008E5ED7">
        <w:tab/>
        <w:t>service area (test points shall be located within the service area);</w:t>
      </w:r>
    </w:p>
    <w:p w14:paraId="4F535BDB" w14:textId="77777777" w:rsidR="002150F8" w:rsidRPr="008E5ED7" w:rsidRDefault="002150F8" w:rsidP="00552405">
      <w:pPr>
        <w:pStyle w:val="enumlev3"/>
      </w:pPr>
      <w:r w:rsidRPr="008E5ED7">
        <w:t>–</w:t>
      </w:r>
      <w:r w:rsidRPr="008E5ED7">
        <w:tab/>
        <w:t xml:space="preserve">class of emission and bandwidth (as indicated in Column 13 of Article 9A in the case of Regions 1 and 3 Plan of Appendix </w:t>
      </w:r>
      <w:r w:rsidRPr="008E5ED7">
        <w:rPr>
          <w:rStyle w:val="Appref"/>
          <w:b/>
          <w:color w:val="000000"/>
        </w:rPr>
        <w:t>30A</w:t>
      </w:r>
      <w:r w:rsidRPr="008E5ED7">
        <w:t>, or otherwise as indicated in § 3.1 and 3.8 of Annex 5 to Appendix</w:t>
      </w:r>
      <w:r w:rsidR="00552405" w:rsidRPr="008E5ED7">
        <w:t> </w:t>
      </w:r>
      <w:r w:rsidRPr="008E5ED7">
        <w:rPr>
          <w:rStyle w:val="Appref"/>
          <w:b/>
          <w:color w:val="000000"/>
        </w:rPr>
        <w:t>30</w:t>
      </w:r>
      <w:r w:rsidRPr="008E5ED7">
        <w:t>);</w:t>
      </w:r>
    </w:p>
    <w:p w14:paraId="4BF7D320" w14:textId="77777777" w:rsidR="002150F8" w:rsidRPr="008E5ED7" w:rsidRDefault="00552405" w:rsidP="00552405">
      <w:pPr>
        <w:pStyle w:val="enumlev3"/>
      </w:pPr>
      <w:r w:rsidRPr="008E5ED7">
        <w:br w:type="page"/>
      </w:r>
      <w:r w:rsidR="002150F8" w:rsidRPr="008E5ED7">
        <w:lastRenderedPageBreak/>
        <w:t>–</w:t>
      </w:r>
      <w:r w:rsidR="002150F8" w:rsidRPr="008E5ED7">
        <w:tab/>
        <w:t>antenna characteristics (same as or better than those indicated in Columns 6 or</w:t>
      </w:r>
      <w:r w:rsidRPr="008E5ED7">
        <w:t> </w:t>
      </w:r>
      <w:r w:rsidR="002150F8" w:rsidRPr="008E5ED7">
        <w:t xml:space="preserve">7 as appropriate of Article 9A of Appendix </w:t>
      </w:r>
      <w:r w:rsidR="002150F8" w:rsidRPr="008E5ED7">
        <w:rPr>
          <w:rStyle w:val="Appref"/>
          <w:b/>
          <w:color w:val="000000"/>
        </w:rPr>
        <w:t>30A</w:t>
      </w:r>
      <w:r w:rsidR="002150F8" w:rsidRPr="008E5ED7">
        <w:t xml:space="preserve"> in the case of the Regions</w:t>
      </w:r>
      <w:r w:rsidRPr="008E5ED7">
        <w:t> </w:t>
      </w:r>
      <w:r w:rsidR="002150F8" w:rsidRPr="008E5ED7">
        <w:t>1 and 3 Plan, or otherwise same as or better than § 4.6 of Annex 3 to Appendix </w:t>
      </w:r>
      <w:r w:rsidR="002150F8" w:rsidRPr="008E5ED7">
        <w:rPr>
          <w:rStyle w:val="Appref"/>
          <w:b/>
          <w:color w:val="000000"/>
        </w:rPr>
        <w:t>30A</w:t>
      </w:r>
      <w:r w:rsidR="002150F8" w:rsidRPr="008E5ED7">
        <w:t>);</w:t>
      </w:r>
    </w:p>
    <w:p w14:paraId="7D6B420C" w14:textId="77777777" w:rsidR="002150F8" w:rsidRPr="008E5ED7" w:rsidRDefault="002150F8" w:rsidP="00552405">
      <w:pPr>
        <w:pStyle w:val="enumlev3"/>
      </w:pPr>
      <w:r w:rsidRPr="008E5ED7">
        <w:t>–</w:t>
      </w:r>
      <w:r w:rsidRPr="008E5ED7">
        <w:tab/>
        <w:t>antenna pointing accuracy (same as or better than § 3.7.4 (Regions 1 and 3) or § 4.6.4 (Region</w:t>
      </w:r>
      <w:r w:rsidR="00552405" w:rsidRPr="008E5ED7">
        <w:t> </w:t>
      </w:r>
      <w:r w:rsidRPr="008E5ED7">
        <w:t>2) of Annex</w:t>
      </w:r>
      <w:r w:rsidR="00552405" w:rsidRPr="008E5ED7">
        <w:t> </w:t>
      </w:r>
      <w:r w:rsidRPr="008E5ED7">
        <w:t>3 to Appendix</w:t>
      </w:r>
      <w:r w:rsidR="00552405" w:rsidRPr="008E5ED7">
        <w:t> </w:t>
      </w:r>
      <w:r w:rsidRPr="008E5ED7">
        <w:rPr>
          <w:rStyle w:val="Appref"/>
          <w:b/>
          <w:color w:val="000000"/>
        </w:rPr>
        <w:t>30A</w:t>
      </w:r>
      <w:r w:rsidRPr="008E5ED7">
        <w:t>);</w:t>
      </w:r>
    </w:p>
    <w:p w14:paraId="16D1B4E2" w14:textId="77777777" w:rsidR="002150F8" w:rsidRPr="008E5ED7" w:rsidRDefault="002150F8" w:rsidP="00552405">
      <w:pPr>
        <w:pStyle w:val="enumlev3"/>
      </w:pPr>
      <w:r w:rsidRPr="008E5ED7">
        <w:t>–</w:t>
      </w:r>
      <w:r w:rsidRPr="008E5ED7">
        <w:tab/>
        <w:t>system noise temperature (see Note 7 of Article 9A and § 3.8 of Annex 3 to Appendix </w:t>
      </w:r>
      <w:r w:rsidRPr="008E5ED7">
        <w:rPr>
          <w:rStyle w:val="Appref"/>
          <w:b/>
          <w:color w:val="000000"/>
        </w:rPr>
        <w:t>30A</w:t>
      </w:r>
      <w:r w:rsidRPr="008E5ED7">
        <w:t xml:space="preserve"> as appropriate for Regions 1 and 3, and </w:t>
      </w:r>
      <w:r w:rsidRPr="008E5ED7">
        <w:rPr>
          <w:bCs/>
        </w:rPr>
        <w:t>§ 4.7 of the same Annex for Region</w:t>
      </w:r>
      <w:r w:rsidR="00552405" w:rsidRPr="008E5ED7">
        <w:rPr>
          <w:bCs/>
        </w:rPr>
        <w:t> </w:t>
      </w:r>
      <w:r w:rsidRPr="008E5ED7">
        <w:rPr>
          <w:bCs/>
        </w:rPr>
        <w:t>2</w:t>
      </w:r>
      <w:r w:rsidRPr="008E5ED7">
        <w:t>);</w:t>
      </w:r>
    </w:p>
    <w:p w14:paraId="0614F296" w14:textId="77777777" w:rsidR="002150F8" w:rsidRPr="008E5ED7" w:rsidRDefault="002150F8">
      <w:pPr>
        <w:pStyle w:val="enumlev3"/>
      </w:pPr>
      <w:r w:rsidRPr="008E5ED7">
        <w:t>–</w:t>
      </w:r>
      <w:r w:rsidRPr="008E5ED7">
        <w:tab/>
        <w:t>station keeping tolerance (same as or better than that of § 3.16 of Annex 3 to Appendix </w:t>
      </w:r>
      <w:r w:rsidRPr="008E5ED7">
        <w:rPr>
          <w:rStyle w:val="Appref"/>
          <w:b/>
          <w:color w:val="000000"/>
        </w:rPr>
        <w:t>30A</w:t>
      </w:r>
      <w:r w:rsidRPr="008E5ED7">
        <w:t xml:space="preserve">); </w:t>
      </w:r>
    </w:p>
    <w:p w14:paraId="6CAB059C" w14:textId="77777777" w:rsidR="002150F8" w:rsidRPr="008E5ED7" w:rsidRDefault="002150F8">
      <w:pPr>
        <w:pStyle w:val="enumlev3"/>
      </w:pPr>
      <w:r w:rsidRPr="008E5ED7">
        <w:t>–</w:t>
      </w:r>
      <w:r w:rsidRPr="008E5ED7">
        <w:tab/>
        <w:t>modulation characteristics (same as in Column 13 of Article 9A of Appendix </w:t>
      </w:r>
      <w:r w:rsidRPr="008E5ED7">
        <w:rPr>
          <w:rStyle w:val="Appref"/>
          <w:b/>
          <w:color w:val="000000"/>
        </w:rPr>
        <w:t>30A</w:t>
      </w:r>
      <w:r w:rsidRPr="008E5ED7">
        <w:t xml:space="preserve"> in the case of the Regions 1 and 3 Plan, or otherwise as indicated in § 3.1 of Annex 5 to Appendix </w:t>
      </w:r>
      <w:r w:rsidRPr="008E5ED7">
        <w:rPr>
          <w:rStyle w:val="Appref"/>
          <w:b/>
          <w:color w:val="000000"/>
        </w:rPr>
        <w:t>30</w:t>
      </w:r>
      <w:r w:rsidRPr="008E5ED7">
        <w:t>);</w:t>
      </w:r>
    </w:p>
    <w:p w14:paraId="78031673" w14:textId="77777777" w:rsidR="002150F8" w:rsidRPr="008E5ED7" w:rsidRDefault="002150F8" w:rsidP="00552405">
      <w:pPr>
        <w:pStyle w:val="enumlev3"/>
      </w:pPr>
      <w:r w:rsidRPr="008E5ED7">
        <w:t>–</w:t>
      </w:r>
      <w:r w:rsidRPr="008E5ED7">
        <w:tab/>
        <w:t>range of automatic gain control (same as §</w:t>
      </w:r>
      <w:r w:rsidR="00552405" w:rsidRPr="008E5ED7">
        <w:t> </w:t>
      </w:r>
      <w:r w:rsidRPr="008E5ED7">
        <w:t>3.10 of Annex 3 to Appendix </w:t>
      </w:r>
      <w:r w:rsidRPr="008E5ED7">
        <w:rPr>
          <w:rStyle w:val="Appref"/>
          <w:b/>
          <w:color w:val="000000"/>
        </w:rPr>
        <w:t>30A</w:t>
      </w:r>
      <w:r w:rsidRPr="008E5ED7">
        <w:t xml:space="preserve"> for Regions 1 and 3, and §</w:t>
      </w:r>
      <w:r w:rsidR="00552405" w:rsidRPr="008E5ED7">
        <w:t> </w:t>
      </w:r>
      <w:r w:rsidRPr="008E5ED7">
        <w:t>4.9 of the same Annex for Region</w:t>
      </w:r>
      <w:r w:rsidR="00552405" w:rsidRPr="008E5ED7">
        <w:t> </w:t>
      </w:r>
      <w:r w:rsidRPr="008E5ED7">
        <w:t>2).</w:t>
      </w:r>
    </w:p>
    <w:p w14:paraId="29811F75" w14:textId="77777777" w:rsidR="002150F8" w:rsidRPr="008E5ED7" w:rsidRDefault="002150F8">
      <w:pPr>
        <w:pStyle w:val="enumlev2"/>
      </w:pPr>
      <w:r w:rsidRPr="008E5ED7">
        <w:t>ii)</w:t>
      </w:r>
      <w:r w:rsidRPr="008E5ED7">
        <w:tab/>
        <w:t>For an associated transmitting earth station:</w:t>
      </w:r>
    </w:p>
    <w:p w14:paraId="59A091B6" w14:textId="77777777" w:rsidR="002150F8" w:rsidRPr="008E5ED7" w:rsidRDefault="002150F8">
      <w:pPr>
        <w:pStyle w:val="enumlev3"/>
      </w:pPr>
      <w:r w:rsidRPr="008E5ED7">
        <w:t>–</w:t>
      </w:r>
      <w:r w:rsidRPr="008E5ED7">
        <w:tab/>
        <w:t>e.i.r.p.: Columns 8 and 11 of Articles 9 and 9A, respectively of Appendix </w:t>
      </w:r>
      <w:r w:rsidRPr="008E5ED7">
        <w:rPr>
          <w:rStyle w:val="Appref"/>
          <w:b/>
          <w:color w:val="000000"/>
        </w:rPr>
        <w:t>30A</w:t>
      </w:r>
      <w:r w:rsidRPr="008E5ED7">
        <w:t>;</w:t>
      </w:r>
    </w:p>
    <w:p w14:paraId="0002D487" w14:textId="77777777" w:rsidR="002150F8" w:rsidRPr="008E5ED7" w:rsidRDefault="002150F8">
      <w:pPr>
        <w:pStyle w:val="enumlev3"/>
      </w:pPr>
      <w:r w:rsidRPr="008E5ED7">
        <w:t>–</w:t>
      </w:r>
      <w:r w:rsidRPr="008E5ED7">
        <w:tab/>
        <w:t>antenna diameter: § 3.5.1 or 4.4.1 of Annex 3 to Appendix </w:t>
      </w:r>
      <w:r w:rsidRPr="008E5ED7">
        <w:rPr>
          <w:rStyle w:val="Appref"/>
          <w:b/>
          <w:color w:val="000000"/>
        </w:rPr>
        <w:t>30A</w:t>
      </w:r>
      <w:r w:rsidRPr="008E5ED7">
        <w:t>;</w:t>
      </w:r>
    </w:p>
    <w:p w14:paraId="079FF79E" w14:textId="77777777" w:rsidR="002150F8" w:rsidRPr="008E5ED7" w:rsidRDefault="002150F8" w:rsidP="00552405">
      <w:pPr>
        <w:pStyle w:val="enumlev3"/>
      </w:pPr>
      <w:r w:rsidRPr="008E5ED7">
        <w:t>–</w:t>
      </w:r>
      <w:r w:rsidRPr="008E5ED7">
        <w:tab/>
        <w:t>reference patterns: Fig. 6 or Fig. A of Annex 3 to Appendix </w:t>
      </w:r>
      <w:r w:rsidRPr="008E5ED7">
        <w:rPr>
          <w:rStyle w:val="Appref"/>
          <w:b/>
          <w:color w:val="000000"/>
        </w:rPr>
        <w:t>30A</w:t>
      </w:r>
      <w:r w:rsidRPr="008E5ED7">
        <w:t xml:space="preserve"> (as indicated in Column 9 of Article 9A of Appendix </w:t>
      </w:r>
      <w:r w:rsidRPr="008E5ED7">
        <w:rPr>
          <w:rStyle w:val="Appref"/>
          <w:b/>
          <w:color w:val="000000"/>
        </w:rPr>
        <w:t>30A</w:t>
      </w:r>
      <w:r w:rsidRPr="008E5ED7">
        <w:t xml:space="preserve"> for the Regions</w:t>
      </w:r>
      <w:r w:rsidR="00552405" w:rsidRPr="008E5ED7">
        <w:t> </w:t>
      </w:r>
      <w:r w:rsidRPr="008E5ED7">
        <w:t>1 and</w:t>
      </w:r>
      <w:r w:rsidR="00552405" w:rsidRPr="008E5ED7">
        <w:t> </w:t>
      </w:r>
      <w:r w:rsidRPr="008E5ED7">
        <w:t>3 Plan);</w:t>
      </w:r>
    </w:p>
    <w:p w14:paraId="1EEB2133" w14:textId="77777777" w:rsidR="002150F8" w:rsidRPr="008E5ED7" w:rsidRDefault="002150F8">
      <w:pPr>
        <w:pStyle w:val="enumlev3"/>
      </w:pPr>
      <w:r w:rsidRPr="008E5ED7">
        <w:t>–</w:t>
      </w:r>
      <w:r w:rsidRPr="008E5ED7">
        <w:tab/>
        <w:t>transmit power: § 3.6 or 4.5 of Annex 3 to Appendix </w:t>
      </w:r>
      <w:r w:rsidRPr="008E5ED7">
        <w:rPr>
          <w:rStyle w:val="Appref"/>
          <w:b/>
          <w:color w:val="000000"/>
        </w:rPr>
        <w:t>30A</w:t>
      </w:r>
      <w:r w:rsidRPr="008E5ED7">
        <w:t>;</w:t>
      </w:r>
    </w:p>
    <w:p w14:paraId="3D6556B3" w14:textId="77777777" w:rsidR="002150F8" w:rsidRPr="008E5ED7" w:rsidRDefault="002150F8">
      <w:pPr>
        <w:pStyle w:val="enumlev3"/>
      </w:pPr>
      <w:r w:rsidRPr="008E5ED7">
        <w:t>–</w:t>
      </w:r>
      <w:r w:rsidRPr="008E5ED7">
        <w:tab/>
        <w:t>the location of the associated earth station to be associated with test points within the service area;</w:t>
      </w:r>
    </w:p>
    <w:p w14:paraId="73BBE219" w14:textId="77777777" w:rsidR="002150F8" w:rsidRPr="008E5ED7" w:rsidRDefault="002150F8" w:rsidP="00552405">
      <w:pPr>
        <w:pStyle w:val="enumlev3"/>
      </w:pPr>
      <w:r w:rsidRPr="008E5ED7">
        <w:t>–</w:t>
      </w:r>
      <w:r w:rsidRPr="008E5ED7">
        <w:tab/>
        <w:t>energy dispersal (same as § 3.18 of Annex 5 to Appendix</w:t>
      </w:r>
      <w:r w:rsidR="00552405" w:rsidRPr="008E5ED7">
        <w:t> </w:t>
      </w:r>
      <w:r w:rsidRPr="008E5ED7">
        <w:rPr>
          <w:rStyle w:val="Appref"/>
          <w:b/>
          <w:color w:val="000000"/>
        </w:rPr>
        <w:t>30</w:t>
      </w:r>
      <w:r w:rsidRPr="008E5ED7">
        <w:t>).</w:t>
      </w:r>
    </w:p>
    <w:p w14:paraId="09DDC774" w14:textId="77777777" w:rsidR="002150F8" w:rsidRPr="008E5ED7" w:rsidRDefault="002150F8" w:rsidP="00552405">
      <w:r w:rsidRPr="008E5ED7">
        <w:t>In relation to the transmitting power, the Board noted that according to §</w:t>
      </w:r>
      <w:r w:rsidR="00552405" w:rsidRPr="008E5ED7">
        <w:t> </w:t>
      </w:r>
      <w:r w:rsidRPr="008E5ED7">
        <w:t>3.11 and 4.10 of Annex 3 to Appendix </w:t>
      </w:r>
      <w:r w:rsidRPr="008E5ED7">
        <w:rPr>
          <w:rStyle w:val="Appref"/>
          <w:b/>
          <w:color w:val="000000"/>
        </w:rPr>
        <w:t>30A</w:t>
      </w:r>
      <w:r w:rsidRPr="008E5ED7">
        <w:t>, the use of power control shall remain within the limits indicated in those paragraphs.</w:t>
      </w:r>
    </w:p>
    <w:p w14:paraId="1C39760C" w14:textId="77777777" w:rsidR="002150F8" w:rsidRPr="008E5ED7" w:rsidRDefault="002150F8" w:rsidP="00552405">
      <w:r w:rsidRPr="008E5ED7">
        <w:t>2</w:t>
      </w:r>
      <w:r w:rsidRPr="008E5ED7">
        <w:tab/>
        <w:t>The Board has considered the question whether the examination with respect to conformity with the Regions 1 and 3 Lists means only the columns of the Tables in Part</w:t>
      </w:r>
      <w:r w:rsidR="00552405" w:rsidRPr="008E5ED7">
        <w:t> </w:t>
      </w:r>
      <w:r w:rsidRPr="008E5ED7">
        <w:t>II of Annex</w:t>
      </w:r>
      <w:r w:rsidR="00552405" w:rsidRPr="008E5ED7">
        <w:t> </w:t>
      </w:r>
      <w:r w:rsidRPr="008E5ED7">
        <w:t xml:space="preserve">2 to Resolution </w:t>
      </w:r>
      <w:r w:rsidRPr="008E5ED7">
        <w:rPr>
          <w:rStyle w:val="Resref"/>
          <w:b/>
          <w:bCs/>
          <w:color w:val="000000"/>
        </w:rPr>
        <w:t>542</w:t>
      </w:r>
      <w:r w:rsidR="00552405" w:rsidRPr="008E5ED7">
        <w:t xml:space="preserve"> </w:t>
      </w:r>
      <w:r w:rsidRPr="008E5ED7">
        <w:rPr>
          <w:rStyle w:val="Resref"/>
          <w:b/>
          <w:bCs/>
          <w:color w:val="000000"/>
        </w:rPr>
        <w:t>(WRC</w:t>
      </w:r>
      <w:r w:rsidRPr="008E5ED7">
        <w:rPr>
          <w:rStyle w:val="Resref"/>
          <w:b/>
          <w:bCs/>
          <w:color w:val="000000"/>
        </w:rPr>
        <w:noBreakHyphen/>
        <w:t>2000)</w:t>
      </w:r>
      <w:r w:rsidR="002C5179">
        <w:rPr>
          <w:rStyle w:val="FootnoteReference"/>
          <w:b/>
          <w:bCs/>
        </w:rPr>
        <w:footnoteReference w:customMarkFollows="1" w:id="4"/>
        <w:t>*</w:t>
      </w:r>
      <w:r w:rsidRPr="008E5ED7">
        <w:t>, as updated, or whether it also includes an exami</w:t>
      </w:r>
      <w:r w:rsidR="00552405" w:rsidRPr="008E5ED7">
        <w:softHyphen/>
      </w:r>
      <w:r w:rsidRPr="008E5ED7">
        <w:t xml:space="preserve">nation with respect to the technical characteristics published by the Bureau for each network of the Lists in the corresponding Part B Special Section of the Weekly Circular or the IFIC. </w:t>
      </w:r>
      <w:r w:rsidR="00552405" w:rsidRPr="008E5ED7">
        <w:br w:type="page"/>
      </w:r>
      <w:r w:rsidRPr="008E5ED7">
        <w:lastRenderedPageBreak/>
        <w:t>The Board concluded that all technical characteristics published in the Part B Special Section for a given network need to be taken into account in this examination. Therefore, the exami</w:t>
      </w:r>
      <w:r w:rsidR="00552405" w:rsidRPr="008E5ED7">
        <w:softHyphen/>
      </w:r>
      <w:r w:rsidRPr="008E5ED7">
        <w:t>nation from the viewpoint of conformity with the Lists is carried out in two steps:</w:t>
      </w:r>
    </w:p>
    <w:p w14:paraId="63727A15" w14:textId="77777777" w:rsidR="002150F8" w:rsidRPr="008E5ED7" w:rsidRDefault="002150F8" w:rsidP="00552405">
      <w:pPr>
        <w:pStyle w:val="enumlev1"/>
      </w:pPr>
      <w:r w:rsidRPr="008E5ED7">
        <w:rPr>
          <w:i/>
        </w:rPr>
        <w:t>a)</w:t>
      </w:r>
      <w:r w:rsidRPr="008E5ED7">
        <w:tab/>
        <w:t>to ensure that the characteristics notified are those specified in the columns of the List concerned, as updated, and those specified in the Part B Special Section of a given network. If the characteristics are different then the examination under §</w:t>
      </w:r>
      <w:r w:rsidR="00552405" w:rsidRPr="008E5ED7">
        <w:t> </w:t>
      </w:r>
      <w:r w:rsidRPr="008E5ED7">
        <w:t>5.2.1</w:t>
      </w:r>
      <w:r w:rsidR="00552405" w:rsidRPr="008E5ED7">
        <w:t> </w:t>
      </w:r>
      <w:r w:rsidRPr="008E5ED7">
        <w:rPr>
          <w:i/>
        </w:rPr>
        <w:t>d)</w:t>
      </w:r>
      <w:r w:rsidRPr="008E5ED7">
        <w:t xml:space="preserve"> is carried out;</w:t>
      </w:r>
    </w:p>
    <w:p w14:paraId="39C25BA9" w14:textId="77777777" w:rsidR="002150F8" w:rsidRPr="008E5ED7" w:rsidRDefault="002150F8" w:rsidP="00552405">
      <w:pPr>
        <w:pStyle w:val="enumlev1"/>
      </w:pPr>
      <w:r w:rsidRPr="008E5ED7">
        <w:rPr>
          <w:i/>
        </w:rPr>
        <w:t>b)</w:t>
      </w:r>
      <w:r w:rsidRPr="008E5ED7">
        <w:tab/>
        <w:t>to ensure that the protection criteria resulting from the Regions</w:t>
      </w:r>
      <w:r w:rsidR="00552405" w:rsidRPr="008E5ED7">
        <w:t xml:space="preserve"> </w:t>
      </w:r>
      <w:r w:rsidRPr="008E5ED7">
        <w:t>1 and 3 Plan and List concerned are not exceeded. To this effect, the characteristics specified in the columns of the List concerned, as updated, and those specified in the Part B Special Section of a given network are examined.</w:t>
      </w:r>
    </w:p>
    <w:p w14:paraId="704328AD" w14:textId="77777777" w:rsidR="002150F8" w:rsidRPr="008E5ED7" w:rsidRDefault="002150F8" w:rsidP="00552405">
      <w:r w:rsidRPr="008E5ED7">
        <w:t>3</w:t>
      </w:r>
      <w:r w:rsidRPr="008E5ED7">
        <w:tab/>
        <w:t>See also the Rules of Procedure relating to the scope of application of Article</w:t>
      </w:r>
      <w:r w:rsidR="00552405" w:rsidRPr="008E5ED7">
        <w:t> </w:t>
      </w:r>
      <w:r w:rsidRPr="008E5ED7">
        <w:t>5 of Appendix</w:t>
      </w:r>
      <w:r w:rsidR="00552405" w:rsidRPr="008E5ED7">
        <w:t> </w:t>
      </w:r>
      <w:r w:rsidRPr="008E5ED7">
        <w:rPr>
          <w:rStyle w:val="Appref"/>
          <w:b/>
          <w:color w:val="000000"/>
        </w:rPr>
        <w:t>30A</w:t>
      </w:r>
      <w:r w:rsidRPr="008E5ED7">
        <w:t>.</w:t>
      </w:r>
    </w:p>
    <w:p w14:paraId="5B7C5D39" w14:textId="77777777" w:rsidR="002150F8" w:rsidRPr="008E5ED7" w:rsidRDefault="002150F8">
      <w:pPr>
        <w:pStyle w:val="Heading9"/>
      </w:pPr>
      <w:bookmarkStart w:id="7" w:name="_Toc510511286"/>
      <w:r w:rsidRPr="008E5ED7">
        <w:t xml:space="preserve">5.2.1 </w:t>
      </w:r>
      <w:r w:rsidRPr="008E5ED7">
        <w:rPr>
          <w:i/>
        </w:rPr>
        <w:t>d)</w:t>
      </w:r>
      <w:bookmarkEnd w:id="7"/>
    </w:p>
    <w:p w14:paraId="4D112E98" w14:textId="77777777" w:rsidR="002150F8" w:rsidRPr="008E5ED7" w:rsidRDefault="002150F8" w:rsidP="00552405">
      <w:r w:rsidRPr="008E5ED7">
        <w:t>1</w:t>
      </w:r>
      <w:r w:rsidRPr="008E5ED7">
        <w:tab/>
        <w:t>If an administration notifies any assignment with characteristics different from</w:t>
      </w:r>
      <w:r w:rsidR="00E65E90">
        <w:t> </w:t>
      </w:r>
      <w:r w:rsidRPr="008E5ED7">
        <w:t>those listed in § 1</w:t>
      </w:r>
      <w:r w:rsidR="00552405" w:rsidRPr="008E5ED7">
        <w:t xml:space="preserve"> </w:t>
      </w:r>
      <w:r w:rsidRPr="008E5ED7">
        <w:rPr>
          <w:i/>
        </w:rPr>
        <w:t>b)</w:t>
      </w:r>
      <w:r w:rsidRPr="008E5ED7">
        <w:t xml:space="preserve"> of the Rules of Procedure related to §</w:t>
      </w:r>
      <w:r w:rsidR="00552405" w:rsidRPr="008E5ED7">
        <w:t> </w:t>
      </w:r>
      <w:r w:rsidRPr="008E5ED7">
        <w:t xml:space="preserve">5.2.1 </w:t>
      </w:r>
      <w:r w:rsidRPr="008E5ED7">
        <w:rPr>
          <w:i/>
        </w:rPr>
        <w:t>b)</w:t>
      </w:r>
      <w:r w:rsidRPr="008E5ED7">
        <w:t xml:space="preserve"> of Article 5 of Appendix </w:t>
      </w:r>
      <w:r w:rsidRPr="008E5ED7">
        <w:rPr>
          <w:rStyle w:val="Appref"/>
          <w:b/>
          <w:color w:val="000000"/>
        </w:rPr>
        <w:t>30A</w:t>
      </w:r>
      <w:r w:rsidRPr="008E5ED7">
        <w:t>, and those allowed in §</w:t>
      </w:r>
      <w:r w:rsidR="00552405" w:rsidRPr="008E5ED7">
        <w:t> </w:t>
      </w:r>
      <w:r w:rsidRPr="008E5ED7">
        <w:t xml:space="preserve">5.2.1 </w:t>
      </w:r>
      <w:r w:rsidRPr="008E5ED7">
        <w:rPr>
          <w:i/>
        </w:rPr>
        <w:t>d)</w:t>
      </w:r>
      <w:r w:rsidRPr="008E5ED7">
        <w:t xml:space="preserve"> of the same Article, a calculation is undertaken by the Bureau to determine if the proposed new characteristics would increase the interference level caused to other assignments in the appropriate Regional Plan, in the Regions</w:t>
      </w:r>
      <w:r w:rsidR="00552405" w:rsidRPr="008E5ED7">
        <w:t> </w:t>
      </w:r>
      <w:r w:rsidRPr="008E5ED7">
        <w:t>1 and 3 List(s), in the same service of an inter-regional Plan or in another service sharing the same frequency bands.</w:t>
      </w:r>
    </w:p>
    <w:p w14:paraId="273563B9" w14:textId="77777777" w:rsidR="002150F8" w:rsidRPr="008E5ED7" w:rsidRDefault="002150F8">
      <w:pPr>
        <w:spacing w:line="270" w:lineRule="exact"/>
      </w:pPr>
      <w:r w:rsidRPr="008E5ED7">
        <w:t>1.1</w:t>
      </w:r>
      <w:r w:rsidRPr="008E5ED7">
        <w:tab/>
        <w:t>With respect to the compatibility of the proposed new characteristics with other assignments of the same Regional Plan and List, as appropriate, the increase of the inter</w:t>
      </w:r>
      <w:r w:rsidRPr="008E5ED7">
        <w:softHyphen/>
        <w:t>ference will be checked by comparing the equivalent protection margin/overall equivalent protection margin values of these other assignments, which result from the proposed new characteristics on the one hand, and those obtained with the previous</w:t>
      </w:r>
      <w:r w:rsidRPr="008E5ED7">
        <w:rPr>
          <w:rStyle w:val="FootnoteReference"/>
          <w:sz w:val="20"/>
        </w:rPr>
        <w:footnoteReference w:customMarkFollows="1" w:id="5"/>
        <w:t>4</w:t>
      </w:r>
      <w:r w:rsidRPr="008E5ED7">
        <w:t xml:space="preserve"> characteristics of the network in question on the other hand. These equivalent protection margin/overall equivalent protection margin calculations are performed under the same technical assumptions and conditions taking into account the orbital separation limit of </w:t>
      </w:r>
      <w:r w:rsidRPr="008E5ED7">
        <w:rPr>
          <w:rFonts w:ascii="Symbol" w:hAnsi="Symbol"/>
        </w:rPr>
        <w:t></w:t>
      </w:r>
      <w:r w:rsidRPr="008E5ED7">
        <w:rPr>
          <w:rFonts w:ascii="Tms Rmn" w:hAnsi="Tms Rmn"/>
          <w:sz w:val="12"/>
        </w:rPr>
        <w:t> </w:t>
      </w:r>
      <w:r w:rsidRPr="008E5ED7">
        <w:t>9</w:t>
      </w:r>
      <w:r w:rsidRPr="008E5ED7">
        <w:sym w:font="Symbol" w:char="F0B0"/>
      </w:r>
      <w:r w:rsidRPr="008E5ED7">
        <w:t xml:space="preserve"> for assignments in the Regions 1 and 3 Plan and List. A more detailed analysis of the interference situation could also be required by using single entry </w:t>
      </w:r>
      <w:r w:rsidRPr="008E5ED7">
        <w:rPr>
          <w:i/>
          <w:iCs/>
        </w:rPr>
        <w:t>C</w:t>
      </w:r>
      <w:r w:rsidRPr="008E5ED7">
        <w:t>/</w:t>
      </w:r>
      <w:r w:rsidRPr="008E5ED7">
        <w:rPr>
          <w:i/>
          <w:iCs/>
        </w:rPr>
        <w:t>I</w:t>
      </w:r>
      <w:r w:rsidRPr="008E5ED7">
        <w:t xml:space="preserve"> values in order to identify the assignments of the network in question which are causing the increase of the interference.</w:t>
      </w:r>
    </w:p>
    <w:p w14:paraId="463F7644" w14:textId="77777777" w:rsidR="002150F8" w:rsidRPr="008E5ED7" w:rsidRDefault="002150F8" w:rsidP="00552405">
      <w:pPr>
        <w:spacing w:before="240"/>
      </w:pPr>
      <w:r w:rsidRPr="008E5ED7">
        <w:t xml:space="preserve">In addition, in the case of Regions 1 and 3, the notified assignments with new characteristics for the network in question are examined with respect to their compliance with the power flux-density hard-limit defined in § 4 of Annex 1 to Appendix </w:t>
      </w:r>
      <w:r w:rsidRPr="008E5ED7">
        <w:rPr>
          <w:rStyle w:val="Appref"/>
          <w:b/>
          <w:color w:val="000000"/>
        </w:rPr>
        <w:t>30A</w:t>
      </w:r>
      <w:r w:rsidRPr="008E5ED7">
        <w:t>, or, as the case may be, with respect to their compliance with the power flux-density level of the corresponding assignments in the Plan(s) or in the List(s) if those assignments were adopted by WRC</w:t>
      </w:r>
      <w:r w:rsidR="00552405" w:rsidRPr="008E5ED7">
        <w:noBreakHyphen/>
      </w:r>
      <w:r w:rsidRPr="008E5ED7">
        <w:t>2000 with power flux-density level(s) higher than the above-mentioned power flux</w:t>
      </w:r>
      <w:r w:rsidRPr="008E5ED7">
        <w:noBreakHyphen/>
        <w:t>density hard</w:t>
      </w:r>
      <w:r w:rsidRPr="008E5ED7">
        <w:noBreakHyphen/>
        <w:t>limit.</w:t>
      </w:r>
    </w:p>
    <w:p w14:paraId="0BA8E22D" w14:textId="77777777" w:rsidR="00CB4C25" w:rsidRDefault="00CB4C25" w:rsidP="00AD1A4A">
      <w:pPr>
        <w:spacing w:before="240" w:line="270" w:lineRule="exact"/>
      </w:pPr>
    </w:p>
    <w:p w14:paraId="68F99929" w14:textId="77777777" w:rsidR="00CB4C25" w:rsidRDefault="00CB4C25" w:rsidP="00AD1A4A">
      <w:pPr>
        <w:spacing w:before="240" w:line="270" w:lineRule="exact"/>
        <w:sectPr w:rsidR="00CB4C25">
          <w:headerReference w:type="even" r:id="rId10"/>
          <w:headerReference w:type="default" r:id="rId11"/>
          <w:footnotePr>
            <w:pos w:val="beneathText"/>
          </w:footnotePr>
          <w:pgSz w:w="11907" w:h="16840" w:code="9"/>
          <w:pgMar w:top="1701" w:right="851" w:bottom="1134" w:left="1985" w:header="720" w:footer="482" w:gutter="0"/>
          <w:cols w:space="720"/>
          <w:vAlign w:val="both"/>
        </w:sectPr>
      </w:pPr>
    </w:p>
    <w:p w14:paraId="4A75984E" w14:textId="77777777" w:rsidR="002150F8" w:rsidRPr="008E5ED7" w:rsidRDefault="002150F8" w:rsidP="00AD1A4A">
      <w:pPr>
        <w:spacing w:before="240" w:line="270" w:lineRule="exact"/>
      </w:pPr>
      <w:r w:rsidRPr="008E5ED7">
        <w:lastRenderedPageBreak/>
        <w:t>1.2</w:t>
      </w:r>
      <w:r w:rsidRPr="008E5ED7">
        <w:tab/>
        <w:t xml:space="preserve">With respect to the compatibility with other inter-regional assignments in the same service or assignments in another service sharing the same frequency bands, as appropriate, the increase of the interference will be checked by calculating the </w:t>
      </w:r>
      <w:r w:rsidRPr="008E5ED7">
        <w:rPr>
          <w:rFonts w:ascii="Symbol" w:hAnsi="Symbol"/>
        </w:rPr>
        <w:sym w:font="Symbol" w:char="F044"/>
      </w:r>
      <w:r w:rsidRPr="008E5ED7">
        <w:rPr>
          <w:i/>
          <w:iCs/>
        </w:rPr>
        <w:t>T</w:t>
      </w:r>
      <w:r w:rsidRPr="008E5ED7">
        <w:t>/</w:t>
      </w:r>
      <w:r w:rsidRPr="008E5ED7">
        <w:rPr>
          <w:i/>
          <w:iCs/>
        </w:rPr>
        <w:t>T</w:t>
      </w:r>
      <w:r w:rsidRPr="008E5ED7">
        <w:t xml:space="preserve"> values, in accordance with the method given in Appendix </w:t>
      </w:r>
      <w:r w:rsidRPr="008E5ED7">
        <w:rPr>
          <w:rStyle w:val="Appref"/>
          <w:b/>
          <w:bCs/>
          <w:color w:val="000000"/>
        </w:rPr>
        <w:t>8</w:t>
      </w:r>
      <w:r w:rsidRPr="008E5ED7">
        <w:t>, produced by the proposed new charac</w:t>
      </w:r>
      <w:r w:rsidRPr="008E5ED7">
        <w:softHyphen/>
        <w:t xml:space="preserve">teristics, and by comparing the resulting </w:t>
      </w:r>
      <w:r w:rsidRPr="008E5ED7">
        <w:rPr>
          <w:rFonts w:ascii="Symbol" w:hAnsi="Symbol"/>
        </w:rPr>
        <w:sym w:font="Symbol" w:char="F044"/>
      </w:r>
      <w:r w:rsidRPr="008E5ED7">
        <w:rPr>
          <w:i/>
          <w:iCs/>
        </w:rPr>
        <w:t>T</w:t>
      </w:r>
      <w:r w:rsidRPr="008E5ED7">
        <w:t>/</w:t>
      </w:r>
      <w:r w:rsidRPr="008E5ED7">
        <w:rPr>
          <w:i/>
          <w:iCs/>
        </w:rPr>
        <w:t>T</w:t>
      </w:r>
      <w:r w:rsidRPr="008E5ED7">
        <w:t xml:space="preserve"> values, with those obtained with the previous</w:t>
      </w:r>
      <w:r w:rsidR="00AD1A4A" w:rsidRPr="002C5C48">
        <w:rPr>
          <w:rStyle w:val="FootnoteReference"/>
        </w:rPr>
        <w:t>4</w:t>
      </w:r>
      <w:r w:rsidRPr="008E5ED7">
        <w:t xml:space="preserve"> characteristics of the subject assignment.</w:t>
      </w:r>
    </w:p>
    <w:p w14:paraId="1C60BD15" w14:textId="77777777" w:rsidR="002150F8" w:rsidRPr="008E5ED7" w:rsidRDefault="002150F8" w:rsidP="00552405">
      <w:r w:rsidRPr="008E5ED7">
        <w:t>1.3</w:t>
      </w:r>
      <w:r w:rsidRPr="008E5ED7">
        <w:tab/>
        <w:t>Should the results of the calculations described in § 1.1 and 1.2 above indicate that the proposed new characteristics increase the interference to other assignments, the</w:t>
      </w:r>
      <w:r w:rsidR="00552405" w:rsidRPr="008E5ED7">
        <w:t> </w:t>
      </w:r>
      <w:r w:rsidRPr="008E5ED7">
        <w:t xml:space="preserve">Bureau would reach an unfavourable finding with respect to § 5.2.1 </w:t>
      </w:r>
      <w:r w:rsidRPr="008E5ED7">
        <w:rPr>
          <w:i/>
        </w:rPr>
        <w:t>d)</w:t>
      </w:r>
      <w:r w:rsidRPr="008E5ED7">
        <w:t xml:space="preserve"> of Article 5 of Appendix </w:t>
      </w:r>
      <w:r w:rsidRPr="008E5ED7">
        <w:rPr>
          <w:rStyle w:val="Appref"/>
          <w:b/>
          <w:color w:val="000000"/>
        </w:rPr>
        <w:t>30A</w:t>
      </w:r>
      <w:r w:rsidRPr="008E5ED7">
        <w:t xml:space="preserve"> and proceed accordingly.</w:t>
      </w:r>
    </w:p>
    <w:p w14:paraId="464292D0" w14:textId="77777777" w:rsidR="002150F8" w:rsidRPr="008E5ED7" w:rsidRDefault="002150F8" w:rsidP="00552405">
      <w:r w:rsidRPr="008E5ED7">
        <w:t>2</w:t>
      </w:r>
      <w:r w:rsidRPr="008E5ED7">
        <w:tab/>
        <w:t>With respect to the fourth indent of §</w:t>
      </w:r>
      <w:r w:rsidR="00552405" w:rsidRPr="008E5ED7">
        <w:t> </w:t>
      </w:r>
      <w:r w:rsidRPr="008E5ED7">
        <w:t xml:space="preserve">5.2.1 </w:t>
      </w:r>
      <w:r w:rsidRPr="008E5ED7">
        <w:rPr>
          <w:i/>
          <w:iCs/>
        </w:rPr>
        <w:t>d)</w:t>
      </w:r>
      <w:r w:rsidRPr="008E5ED7">
        <w:t>, in the case of administrations of Region</w:t>
      </w:r>
      <w:r w:rsidR="00552405" w:rsidRPr="008E5ED7">
        <w:t> </w:t>
      </w:r>
      <w:r w:rsidRPr="008E5ED7">
        <w:t>2, the orbital position shall be examined to ensure compliance with the cluster concept (§</w:t>
      </w:r>
      <w:r w:rsidR="00552405" w:rsidRPr="008E5ED7">
        <w:t> </w:t>
      </w:r>
      <w:r w:rsidRPr="008E5ED7">
        <w:t xml:space="preserve">B of Annex 7 to Appendix </w:t>
      </w:r>
      <w:r w:rsidRPr="008E5ED7">
        <w:rPr>
          <w:rStyle w:val="Appref"/>
          <w:b/>
          <w:color w:val="000000"/>
        </w:rPr>
        <w:t>30</w:t>
      </w:r>
      <w:r w:rsidRPr="008E5ED7">
        <w:t xml:space="preserve"> and § 4.13.1 of Annex 3 to Appendix </w:t>
      </w:r>
      <w:r w:rsidRPr="008E5ED7">
        <w:rPr>
          <w:rStyle w:val="Appref"/>
          <w:b/>
          <w:color w:val="000000"/>
        </w:rPr>
        <w:t>30A)</w:t>
      </w:r>
      <w:r w:rsidRPr="008E5ED7">
        <w:t xml:space="preserve"> as follows:</w:t>
      </w:r>
    </w:p>
    <w:p w14:paraId="03071AA5" w14:textId="77777777" w:rsidR="002150F8" w:rsidRPr="008E5ED7" w:rsidRDefault="002150F8">
      <w:pPr>
        <w:pStyle w:val="enumlev1"/>
      </w:pPr>
      <w:r w:rsidRPr="008E5ED7">
        <w:t>–</w:t>
      </w:r>
      <w:r w:rsidRPr="008E5ED7">
        <w:tab/>
        <w:t>if the orbital position is identical with that shown in the Plan, no further agreements are necessary;</w:t>
      </w:r>
    </w:p>
    <w:p w14:paraId="4295E0B1" w14:textId="77777777" w:rsidR="002150F8" w:rsidRPr="008E5ED7" w:rsidRDefault="002150F8">
      <w:pPr>
        <w:pStyle w:val="enumlev1"/>
      </w:pPr>
      <w:r w:rsidRPr="008E5ED7">
        <w:t>–</w:t>
      </w:r>
      <w:r w:rsidRPr="008E5ED7">
        <w:tab/>
        <w:t xml:space="preserve">however, if the orbital position is different from that contained in the Plan but it is in the same cluster, then the agreement of administrations having assignments in the same cluster is necessary. The clusters are listed in Attachment 1 to the Rules of Procedure concerning Appendix </w:t>
      </w:r>
      <w:r w:rsidRPr="008E5ED7">
        <w:rPr>
          <w:rStyle w:val="Appref"/>
          <w:b/>
          <w:color w:val="000000"/>
        </w:rPr>
        <w:t>30</w:t>
      </w:r>
      <w:r w:rsidRPr="008E5ED7">
        <w:t xml:space="preserve">. Appendices </w:t>
      </w:r>
      <w:r w:rsidRPr="008E5ED7">
        <w:rPr>
          <w:rStyle w:val="Appref"/>
          <w:b/>
          <w:color w:val="000000"/>
        </w:rPr>
        <w:t>30</w:t>
      </w:r>
      <w:r w:rsidRPr="008E5ED7">
        <w:t xml:space="preserve"> and </w:t>
      </w:r>
      <w:r w:rsidRPr="008E5ED7">
        <w:rPr>
          <w:rStyle w:val="Appref"/>
          <w:b/>
          <w:color w:val="000000"/>
        </w:rPr>
        <w:t>30A</w:t>
      </w:r>
      <w:r w:rsidRPr="008E5ED7">
        <w:t xml:space="preserve"> do not contain any paragraph indicating the procedure to be followed for the above-mentioned agreement. The task of the Bureau in this respect is to ensure that the agreement of the administrations concerned is indicated in the notice; otherwise it considers the assignment to be not in conformity with Plan.</w:t>
      </w:r>
    </w:p>
    <w:p w14:paraId="0AD9BB5A" w14:textId="77777777" w:rsidR="002150F8" w:rsidRPr="008E5ED7" w:rsidRDefault="002150F8">
      <w:pPr>
        <w:pStyle w:val="Heading9"/>
      </w:pPr>
      <w:bookmarkStart w:id="8" w:name="_Toc510511287"/>
      <w:r w:rsidRPr="008E5ED7">
        <w:t>5.2.2.1</w:t>
      </w:r>
      <w:bookmarkEnd w:id="8"/>
    </w:p>
    <w:p w14:paraId="5DF51607" w14:textId="77777777" w:rsidR="002150F8" w:rsidRPr="008E5ED7" w:rsidRDefault="002150F8" w:rsidP="00447573">
      <w:r w:rsidRPr="008E5ED7">
        <w:t xml:space="preserve">This paragraph implicitly relates to the cases where the Bureau reaches a favourable </w:t>
      </w:r>
      <w:r w:rsidR="00447573">
        <w:t>f</w:t>
      </w:r>
      <w:r w:rsidRPr="008E5ED7">
        <w:t>inding with respect to §</w:t>
      </w:r>
      <w:r w:rsidR="00552405" w:rsidRPr="008E5ED7">
        <w:t> </w:t>
      </w:r>
      <w:r w:rsidRPr="008E5ED7">
        <w:t xml:space="preserve">5.2.1 </w:t>
      </w:r>
      <w:r w:rsidRPr="008E5ED7">
        <w:rPr>
          <w:i/>
        </w:rPr>
        <w:t>a)</w:t>
      </w:r>
      <w:r w:rsidRPr="008E5ED7">
        <w:t>, § 5.2.1</w:t>
      </w:r>
      <w:r w:rsidR="00552405" w:rsidRPr="008E5ED7">
        <w:t xml:space="preserve"> </w:t>
      </w:r>
      <w:r w:rsidRPr="008E5ED7">
        <w:rPr>
          <w:i/>
        </w:rPr>
        <w:t>c)</w:t>
      </w:r>
      <w:r w:rsidRPr="008E5ED7">
        <w:t xml:space="preserve"> and § 5.2.1 </w:t>
      </w:r>
      <w:r w:rsidRPr="008E5ED7">
        <w:rPr>
          <w:i/>
        </w:rPr>
        <w:t>f</w:t>
      </w:r>
      <w:r w:rsidR="00552405" w:rsidRPr="008E5ED7">
        <w:rPr>
          <w:iCs/>
          <w:sz w:val="20"/>
        </w:rPr>
        <w:t> </w:t>
      </w:r>
      <w:r w:rsidRPr="008E5ED7">
        <w:rPr>
          <w:i/>
        </w:rPr>
        <w:t>)</w:t>
      </w:r>
      <w:r w:rsidRPr="008E5ED7">
        <w:t xml:space="preserve"> and an unfavourable </w:t>
      </w:r>
      <w:r w:rsidR="00447573">
        <w:t>f</w:t>
      </w:r>
      <w:r w:rsidRPr="008E5ED7">
        <w:t>inding with respect to §</w:t>
      </w:r>
      <w:r w:rsidR="00552405" w:rsidRPr="008E5ED7">
        <w:t> </w:t>
      </w:r>
      <w:r w:rsidRPr="008E5ED7">
        <w:t>5.2.1 </w:t>
      </w:r>
      <w:r w:rsidRPr="008E5ED7">
        <w:rPr>
          <w:i/>
        </w:rPr>
        <w:t>b)</w:t>
      </w:r>
      <w:r w:rsidRPr="008E5ED7">
        <w:t xml:space="preserve"> but a favourable </w:t>
      </w:r>
      <w:r w:rsidR="00447573">
        <w:t>f</w:t>
      </w:r>
      <w:r w:rsidRPr="008E5ED7">
        <w:t>inding with respect to §</w:t>
      </w:r>
      <w:r w:rsidR="00552405" w:rsidRPr="008E5ED7">
        <w:t> </w:t>
      </w:r>
      <w:r w:rsidRPr="008E5ED7">
        <w:t>5.2.1</w:t>
      </w:r>
      <w:r w:rsidR="00552405" w:rsidRPr="008E5ED7">
        <w:t> </w:t>
      </w:r>
      <w:r w:rsidRPr="008E5ED7">
        <w:rPr>
          <w:i/>
        </w:rPr>
        <w:t>d)</w:t>
      </w:r>
      <w:r w:rsidRPr="008E5ED7">
        <w:t>.</w:t>
      </w:r>
    </w:p>
    <w:p w14:paraId="1E5AFC70" w14:textId="77777777" w:rsidR="002150F8" w:rsidRPr="008E5ED7" w:rsidRDefault="002150F8" w:rsidP="00447573">
      <w:r w:rsidRPr="008E5ED7">
        <w:t>However, considering the Rules of Procedure relating to the scope of application of Article 5 of Appendix</w:t>
      </w:r>
      <w:r w:rsidR="00552405" w:rsidRPr="008E5ED7">
        <w:t xml:space="preserve"> </w:t>
      </w:r>
      <w:r w:rsidRPr="008E5ED7">
        <w:rPr>
          <w:b/>
          <w:bCs/>
        </w:rPr>
        <w:t>30A</w:t>
      </w:r>
      <w:r w:rsidRPr="008E5ED7">
        <w:rPr>
          <w:iCs/>
        </w:rPr>
        <w:t xml:space="preserve">, </w:t>
      </w:r>
      <w:r w:rsidRPr="008E5ED7">
        <w:t xml:space="preserve">the Board concluded that § 5.2.2.1 relates to the cases where the Bureau reaches a favourable </w:t>
      </w:r>
      <w:r w:rsidR="00447573">
        <w:t>f</w:t>
      </w:r>
      <w:r w:rsidRPr="008E5ED7">
        <w:t>inding with respect to § 5.2.1</w:t>
      </w:r>
      <w:r w:rsidR="00552405" w:rsidRPr="008E5ED7">
        <w:t xml:space="preserve"> </w:t>
      </w:r>
      <w:r w:rsidRPr="008E5ED7">
        <w:rPr>
          <w:i/>
        </w:rPr>
        <w:t>a)</w:t>
      </w:r>
      <w:r w:rsidRPr="008E5ED7">
        <w:t xml:space="preserve"> and § 5.2.1 </w:t>
      </w:r>
      <w:r w:rsidRPr="008E5ED7">
        <w:rPr>
          <w:i/>
        </w:rPr>
        <w:t>c)</w:t>
      </w:r>
      <w:r w:rsidRPr="008E5ED7">
        <w:t xml:space="preserve"> and an unfavourable </w:t>
      </w:r>
      <w:r w:rsidR="00447573">
        <w:t>f</w:t>
      </w:r>
      <w:r w:rsidRPr="008E5ED7">
        <w:t>inding with respect to § 5.2.1 </w:t>
      </w:r>
      <w:r w:rsidRPr="008E5ED7">
        <w:rPr>
          <w:i/>
        </w:rPr>
        <w:t>b)</w:t>
      </w:r>
      <w:r w:rsidRPr="008E5ED7">
        <w:t xml:space="preserve"> but a favourable </w:t>
      </w:r>
      <w:r w:rsidR="00447573">
        <w:t>f</w:t>
      </w:r>
      <w:r w:rsidRPr="008E5ED7">
        <w:t>inding with respect to § 5.2.1 </w:t>
      </w:r>
      <w:r w:rsidRPr="008E5ED7">
        <w:rPr>
          <w:i/>
        </w:rPr>
        <w:t>d)</w:t>
      </w:r>
      <w:r w:rsidRPr="008E5ED7">
        <w:t>.</w:t>
      </w:r>
    </w:p>
    <w:p w14:paraId="23930BC3" w14:textId="77777777" w:rsidR="002150F8" w:rsidRDefault="002150F8">
      <w:r w:rsidRPr="008E5ED7">
        <w:t>In this event the frequency assignment shall be recorded in the Master Register.</w:t>
      </w:r>
    </w:p>
    <w:p w14:paraId="5B36FEB8" w14:textId="77777777" w:rsidR="00CB4C25" w:rsidRDefault="00CB4C25">
      <w:r>
        <w:br w:type="page"/>
      </w:r>
    </w:p>
    <w:p w14:paraId="67D6D29A" w14:textId="77777777" w:rsidR="002150F8" w:rsidRPr="008E5ED7" w:rsidRDefault="002150F8" w:rsidP="00552405">
      <w:pPr>
        <w:pStyle w:val="Heading8"/>
      </w:pPr>
      <w:bookmarkStart w:id="9" w:name="_Toc510511290"/>
      <w:r w:rsidRPr="008E5ED7">
        <w:lastRenderedPageBreak/>
        <w:t>Art. 6</w:t>
      </w:r>
      <w:bookmarkEnd w:id="9"/>
    </w:p>
    <w:p w14:paraId="375A3E27" w14:textId="77777777" w:rsidR="002150F8" w:rsidRPr="008E5ED7" w:rsidRDefault="002150F8" w:rsidP="00552405">
      <w:pPr>
        <w:pStyle w:val="Heading2"/>
        <w:spacing w:before="360"/>
        <w:ind w:left="0" w:firstLine="0"/>
        <w:jc w:val="center"/>
      </w:pPr>
      <w:bookmarkStart w:id="10" w:name="_Toc510511291"/>
      <w:r w:rsidRPr="008E5ED7">
        <w:t>Coordination, notification and recording of receiving</w:t>
      </w:r>
      <w:r w:rsidR="00552405" w:rsidRPr="008E5ED7">
        <w:t xml:space="preserve"> </w:t>
      </w:r>
      <w:r w:rsidRPr="008E5ED7">
        <w:t>terrestrial</w:t>
      </w:r>
      <w:r w:rsidR="00552405" w:rsidRPr="008E5ED7">
        <w:br/>
      </w:r>
      <w:r w:rsidRPr="008E5ED7">
        <w:t>assignments when FSS feeder-links are involved</w:t>
      </w:r>
      <w:bookmarkEnd w:id="10"/>
    </w:p>
    <w:p w14:paraId="1C0F40B4" w14:textId="77777777" w:rsidR="002150F8" w:rsidRPr="008E5ED7" w:rsidRDefault="002150F8">
      <w:pPr>
        <w:pStyle w:val="Heading9"/>
      </w:pPr>
      <w:bookmarkStart w:id="11" w:name="_Toc510511292"/>
      <w:r w:rsidRPr="008E5ED7">
        <w:t>6.1</w:t>
      </w:r>
      <w:bookmarkEnd w:id="11"/>
    </w:p>
    <w:p w14:paraId="1031E766" w14:textId="77777777" w:rsidR="002150F8" w:rsidRPr="008E5ED7" w:rsidRDefault="002150F8">
      <w:r w:rsidRPr="008E5ED7">
        <w:t>1</w:t>
      </w:r>
      <w:r w:rsidRPr="008E5ED7">
        <w:tab/>
        <w:t xml:space="preserve">The paragraphs of Article 6 do not mention interim systems implemented in accordance with Resolution </w:t>
      </w:r>
      <w:r w:rsidRPr="008E5ED7">
        <w:rPr>
          <w:rStyle w:val="Resref"/>
          <w:b/>
          <w:bCs/>
          <w:color w:val="000000"/>
        </w:rPr>
        <w:t>42 (Rev.WRC-03)</w:t>
      </w:r>
      <w:r w:rsidR="002C5179">
        <w:rPr>
          <w:rStyle w:val="FootnoteReference"/>
          <w:b/>
          <w:bCs/>
        </w:rPr>
        <w:footnoteReference w:customMarkFollows="1" w:id="6"/>
        <w:t>*</w:t>
      </w:r>
      <w:r w:rsidRPr="008E5ED7">
        <w:t>. Such systems may be implemented in the frequency band 17.7-17.8 GHz for Region 2 shared with equal rights with terrestrial services:</w:t>
      </w:r>
    </w:p>
    <w:p w14:paraId="6586FBC2" w14:textId="77777777" w:rsidR="002150F8" w:rsidRPr="008E5ED7" w:rsidRDefault="002150F8">
      <w:r w:rsidRPr="008E5ED7">
        <w:t>Such usage may affect terrestrial stations.</w:t>
      </w:r>
    </w:p>
    <w:p w14:paraId="06753B2A" w14:textId="77777777" w:rsidR="002150F8" w:rsidRPr="008E5ED7" w:rsidRDefault="002150F8" w:rsidP="00552405">
      <w:r w:rsidRPr="008E5ED7">
        <w:t>2</w:t>
      </w:r>
      <w:r w:rsidRPr="008E5ED7">
        <w:tab/>
        <w:t>This paragraph refers to “a feeder-link earth station located on the territory of another administration and included in the service area of an assignment to a broadcasting-satellite service feeder-link space station which is in conformity with the appropriate regional feeder-link Plan”. This earth station is to be considered a typical earth station located at the worst location.</w:t>
      </w:r>
    </w:p>
    <w:p w14:paraId="5A6B6D22" w14:textId="77777777" w:rsidR="002150F8" w:rsidRPr="008E5ED7" w:rsidRDefault="002150F8" w:rsidP="00552405">
      <w:r w:rsidRPr="008E5ED7">
        <w:t>3</w:t>
      </w:r>
      <w:r w:rsidRPr="008E5ED7">
        <w:tab/>
        <w:t>In order to evaluate the interference, an Administration A, intending to use terrestrial stations, needs to know the fixed-earth station existing or planned. In order to take them into account administrations may calculate the coordination area as indicated in §</w:t>
      </w:r>
      <w:r w:rsidR="00552405" w:rsidRPr="008E5ED7">
        <w:t> </w:t>
      </w:r>
      <w:r w:rsidRPr="008E5ED7">
        <w:t>1.4.6 of Appendix</w:t>
      </w:r>
      <w:r w:rsidRPr="008E5ED7">
        <w:rPr>
          <w:rStyle w:val="Appref"/>
          <w:b/>
          <w:color w:val="000000"/>
        </w:rPr>
        <w:t> 7</w:t>
      </w:r>
      <w:r w:rsidRPr="008E5ED7">
        <w:t xml:space="preserve"> around the service area mentioned in §</w:t>
      </w:r>
      <w:r w:rsidR="00552405" w:rsidRPr="008E5ED7">
        <w:t> </w:t>
      </w:r>
      <w:r w:rsidRPr="008E5ED7">
        <w:t>6.1.</w:t>
      </w:r>
    </w:p>
    <w:p w14:paraId="66469800" w14:textId="77777777" w:rsidR="002150F8" w:rsidRPr="008E5ED7" w:rsidRDefault="002150F8">
      <w:pPr>
        <w:pStyle w:val="Heading9"/>
      </w:pPr>
      <w:bookmarkStart w:id="12" w:name="_Toc510511293"/>
      <w:r w:rsidRPr="008E5ED7">
        <w:t>6.2</w:t>
      </w:r>
      <w:bookmarkEnd w:id="12"/>
    </w:p>
    <w:p w14:paraId="3D42325C" w14:textId="77777777" w:rsidR="002150F8" w:rsidRPr="008E5ED7" w:rsidRDefault="002150F8" w:rsidP="00552405">
      <w:r w:rsidRPr="008E5ED7">
        <w:t>1</w:t>
      </w:r>
      <w:r w:rsidRPr="008E5ED7">
        <w:tab/>
        <w:t>This paragraph refers to the need for an Administration B to communicate the actual location of its feeder-link earth stations without specifying which of these earth stations should be taken into account. As no indication is given, the Board understands that the administration may communicate the locations of earth stations without any limitations.</w:t>
      </w:r>
    </w:p>
    <w:p w14:paraId="2F92BEA7" w14:textId="77777777" w:rsidR="002150F8" w:rsidRPr="008E5ED7" w:rsidRDefault="002150F8" w:rsidP="00552405">
      <w:r w:rsidRPr="008E5ED7">
        <w:t>2</w:t>
      </w:r>
      <w:r w:rsidRPr="008E5ED7">
        <w:tab/>
        <w:t>The actual locations of earth stations so communicated to Administration A and to the Bureau will be examined for their conformity with the characteristics listed under comments relating to §</w:t>
      </w:r>
      <w:r w:rsidR="00552405" w:rsidRPr="008E5ED7">
        <w:t> </w:t>
      </w:r>
      <w:r w:rsidRPr="008E5ED7">
        <w:t xml:space="preserve">5.2.1 </w:t>
      </w:r>
      <w:r w:rsidRPr="008E5ED7">
        <w:rPr>
          <w:i/>
        </w:rPr>
        <w:t>b)</w:t>
      </w:r>
      <w:r w:rsidRPr="008E5ED7">
        <w:t xml:space="preserve"> of this Appendix or those for which the procedure of Article</w:t>
      </w:r>
      <w:r w:rsidR="00552405" w:rsidRPr="008E5ED7">
        <w:t> </w:t>
      </w:r>
      <w:r w:rsidRPr="008E5ED7">
        <w:t>4 was successfully applied. This examination will lead to the following:</w:t>
      </w:r>
    </w:p>
    <w:p w14:paraId="2BA8CE3B" w14:textId="77777777" w:rsidR="00CB4C25" w:rsidRDefault="002150F8" w:rsidP="00CB4C25">
      <w:pPr>
        <w:pStyle w:val="enumlev1"/>
      </w:pPr>
      <w:r w:rsidRPr="008E5ED7">
        <w:t>–</w:t>
      </w:r>
      <w:r w:rsidRPr="008E5ED7">
        <w:tab/>
        <w:t>earth stations which conform to the above characteristics will be entered in the Plan without applying the Article 4 procedure, and Administration A will be informed accordingly;</w:t>
      </w:r>
    </w:p>
    <w:p w14:paraId="05FC84CE" w14:textId="77777777" w:rsidR="00CB4C25" w:rsidRDefault="00CB4C25" w:rsidP="00CB4C25">
      <w:pPr>
        <w:pStyle w:val="enumlev1"/>
        <w:sectPr w:rsidR="00CB4C25">
          <w:headerReference w:type="even" r:id="rId12"/>
          <w:headerReference w:type="default" r:id="rId13"/>
          <w:footnotePr>
            <w:pos w:val="beneathText"/>
          </w:footnotePr>
          <w:pgSz w:w="11907" w:h="16840" w:code="9"/>
          <w:pgMar w:top="1701" w:right="851" w:bottom="1134" w:left="1985" w:header="720" w:footer="482" w:gutter="0"/>
          <w:cols w:space="720"/>
          <w:vAlign w:val="both"/>
        </w:sectPr>
      </w:pPr>
    </w:p>
    <w:p w14:paraId="437F7E5F" w14:textId="77777777" w:rsidR="002150F8" w:rsidRPr="008E5ED7" w:rsidRDefault="002150F8" w:rsidP="00552405">
      <w:pPr>
        <w:pStyle w:val="enumlev1"/>
      </w:pPr>
      <w:r w:rsidRPr="008E5ED7">
        <w:lastRenderedPageBreak/>
        <w:t>–</w:t>
      </w:r>
      <w:r w:rsidRPr="008E5ED7">
        <w:tab/>
        <w:t>earth stations which do not conform to the characteristics listed under the comments relating to §</w:t>
      </w:r>
      <w:r w:rsidR="00552405" w:rsidRPr="008E5ED7">
        <w:t> </w:t>
      </w:r>
      <w:r w:rsidRPr="008E5ED7">
        <w:t xml:space="preserve">5.2.1 </w:t>
      </w:r>
      <w:r w:rsidRPr="008E5ED7">
        <w:rPr>
          <w:i/>
        </w:rPr>
        <w:t>b)</w:t>
      </w:r>
      <w:r w:rsidRPr="008E5ED7">
        <w:t xml:space="preserve"> and for which the Article 4 procedure was not applied will be recorded in the Plan once the procedure of Article 4 is successfully applied and in this application of Article 4 the proposed use of the terrestrial service by Administration A shall be taken into account.</w:t>
      </w:r>
    </w:p>
    <w:p w14:paraId="0D1FCA72" w14:textId="77777777" w:rsidR="002150F8" w:rsidRPr="008E5ED7" w:rsidRDefault="002150F8" w:rsidP="00552405">
      <w:r w:rsidRPr="008E5ED7">
        <w:t>3</w:t>
      </w:r>
      <w:r w:rsidRPr="008E5ED7">
        <w:tab/>
        <w:t>It is concluded from this paragraph that no transportable earth station can be used in the band 17.7-17.8 GHz in Region</w:t>
      </w:r>
      <w:r w:rsidR="00552405" w:rsidRPr="008E5ED7">
        <w:t> </w:t>
      </w:r>
      <w:r w:rsidRPr="008E5ED7">
        <w:t>2.</w:t>
      </w:r>
    </w:p>
    <w:p w14:paraId="17A63947" w14:textId="77777777" w:rsidR="002150F8" w:rsidRPr="008E5ED7" w:rsidRDefault="002150F8">
      <w:pPr>
        <w:pStyle w:val="Heading9"/>
      </w:pPr>
      <w:bookmarkStart w:id="13" w:name="_Toc510511294"/>
      <w:r w:rsidRPr="008E5ED7">
        <w:t>6.5</w:t>
      </w:r>
      <w:bookmarkEnd w:id="13"/>
    </w:p>
    <w:p w14:paraId="5EF025AB" w14:textId="77777777" w:rsidR="002150F8" w:rsidRPr="008E5ED7" w:rsidRDefault="002150F8" w:rsidP="00FA065E">
      <w:r w:rsidRPr="008E5ED7">
        <w:t>This paragraph implies that these feeder-link earth stations will not be entered in the Plan. For this reason the Bureau shall in such cases recommend to the administration that it appl</w:t>
      </w:r>
      <w:r w:rsidR="00FA065E">
        <w:t>ies</w:t>
      </w:r>
      <w:r w:rsidRPr="008E5ED7">
        <w:t xml:space="preserve"> the procedure of Article 4 in order to permit its earth stations to be entered in the Plan.</w:t>
      </w:r>
    </w:p>
    <w:p w14:paraId="3DE1F8E6" w14:textId="77777777" w:rsidR="002150F8" w:rsidRPr="008E5ED7" w:rsidRDefault="002150F8"/>
    <w:p w14:paraId="211658FD" w14:textId="77777777" w:rsidR="002150F8" w:rsidRPr="008E5ED7" w:rsidRDefault="002150F8">
      <w:pPr>
        <w:pStyle w:val="Heading8"/>
        <w:spacing w:before="600"/>
      </w:pPr>
      <w:bookmarkStart w:id="14" w:name="_Toc510511295"/>
      <w:r w:rsidRPr="008E5ED7">
        <w:t>Art. 7</w:t>
      </w:r>
      <w:bookmarkEnd w:id="14"/>
    </w:p>
    <w:p w14:paraId="716095AF" w14:textId="77777777" w:rsidR="002150F8" w:rsidRPr="008E5ED7" w:rsidRDefault="002150F8">
      <w:pPr>
        <w:pStyle w:val="Heading2"/>
        <w:spacing w:before="240"/>
        <w:ind w:left="0" w:firstLine="0"/>
        <w:jc w:val="center"/>
      </w:pPr>
      <w:bookmarkStart w:id="15" w:name="_Toc510511296"/>
      <w:r w:rsidRPr="008E5ED7">
        <w:t>Coordination, notification and recording of FSS assignments</w:t>
      </w:r>
      <w:r w:rsidRPr="008E5ED7">
        <w:br/>
        <w:t>when feeder-links to BSS assignments are involved</w:t>
      </w:r>
      <w:bookmarkEnd w:id="15"/>
    </w:p>
    <w:p w14:paraId="215B481F" w14:textId="77777777" w:rsidR="002150F8" w:rsidRPr="008E5ED7" w:rsidRDefault="002150F8">
      <w:pPr>
        <w:pStyle w:val="Heading9"/>
      </w:pPr>
      <w:bookmarkStart w:id="16" w:name="_Toc510511297"/>
      <w:r w:rsidRPr="008E5ED7">
        <w:t>7.</w:t>
      </w:r>
      <w:bookmarkEnd w:id="16"/>
      <w:r w:rsidRPr="008E5ED7">
        <w:t>7</w:t>
      </w:r>
    </w:p>
    <w:p w14:paraId="45EA9651" w14:textId="77777777" w:rsidR="002150F8" w:rsidRPr="008E5ED7" w:rsidRDefault="002150F8">
      <w:r w:rsidRPr="008E5ED7">
        <w:t>The comments under § 6.5 apply.</w:t>
      </w:r>
    </w:p>
    <w:p w14:paraId="53957F16" w14:textId="77777777" w:rsidR="002150F8" w:rsidRPr="008E5ED7" w:rsidRDefault="002150F8">
      <w:pPr>
        <w:pStyle w:val="Heading8"/>
      </w:pPr>
      <w:bookmarkStart w:id="17" w:name="_Toc510511298"/>
      <w:r w:rsidRPr="008E5ED7">
        <w:t>An. 1</w:t>
      </w:r>
      <w:bookmarkEnd w:id="17"/>
    </w:p>
    <w:p w14:paraId="29394AC8" w14:textId="77777777" w:rsidR="002150F8" w:rsidRPr="008E5ED7" w:rsidRDefault="002150F8" w:rsidP="00552405">
      <w:pPr>
        <w:pStyle w:val="Heading2"/>
        <w:spacing w:before="300"/>
        <w:ind w:left="0" w:firstLine="0"/>
        <w:jc w:val="center"/>
      </w:pPr>
      <w:r w:rsidRPr="008E5ED7">
        <w:t>Limits for determining whether a service of an administration is affected by</w:t>
      </w:r>
      <w:r w:rsidRPr="008E5ED7">
        <w:br/>
        <w:t>proposed modifications to the Region 2 Plan or by proposed new or</w:t>
      </w:r>
      <w:r w:rsidRPr="008E5ED7">
        <w:br/>
        <w:t>modified assignments to the Regions 1 and 3 feeder-link Lists</w:t>
      </w:r>
    </w:p>
    <w:p w14:paraId="15F6A1B1" w14:textId="77777777" w:rsidR="002150F8" w:rsidRPr="008E5ED7" w:rsidRDefault="002150F8">
      <w:pPr>
        <w:pStyle w:val="Heading9"/>
      </w:pPr>
      <w:bookmarkStart w:id="18" w:name="_Toc510511300"/>
      <w:r w:rsidRPr="008E5ED7">
        <w:t>3</w:t>
      </w:r>
      <w:bookmarkEnd w:id="18"/>
    </w:p>
    <w:p w14:paraId="31A5BE45" w14:textId="77777777" w:rsidR="002150F8" w:rsidRPr="008E5ED7" w:rsidRDefault="002150F8">
      <w:r w:rsidRPr="008E5ED7">
        <w:t>See comments made under the Rules of Procedure concerning § 2 of Annex 1 to Appendix </w:t>
      </w:r>
      <w:r w:rsidRPr="008E5ED7">
        <w:rPr>
          <w:rStyle w:val="Appref"/>
          <w:b/>
          <w:color w:val="000000"/>
        </w:rPr>
        <w:t>30</w:t>
      </w:r>
      <w:r w:rsidRPr="008E5ED7">
        <w:t>.</w:t>
      </w:r>
    </w:p>
    <w:p w14:paraId="3E813508" w14:textId="77777777" w:rsidR="002150F8" w:rsidRPr="008E5ED7" w:rsidRDefault="002150F8">
      <w:pPr>
        <w:pStyle w:val="Heading9"/>
      </w:pPr>
      <w:bookmarkStart w:id="19" w:name="_Toc510511301"/>
      <w:r w:rsidRPr="008E5ED7">
        <w:t>4</w:t>
      </w:r>
      <w:bookmarkEnd w:id="19"/>
    </w:p>
    <w:p w14:paraId="7DDC572F" w14:textId="77777777" w:rsidR="002150F8" w:rsidRPr="008E5ED7" w:rsidRDefault="002150F8" w:rsidP="00552405">
      <w:pPr>
        <w:pStyle w:val="Headingi0"/>
        <w:spacing w:before="240"/>
        <w:rPr>
          <w:lang w:val="en-GB"/>
        </w:rPr>
      </w:pPr>
      <w:r w:rsidRPr="008E5ED7">
        <w:rPr>
          <w:lang w:val="en-GB"/>
        </w:rPr>
        <w:t>a)</w:t>
      </w:r>
      <w:r w:rsidRPr="008E5ED7">
        <w:rPr>
          <w:lang w:val="en-GB"/>
        </w:rPr>
        <w:tab/>
        <w:t>Test points</w:t>
      </w:r>
    </w:p>
    <w:p w14:paraId="090999C4" w14:textId="77777777" w:rsidR="002150F8" w:rsidRDefault="002150F8" w:rsidP="00552405">
      <w:r w:rsidRPr="008E5ED7">
        <w:t>See comments made under the Rules of Procedure concerning §</w:t>
      </w:r>
      <w:r w:rsidR="00552405" w:rsidRPr="008E5ED7">
        <w:t> </w:t>
      </w:r>
      <w:r w:rsidRPr="008E5ED7">
        <w:rPr>
          <w:i/>
          <w:iCs/>
        </w:rPr>
        <w:t>a)</w:t>
      </w:r>
      <w:r w:rsidRPr="008E5ED7">
        <w:t xml:space="preserve"> of Section 1 of Annex 1 to Appendix </w:t>
      </w:r>
      <w:r w:rsidRPr="008E5ED7">
        <w:rPr>
          <w:rStyle w:val="Appref"/>
          <w:b/>
          <w:color w:val="000000"/>
        </w:rPr>
        <w:t>30</w:t>
      </w:r>
      <w:r w:rsidRPr="008E5ED7">
        <w:t>.</w:t>
      </w:r>
    </w:p>
    <w:p w14:paraId="505CB910" w14:textId="77777777" w:rsidR="00C96159" w:rsidRDefault="00C96159">
      <w:pPr>
        <w:tabs>
          <w:tab w:val="clear" w:pos="1134"/>
          <w:tab w:val="clear" w:pos="1871"/>
          <w:tab w:val="clear" w:pos="2268"/>
        </w:tabs>
        <w:overflowPunct/>
        <w:autoSpaceDE/>
        <w:autoSpaceDN/>
        <w:adjustRightInd/>
        <w:spacing w:before="0"/>
        <w:jc w:val="left"/>
        <w:textAlignment w:val="auto"/>
        <w:rPr>
          <w:i/>
        </w:rPr>
      </w:pPr>
      <w:r>
        <w:br w:type="page"/>
      </w:r>
    </w:p>
    <w:p w14:paraId="103471E2" w14:textId="77777777" w:rsidR="002150F8" w:rsidRPr="008E5ED7" w:rsidRDefault="002150F8" w:rsidP="00552405">
      <w:pPr>
        <w:pStyle w:val="Headingi"/>
        <w:ind w:left="1134" w:hanging="1134"/>
      </w:pPr>
      <w:r w:rsidRPr="008E5ED7">
        <w:lastRenderedPageBreak/>
        <w:t>b)</w:t>
      </w:r>
      <w:r w:rsidRPr="008E5ED7">
        <w:tab/>
        <w:t>Implementation of the power flux-density limit referred to in the first paragraph of Section 4 of Annex 1 to Appendix</w:t>
      </w:r>
      <w:r w:rsidR="00552405" w:rsidRPr="008E5ED7">
        <w:t> </w:t>
      </w:r>
      <w:r w:rsidRPr="008E5ED7">
        <w:rPr>
          <w:rStyle w:val="Appref"/>
          <w:b/>
          <w:color w:val="000000"/>
        </w:rPr>
        <w:t>30A</w:t>
      </w:r>
    </w:p>
    <w:p w14:paraId="4701A120" w14:textId="77777777" w:rsidR="002150F8" w:rsidRPr="008E5ED7" w:rsidRDefault="002150F8" w:rsidP="00650CA3">
      <w:r w:rsidRPr="008E5ED7">
        <w:t xml:space="preserve">The power flux-density limit of </w:t>
      </w:r>
      <w:r w:rsidRPr="008E5ED7">
        <w:rPr>
          <w:position w:val="9"/>
        </w:rPr>
        <w:t>_</w:t>
      </w:r>
      <w:r w:rsidRPr="008E5ED7">
        <w:t>76 dB(W/(m</w:t>
      </w:r>
      <w:r w:rsidRPr="008E5ED7">
        <w:rPr>
          <w:vertAlign w:val="superscript"/>
        </w:rPr>
        <w:t>2</w:t>
      </w:r>
      <w:r w:rsidR="00552405" w:rsidRPr="008E5ED7">
        <w:t> </w:t>
      </w:r>
      <w:r w:rsidRPr="008E5ED7">
        <w:rPr>
          <w:rFonts w:ascii="Symbol" w:hAnsi="Symbol"/>
        </w:rPr>
        <w:t></w:t>
      </w:r>
      <w:r w:rsidR="00552405" w:rsidRPr="008E5ED7">
        <w:t> </w:t>
      </w:r>
      <w:r w:rsidRPr="008E5ED7">
        <w:t xml:space="preserve">27 MHz)) which is indicated in the first paragraph of Section 4 of Annex 1 to Appendix </w:t>
      </w:r>
      <w:r w:rsidRPr="008E5ED7">
        <w:rPr>
          <w:rStyle w:val="Appref"/>
          <w:b/>
          <w:color w:val="000000"/>
        </w:rPr>
        <w:t>30A</w:t>
      </w:r>
      <w:r w:rsidRPr="008E5ED7">
        <w:t xml:space="preserve"> was established in order to protect BSS feeder-link assignments from interference which may be caused by BSS feeder-link networks located outside an arc of </w:t>
      </w:r>
      <w:r w:rsidRPr="008E5ED7">
        <w:rPr>
          <w:rFonts w:ascii="Symbol" w:hAnsi="Symbol"/>
        </w:rPr>
        <w:t></w:t>
      </w:r>
      <w:r w:rsidRPr="008E5ED7">
        <w:rPr>
          <w:rFonts w:ascii="Tms Rmn" w:hAnsi="Tms Rmn"/>
          <w:sz w:val="12"/>
        </w:rPr>
        <w:t> </w:t>
      </w:r>
      <w:r w:rsidRPr="008E5ED7">
        <w:t>9° around the wanted BSS feeder-link network, under worst-case station-keeping conditions. Therefore, this power flux-density limit was intended to be considered as a hard-limit that shall not be exceeded.</w:t>
      </w:r>
    </w:p>
    <w:p w14:paraId="248F210B" w14:textId="77777777" w:rsidR="002150F8" w:rsidRPr="008E5ED7" w:rsidRDefault="002150F8" w:rsidP="00552405">
      <w:pPr>
        <w:pStyle w:val="Headingi"/>
        <w:ind w:left="1134" w:hanging="1134"/>
      </w:pPr>
      <w:r w:rsidRPr="008E5ED7">
        <w:t>c)</w:t>
      </w:r>
      <w:r w:rsidRPr="008E5ED7">
        <w:tab/>
        <w:t>Implementation of the</w:t>
      </w:r>
      <w:r w:rsidRPr="008E5ED7">
        <w:rPr>
          <w:iCs/>
        </w:rPr>
        <w:t xml:space="preserve"> equivalent protection margin </w:t>
      </w:r>
      <w:r w:rsidRPr="008E5ED7">
        <w:t>degradation criterion referred to in the third paragraph of Section 4 of Annex 1 to Appendix</w:t>
      </w:r>
      <w:r w:rsidR="00552405" w:rsidRPr="008E5ED7">
        <w:t> </w:t>
      </w:r>
      <w:r w:rsidRPr="008E5ED7">
        <w:rPr>
          <w:rStyle w:val="Appref"/>
          <w:b/>
          <w:color w:val="000000"/>
        </w:rPr>
        <w:t>30A</w:t>
      </w:r>
    </w:p>
    <w:p w14:paraId="21F3635D" w14:textId="77777777" w:rsidR="002150F8" w:rsidRPr="008E5ED7" w:rsidRDefault="002150F8" w:rsidP="00552405">
      <w:r w:rsidRPr="008E5ED7">
        <w:t>1</w:t>
      </w:r>
      <w:r w:rsidRPr="008E5ED7">
        <w:tab/>
        <w:t>In accordance with the third paragraph of Section 4 of Annex 1 to Appendix</w:t>
      </w:r>
      <w:r w:rsidR="00552405" w:rsidRPr="008E5ED7">
        <w:t> </w:t>
      </w:r>
      <w:r w:rsidRPr="008E5ED7">
        <w:rPr>
          <w:rStyle w:val="Appref"/>
          <w:b/>
          <w:color w:val="000000"/>
        </w:rPr>
        <w:t>30A</w:t>
      </w:r>
      <w:r w:rsidRPr="008E5ED7">
        <w:t xml:space="preserve">, an administration, which has assignment(s) in the 14 or 17 GHz Plan, in the 14 or 17 GHz List or assignment(s) for which the procedure of Article 4 of Appendix </w:t>
      </w:r>
      <w:r w:rsidRPr="008E5ED7">
        <w:rPr>
          <w:rStyle w:val="Appref"/>
          <w:b/>
          <w:color w:val="000000"/>
        </w:rPr>
        <w:t>30A</w:t>
      </w:r>
      <w:r w:rsidRPr="008E5ED7">
        <w:t xml:space="preserve"> has already been initiated, is considered as affected by a proposed new or modified assignment in the 14 or 17 GHz List if all the following conditions are met:</w:t>
      </w:r>
    </w:p>
    <w:p w14:paraId="11379B63" w14:textId="77777777" w:rsidR="002150F8" w:rsidRPr="008E5ED7" w:rsidRDefault="002150F8">
      <w:pPr>
        <w:pStyle w:val="enumlev1"/>
      </w:pPr>
      <w:r w:rsidRPr="008E5ED7">
        <w:t>–</w:t>
      </w:r>
      <w:r w:rsidRPr="008E5ED7">
        <w:tab/>
        <w:t>the orbital spacing between both assignments is less than 9°, under worst-case station-keeping conditions; and</w:t>
      </w:r>
    </w:p>
    <w:p w14:paraId="1D50EC13" w14:textId="77777777" w:rsidR="00742BFD" w:rsidRPr="008E5ED7" w:rsidRDefault="002150F8" w:rsidP="00742BFD">
      <w:pPr>
        <w:pStyle w:val="enumlev1"/>
      </w:pPr>
      <w:r w:rsidRPr="008E5ED7">
        <w:t>–</w:t>
      </w:r>
      <w:r w:rsidRPr="008E5ED7">
        <w:tab/>
        <w:t>there is a frequency overlap between the bandwidths assigned to each assignment; and</w:t>
      </w:r>
    </w:p>
    <w:p w14:paraId="447D56D7" w14:textId="77777777" w:rsidR="002150F8" w:rsidRPr="008E5ED7" w:rsidRDefault="002150F8" w:rsidP="00552405">
      <w:pPr>
        <w:pStyle w:val="enumlev1"/>
      </w:pPr>
      <w:r w:rsidRPr="008E5ED7">
        <w:t>–</w:t>
      </w:r>
      <w:r w:rsidRPr="008E5ED7">
        <w:tab/>
        <w:t>the reference equivalent protection margin of at least one of the test-points</w:t>
      </w:r>
      <w:r w:rsidRPr="008E5ED7">
        <w:rPr>
          <w:rStyle w:val="FootnoteReference"/>
          <w:sz w:val="20"/>
        </w:rPr>
        <w:footnoteReference w:customMarkFollows="1" w:id="7"/>
        <w:t>5</w:t>
      </w:r>
      <w:r w:rsidRPr="008E5ED7">
        <w:t xml:space="preserve"> of that wanted assignment falls more than 0.45 dB below 0 dB, or if already negative, more than 0.45</w:t>
      </w:r>
      <w:r w:rsidR="00552405" w:rsidRPr="008E5ED7">
        <w:t> </w:t>
      </w:r>
      <w:r w:rsidRPr="008E5ED7">
        <w:t>dB below that reference equivalent protection margin value.</w:t>
      </w:r>
    </w:p>
    <w:p w14:paraId="177949F4" w14:textId="77777777" w:rsidR="002150F8" w:rsidRPr="008E5ED7" w:rsidRDefault="002150F8">
      <w:pPr>
        <w:pStyle w:val="Headingi"/>
      </w:pPr>
      <w:r w:rsidRPr="008E5ED7">
        <w:t>d)</w:t>
      </w:r>
      <w:r w:rsidRPr="008E5ED7">
        <w:tab/>
        <w:t>Reference protection margin</w:t>
      </w:r>
    </w:p>
    <w:p w14:paraId="2316D2EF" w14:textId="77777777" w:rsidR="002150F8" w:rsidRPr="008E5ED7" w:rsidRDefault="002150F8">
      <w:r w:rsidRPr="008E5ED7">
        <w:t xml:space="preserve">See comments made under § </w:t>
      </w:r>
      <w:r w:rsidRPr="008E5ED7">
        <w:rPr>
          <w:i/>
          <w:iCs/>
        </w:rPr>
        <w:t>d)</w:t>
      </w:r>
      <w:r w:rsidRPr="008E5ED7">
        <w:t xml:space="preserve"> of the Rules of Procedure relating to § 1 of Annex 1 to Appendix </w:t>
      </w:r>
      <w:r w:rsidRPr="008E5ED7">
        <w:rPr>
          <w:rStyle w:val="Appref"/>
          <w:b/>
          <w:color w:val="000000"/>
        </w:rPr>
        <w:t>30</w:t>
      </w:r>
      <w:r w:rsidRPr="008E5ED7">
        <w:t>.</w:t>
      </w:r>
    </w:p>
    <w:p w14:paraId="3DA6E4A1" w14:textId="77777777" w:rsidR="00C96159" w:rsidRDefault="00C96159">
      <w:pPr>
        <w:tabs>
          <w:tab w:val="clear" w:pos="1134"/>
          <w:tab w:val="clear" w:pos="1871"/>
          <w:tab w:val="clear" w:pos="2268"/>
        </w:tabs>
        <w:overflowPunct/>
        <w:autoSpaceDE/>
        <w:autoSpaceDN/>
        <w:adjustRightInd/>
        <w:spacing w:before="0"/>
        <w:jc w:val="left"/>
        <w:textAlignment w:val="auto"/>
        <w:rPr>
          <w:b/>
        </w:rPr>
      </w:pPr>
      <w:bookmarkStart w:id="20" w:name="_Toc510511302"/>
      <w:r>
        <w:br w:type="page"/>
      </w:r>
    </w:p>
    <w:p w14:paraId="469DCB1B" w14:textId="77777777" w:rsidR="002150F8" w:rsidRPr="008E5ED7" w:rsidRDefault="002150F8" w:rsidP="00552405">
      <w:pPr>
        <w:pStyle w:val="Heading8"/>
      </w:pPr>
      <w:r w:rsidRPr="008E5ED7">
        <w:lastRenderedPageBreak/>
        <w:t>An. 3</w:t>
      </w:r>
      <w:bookmarkEnd w:id="20"/>
    </w:p>
    <w:p w14:paraId="2E85A3C0" w14:textId="77777777" w:rsidR="002150F8" w:rsidRPr="008E5ED7" w:rsidRDefault="002150F8" w:rsidP="00552405">
      <w:pPr>
        <w:pStyle w:val="Heading2"/>
        <w:ind w:left="0" w:firstLine="0"/>
        <w:jc w:val="center"/>
      </w:pPr>
      <w:bookmarkStart w:id="21" w:name="_Toc510511303"/>
      <w:r w:rsidRPr="008E5ED7">
        <w:t>Technical data used in establishing the provisions and associated Plans</w:t>
      </w:r>
      <w:r w:rsidRPr="008E5ED7">
        <w:br/>
        <w:t>and Regions</w:t>
      </w:r>
      <w:r w:rsidR="00552405" w:rsidRPr="008E5ED7">
        <w:t xml:space="preserve"> </w:t>
      </w:r>
      <w:r w:rsidRPr="008E5ED7">
        <w:t>1 and 3 feeder-link Lists,</w:t>
      </w:r>
      <w:r w:rsidR="00552405" w:rsidRPr="008E5ED7">
        <w:t xml:space="preserve"> </w:t>
      </w:r>
      <w:r w:rsidRPr="008E5ED7">
        <w:t>which should</w:t>
      </w:r>
      <w:r w:rsidR="00552405" w:rsidRPr="008E5ED7">
        <w:t xml:space="preserve"> </w:t>
      </w:r>
      <w:r w:rsidRPr="008E5ED7">
        <w:t>be used</w:t>
      </w:r>
      <w:r w:rsidR="00552405" w:rsidRPr="008E5ED7">
        <w:br/>
      </w:r>
      <w:r w:rsidRPr="008E5ED7">
        <w:t>for their application</w:t>
      </w:r>
      <w:bookmarkEnd w:id="21"/>
    </w:p>
    <w:p w14:paraId="57E7C787" w14:textId="77777777" w:rsidR="002150F8" w:rsidRPr="008E5ED7" w:rsidRDefault="002150F8" w:rsidP="007C5018">
      <w:pPr>
        <w:pStyle w:val="Heading9"/>
      </w:pPr>
      <w:bookmarkStart w:id="22" w:name="_Toc510511304"/>
      <w:r w:rsidRPr="008E5ED7">
        <w:t>1.7</w:t>
      </w:r>
      <w:bookmarkEnd w:id="22"/>
    </w:p>
    <w:p w14:paraId="71DE6A85" w14:textId="77777777" w:rsidR="00D72051" w:rsidRPr="00D72051" w:rsidRDefault="00D72051" w:rsidP="00BD08EB">
      <w:r w:rsidRPr="00D72051">
        <w:t>The footnote to this provision states that “in certain cases (e.g. when the channel spacing and/or bandwidth are different from the values given in § 3.5 and 3.8 of Annex 5 to Appendix </w:t>
      </w:r>
      <w:r w:rsidRPr="00D72051">
        <w:rPr>
          <w:b/>
        </w:rPr>
        <w:t>30</w:t>
      </w:r>
      <w:r w:rsidRPr="00D72051">
        <w:t>), the Bureau will use the worst-case approach until a relevant ITU</w:t>
      </w:r>
      <w:r w:rsidRPr="00D72051">
        <w:noBreakHyphen/>
        <w:t>R Recommendation is incorporated in this Annex by reference</w:t>
      </w:r>
      <w:r>
        <w:t>”</w:t>
      </w:r>
      <w:r w:rsidR="001B0114" w:rsidRPr="00D72051">
        <w:t>.</w:t>
      </w:r>
    </w:p>
    <w:p w14:paraId="7CA96068" w14:textId="77777777" w:rsidR="00D72051" w:rsidRPr="00D72051" w:rsidRDefault="00D72051" w:rsidP="00BD08EB">
      <w:r w:rsidRPr="00D72051">
        <w:t>Noting that Recommendation ITU-R BO.1293-2 provides a method for calculation of interference only between assignments using different channelling and bandwidth in the case of a digital interferer, the Board therefore decided that, as an interim measure, until the applicable ITU-R Recommendations for protection masks/calculation method are available the calculation methods shown in Table 1 shall be applied when calculating interference between two assignments in the Plans and/or modifications to Plans.</w:t>
      </w:r>
    </w:p>
    <w:p w14:paraId="08E46BCC" w14:textId="77777777" w:rsidR="00D72051" w:rsidRPr="00C52342" w:rsidRDefault="00D72051" w:rsidP="007C5018">
      <w:pPr>
        <w:pStyle w:val="Table"/>
      </w:pPr>
      <w:r w:rsidRPr="00D72051">
        <w:t>TABLE</w:t>
      </w:r>
      <w:r w:rsidRPr="00C52342">
        <w:t xml:space="preserve">  1</w:t>
      </w:r>
    </w:p>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2"/>
        <w:gridCol w:w="2833"/>
        <w:gridCol w:w="3399"/>
        <w:gridCol w:w="8"/>
      </w:tblGrid>
      <w:tr w:rsidR="00D72051" w:rsidRPr="00C52342" w14:paraId="29AAEB74" w14:textId="77777777" w:rsidTr="00D72051">
        <w:trPr>
          <w:gridAfter w:val="1"/>
          <w:wAfter w:w="8" w:type="dxa"/>
        </w:trPr>
        <w:tc>
          <w:tcPr>
            <w:tcW w:w="2835" w:type="dxa"/>
            <w:tcBorders>
              <w:top w:val="single" w:sz="6" w:space="0" w:color="auto"/>
            </w:tcBorders>
          </w:tcPr>
          <w:p w14:paraId="3E0827E2" w14:textId="77777777" w:rsidR="00D72051" w:rsidRPr="00C52342" w:rsidRDefault="00D72051" w:rsidP="00D72051">
            <w:pPr>
              <w:pStyle w:val="Tablehead0"/>
              <w:framePr w:hSpace="180" w:wrap="around" w:vAnchor="text" w:hAnchor="text" w:y="1"/>
            </w:pPr>
            <w:r w:rsidRPr="00C52342">
              <w:t>Wanted assignment</w:t>
            </w:r>
          </w:p>
        </w:tc>
        <w:tc>
          <w:tcPr>
            <w:tcW w:w="2835" w:type="dxa"/>
            <w:tcBorders>
              <w:top w:val="single" w:sz="6" w:space="0" w:color="auto"/>
            </w:tcBorders>
          </w:tcPr>
          <w:p w14:paraId="59EEDA79" w14:textId="77777777" w:rsidR="00D72051" w:rsidRPr="00C52342" w:rsidRDefault="00D72051" w:rsidP="00D72051">
            <w:pPr>
              <w:pStyle w:val="Tablehead0"/>
              <w:framePr w:hSpace="180" w:wrap="around" w:vAnchor="text" w:hAnchor="text" w:y="1"/>
            </w:pPr>
            <w:r w:rsidRPr="00C52342">
              <w:t>Interfering assignment</w:t>
            </w:r>
          </w:p>
        </w:tc>
        <w:tc>
          <w:tcPr>
            <w:tcW w:w="3402" w:type="dxa"/>
            <w:tcBorders>
              <w:top w:val="single" w:sz="6" w:space="0" w:color="auto"/>
            </w:tcBorders>
          </w:tcPr>
          <w:p w14:paraId="3B4037D6" w14:textId="77777777" w:rsidR="00D72051" w:rsidRPr="00C52342" w:rsidRDefault="00D72051" w:rsidP="00D72051">
            <w:pPr>
              <w:pStyle w:val="Tablehead0"/>
              <w:framePr w:hSpace="180" w:wrap="around" w:vAnchor="text" w:hAnchor="text" w:y="1"/>
            </w:pPr>
            <w:r w:rsidRPr="00C52342">
              <w:t>Method to be applied</w:t>
            </w:r>
          </w:p>
        </w:tc>
      </w:tr>
      <w:tr w:rsidR="00D72051" w:rsidRPr="00C52342" w14:paraId="2B973054" w14:textId="77777777" w:rsidTr="00D72051">
        <w:trPr>
          <w:gridAfter w:val="1"/>
          <w:wAfter w:w="8" w:type="dxa"/>
        </w:trPr>
        <w:tc>
          <w:tcPr>
            <w:tcW w:w="2835" w:type="dxa"/>
          </w:tcPr>
          <w:p w14:paraId="1D178B66" w14:textId="77777777" w:rsidR="00D72051" w:rsidRPr="00D72051" w:rsidRDefault="00D72051" w:rsidP="008F4A3B">
            <w:pPr>
              <w:pStyle w:val="Tabletext0"/>
              <w:framePr w:hSpace="180" w:wrap="around" w:vAnchor="text" w:hAnchor="text" w:y="1"/>
              <w:spacing w:before="20" w:after="20"/>
              <w:ind w:left="57"/>
            </w:pPr>
            <w:r w:rsidRPr="00D72051">
              <w:t>“Standard”</w:t>
            </w:r>
            <w:r w:rsidRPr="00BA2419">
              <w:rPr>
                <w:vertAlign w:val="superscript"/>
              </w:rPr>
              <w:t>1</w:t>
            </w:r>
            <w:r w:rsidRPr="00D72051">
              <w:t xml:space="preserve"> analogue</w:t>
            </w:r>
          </w:p>
        </w:tc>
        <w:tc>
          <w:tcPr>
            <w:tcW w:w="2835" w:type="dxa"/>
          </w:tcPr>
          <w:p w14:paraId="2B4B7BC2" w14:textId="77777777" w:rsidR="00D72051" w:rsidRPr="00D72051" w:rsidRDefault="00D72051" w:rsidP="008F4A3B">
            <w:pPr>
              <w:pStyle w:val="Tabletext0"/>
              <w:framePr w:hSpace="180" w:wrap="around" w:vAnchor="text" w:hAnchor="text" w:y="1"/>
              <w:spacing w:before="20" w:after="20"/>
              <w:ind w:left="57"/>
            </w:pPr>
            <w:r w:rsidRPr="00D72051">
              <w:t>“Standard” analogue</w:t>
            </w:r>
          </w:p>
        </w:tc>
        <w:tc>
          <w:tcPr>
            <w:tcW w:w="3402" w:type="dxa"/>
          </w:tcPr>
          <w:p w14:paraId="09D781B2" w14:textId="77777777" w:rsidR="00D72051" w:rsidRPr="001B0114" w:rsidRDefault="00D72051" w:rsidP="008F4A3B">
            <w:pPr>
              <w:pStyle w:val="Tabletext0"/>
              <w:framePr w:hSpace="180" w:wrap="around" w:vAnchor="text" w:hAnchor="text" w:y="1"/>
              <w:spacing w:before="20" w:after="20"/>
              <w:ind w:left="57"/>
              <w:rPr>
                <w:lang w:val="en-US"/>
              </w:rPr>
            </w:pPr>
            <w:r w:rsidRPr="001B0114">
              <w:rPr>
                <w:lang w:val="en-US"/>
              </w:rPr>
              <w:t>As defined in Annex 3 to</w:t>
            </w:r>
            <w:r w:rsidRPr="001B0114">
              <w:rPr>
                <w:lang w:val="en-US"/>
              </w:rPr>
              <w:br/>
              <w:t xml:space="preserve">Appendix </w:t>
            </w:r>
            <w:r w:rsidRPr="00587D88">
              <w:rPr>
                <w:rStyle w:val="Appref"/>
                <w:b/>
                <w:bCs/>
                <w:color w:val="auto"/>
                <w:lang w:val="en-US"/>
              </w:rPr>
              <w:t>30A</w:t>
            </w:r>
          </w:p>
        </w:tc>
      </w:tr>
      <w:tr w:rsidR="00D72051" w:rsidRPr="00C52342" w14:paraId="3976D8FE" w14:textId="77777777" w:rsidTr="00D72051">
        <w:trPr>
          <w:gridAfter w:val="1"/>
          <w:wAfter w:w="8" w:type="dxa"/>
        </w:trPr>
        <w:tc>
          <w:tcPr>
            <w:tcW w:w="2835" w:type="dxa"/>
          </w:tcPr>
          <w:p w14:paraId="6225D5DD" w14:textId="77777777" w:rsidR="00D72051" w:rsidRPr="00D72051" w:rsidRDefault="00D72051" w:rsidP="008F4A3B">
            <w:pPr>
              <w:pStyle w:val="Tabletext0"/>
              <w:framePr w:hSpace="180" w:wrap="around" w:vAnchor="text" w:hAnchor="text" w:y="1"/>
              <w:spacing w:before="20" w:after="20"/>
              <w:ind w:left="57"/>
            </w:pPr>
            <w:r w:rsidRPr="00D72051">
              <w:t>“Non-standard” analogue</w:t>
            </w:r>
          </w:p>
        </w:tc>
        <w:tc>
          <w:tcPr>
            <w:tcW w:w="2835" w:type="dxa"/>
          </w:tcPr>
          <w:p w14:paraId="608A66D6" w14:textId="77777777" w:rsidR="00D72051" w:rsidRPr="00D72051" w:rsidRDefault="00D72051" w:rsidP="008F4A3B">
            <w:pPr>
              <w:pStyle w:val="Tabletext0"/>
              <w:framePr w:hSpace="180" w:wrap="around" w:vAnchor="text" w:hAnchor="text" w:y="1"/>
              <w:spacing w:before="20" w:after="20"/>
              <w:ind w:left="57"/>
            </w:pPr>
            <w:r w:rsidRPr="00D72051">
              <w:t>“Standard” analogue</w:t>
            </w:r>
          </w:p>
        </w:tc>
        <w:tc>
          <w:tcPr>
            <w:tcW w:w="3402" w:type="dxa"/>
          </w:tcPr>
          <w:p w14:paraId="3897FAA2" w14:textId="77777777" w:rsidR="00D72051" w:rsidRPr="001B0114" w:rsidRDefault="00D72051" w:rsidP="008F4A3B">
            <w:pPr>
              <w:pStyle w:val="Tabletext0"/>
              <w:framePr w:hSpace="180" w:wrap="around" w:vAnchor="text" w:hAnchor="text" w:y="1"/>
              <w:spacing w:before="20" w:after="20"/>
              <w:ind w:left="57"/>
              <w:rPr>
                <w:lang w:val="en-US"/>
              </w:rPr>
            </w:pPr>
            <w:r w:rsidRPr="001B0114">
              <w:rPr>
                <w:lang w:val="en-US"/>
              </w:rPr>
              <w:t>As described in the Bureau’s</w:t>
            </w:r>
            <w:r w:rsidRPr="001B0114">
              <w:rPr>
                <w:lang w:val="en-US"/>
              </w:rPr>
              <w:br/>
              <w:t>MSPACE Manual</w:t>
            </w:r>
          </w:p>
        </w:tc>
      </w:tr>
      <w:tr w:rsidR="00D72051" w:rsidRPr="00C52342" w14:paraId="4B3518A3" w14:textId="77777777" w:rsidTr="00D72051">
        <w:trPr>
          <w:gridAfter w:val="1"/>
          <w:wAfter w:w="8" w:type="dxa"/>
        </w:trPr>
        <w:tc>
          <w:tcPr>
            <w:tcW w:w="2835" w:type="dxa"/>
          </w:tcPr>
          <w:p w14:paraId="1F6F4E55" w14:textId="77777777" w:rsidR="00D72051" w:rsidRPr="00D72051" w:rsidRDefault="00D72051" w:rsidP="008F4A3B">
            <w:pPr>
              <w:pStyle w:val="Tabletext0"/>
              <w:framePr w:hSpace="180" w:wrap="around" w:vAnchor="text" w:hAnchor="text" w:y="1"/>
              <w:spacing w:before="20" w:after="20"/>
              <w:ind w:left="57"/>
            </w:pPr>
            <w:r w:rsidRPr="00D72051">
              <w:t>“Standard” analogue</w:t>
            </w:r>
          </w:p>
        </w:tc>
        <w:tc>
          <w:tcPr>
            <w:tcW w:w="2835" w:type="dxa"/>
          </w:tcPr>
          <w:p w14:paraId="0C1CE65A" w14:textId="77777777" w:rsidR="00D72051" w:rsidRPr="00D72051" w:rsidRDefault="00D72051" w:rsidP="008F4A3B">
            <w:pPr>
              <w:pStyle w:val="Tabletext0"/>
              <w:framePr w:hSpace="180" w:wrap="around" w:vAnchor="text" w:hAnchor="text" w:y="1"/>
              <w:spacing w:before="20" w:after="20"/>
              <w:ind w:left="57"/>
            </w:pPr>
            <w:r w:rsidRPr="00D72051">
              <w:t>“Non-standard” analogue</w:t>
            </w:r>
          </w:p>
        </w:tc>
        <w:tc>
          <w:tcPr>
            <w:tcW w:w="3402" w:type="dxa"/>
          </w:tcPr>
          <w:p w14:paraId="4BBDCB82" w14:textId="77777777" w:rsidR="00D72051" w:rsidRPr="001B0114" w:rsidRDefault="00D72051" w:rsidP="008F4A3B">
            <w:pPr>
              <w:pStyle w:val="Tabletext0"/>
              <w:framePr w:hSpace="180" w:wrap="around" w:vAnchor="text" w:hAnchor="text" w:y="1"/>
              <w:spacing w:before="20" w:after="20"/>
              <w:ind w:left="57"/>
              <w:rPr>
                <w:lang w:val="en-US"/>
              </w:rPr>
            </w:pPr>
            <w:r w:rsidRPr="001B0114">
              <w:rPr>
                <w:lang w:val="en-US"/>
              </w:rPr>
              <w:t>As described in the Bureau’s</w:t>
            </w:r>
            <w:r w:rsidRPr="001B0114">
              <w:rPr>
                <w:lang w:val="en-US"/>
              </w:rPr>
              <w:br/>
              <w:t>MSPACE Manual</w:t>
            </w:r>
          </w:p>
        </w:tc>
      </w:tr>
      <w:tr w:rsidR="00D72051" w:rsidRPr="00C52342" w14:paraId="18AFD917" w14:textId="77777777" w:rsidTr="00D72051">
        <w:trPr>
          <w:gridAfter w:val="1"/>
          <w:wAfter w:w="8" w:type="dxa"/>
        </w:trPr>
        <w:tc>
          <w:tcPr>
            <w:tcW w:w="2835" w:type="dxa"/>
          </w:tcPr>
          <w:p w14:paraId="4EFEF9F5" w14:textId="77777777" w:rsidR="00D72051" w:rsidRPr="00D72051" w:rsidRDefault="00D72051" w:rsidP="008F4A3B">
            <w:pPr>
              <w:pStyle w:val="Tabletext0"/>
              <w:framePr w:hSpace="180" w:wrap="around" w:vAnchor="text" w:hAnchor="text" w:y="1"/>
              <w:spacing w:before="20" w:after="20"/>
              <w:ind w:left="57"/>
            </w:pPr>
            <w:r w:rsidRPr="00D72051">
              <w:t>“Non-standard” analogue</w:t>
            </w:r>
          </w:p>
        </w:tc>
        <w:tc>
          <w:tcPr>
            <w:tcW w:w="2835" w:type="dxa"/>
          </w:tcPr>
          <w:p w14:paraId="26C8168E" w14:textId="77777777" w:rsidR="00D72051" w:rsidRPr="00D72051" w:rsidRDefault="00D72051" w:rsidP="008F4A3B">
            <w:pPr>
              <w:pStyle w:val="Tabletext0"/>
              <w:framePr w:hSpace="180" w:wrap="around" w:vAnchor="text" w:hAnchor="text" w:y="1"/>
              <w:spacing w:before="20" w:after="20"/>
              <w:ind w:left="57"/>
            </w:pPr>
            <w:r w:rsidRPr="00D72051">
              <w:t>“Non-standard” analogue</w:t>
            </w:r>
          </w:p>
        </w:tc>
        <w:tc>
          <w:tcPr>
            <w:tcW w:w="3402" w:type="dxa"/>
          </w:tcPr>
          <w:p w14:paraId="6516044D" w14:textId="77777777" w:rsidR="00D72051" w:rsidRPr="001B0114" w:rsidRDefault="00D72051" w:rsidP="008F4A3B">
            <w:pPr>
              <w:pStyle w:val="Tabletext0"/>
              <w:framePr w:hSpace="180" w:wrap="around" w:vAnchor="text" w:hAnchor="text" w:y="1"/>
              <w:spacing w:before="20" w:after="20"/>
              <w:ind w:left="57"/>
              <w:rPr>
                <w:lang w:val="en-US"/>
              </w:rPr>
            </w:pPr>
            <w:r w:rsidRPr="001B0114">
              <w:rPr>
                <w:lang w:val="en-US"/>
              </w:rPr>
              <w:t>As described in the Bureau’s</w:t>
            </w:r>
            <w:r w:rsidRPr="001B0114">
              <w:rPr>
                <w:lang w:val="en-US"/>
              </w:rPr>
              <w:br/>
              <w:t>MSPACE Manual</w:t>
            </w:r>
          </w:p>
        </w:tc>
      </w:tr>
      <w:tr w:rsidR="00D72051" w:rsidRPr="00C52342" w14:paraId="5A667CDB" w14:textId="77777777" w:rsidTr="00D72051">
        <w:trPr>
          <w:gridAfter w:val="1"/>
          <w:wAfter w:w="8" w:type="dxa"/>
        </w:trPr>
        <w:tc>
          <w:tcPr>
            <w:tcW w:w="2835" w:type="dxa"/>
          </w:tcPr>
          <w:p w14:paraId="2D27F60A" w14:textId="77777777" w:rsidR="00D72051" w:rsidRPr="00D72051" w:rsidRDefault="00D72051" w:rsidP="008F4A3B">
            <w:pPr>
              <w:pStyle w:val="Tabletext0"/>
              <w:framePr w:hSpace="180" w:wrap="around" w:vAnchor="text" w:hAnchor="text" w:y="1"/>
              <w:spacing w:before="20" w:after="20"/>
              <w:ind w:left="57"/>
            </w:pPr>
            <w:r w:rsidRPr="00D72051">
              <w:t>Digital</w:t>
            </w:r>
          </w:p>
        </w:tc>
        <w:tc>
          <w:tcPr>
            <w:tcW w:w="2835" w:type="dxa"/>
          </w:tcPr>
          <w:p w14:paraId="71169753" w14:textId="77777777" w:rsidR="00D72051" w:rsidRPr="00D72051" w:rsidRDefault="00D72051" w:rsidP="008F4A3B">
            <w:pPr>
              <w:pStyle w:val="Tabletext0"/>
              <w:framePr w:hSpace="180" w:wrap="around" w:vAnchor="text" w:hAnchor="text" w:y="1"/>
              <w:spacing w:before="20" w:after="20"/>
              <w:ind w:left="57"/>
            </w:pPr>
            <w:r w:rsidRPr="00D72051">
              <w:t>“Standard” or “non-standard” analogue</w:t>
            </w:r>
          </w:p>
        </w:tc>
        <w:tc>
          <w:tcPr>
            <w:tcW w:w="3402" w:type="dxa"/>
          </w:tcPr>
          <w:p w14:paraId="0AB8461D" w14:textId="77777777" w:rsidR="00D72051" w:rsidRPr="001B0114" w:rsidRDefault="00D72051" w:rsidP="008F4A3B">
            <w:pPr>
              <w:pStyle w:val="Tabletext0"/>
              <w:framePr w:hSpace="180" w:wrap="around" w:vAnchor="text" w:hAnchor="text" w:y="1"/>
              <w:spacing w:before="20" w:after="20"/>
              <w:ind w:left="57"/>
              <w:rPr>
                <w:lang w:val="en-US"/>
              </w:rPr>
            </w:pPr>
            <w:r w:rsidRPr="001B0114">
              <w:rPr>
                <w:lang w:val="en-US"/>
              </w:rPr>
              <w:t>As described in the Bureau’s</w:t>
            </w:r>
            <w:r w:rsidRPr="001B0114">
              <w:rPr>
                <w:lang w:val="en-US"/>
              </w:rPr>
              <w:br/>
              <w:t>MSPACE Manual</w:t>
            </w:r>
          </w:p>
        </w:tc>
      </w:tr>
      <w:tr w:rsidR="00D72051" w:rsidRPr="00C52342" w14:paraId="2ED51852" w14:textId="77777777" w:rsidTr="00D72051">
        <w:trPr>
          <w:gridAfter w:val="1"/>
          <w:wAfter w:w="8" w:type="dxa"/>
        </w:trPr>
        <w:tc>
          <w:tcPr>
            <w:tcW w:w="2835" w:type="dxa"/>
          </w:tcPr>
          <w:p w14:paraId="28D0D1D9" w14:textId="77777777" w:rsidR="00D72051" w:rsidRPr="00D72051" w:rsidRDefault="00D72051" w:rsidP="008F4A3B">
            <w:pPr>
              <w:pStyle w:val="Tabletext0"/>
              <w:framePr w:hSpace="180" w:wrap="around" w:vAnchor="text" w:hAnchor="text" w:y="1"/>
              <w:spacing w:before="20" w:after="20"/>
              <w:ind w:left="57"/>
            </w:pPr>
            <w:r w:rsidRPr="00D72051">
              <w:t>“Standard” or “non-standard” analogue</w:t>
            </w:r>
          </w:p>
        </w:tc>
        <w:tc>
          <w:tcPr>
            <w:tcW w:w="2835" w:type="dxa"/>
          </w:tcPr>
          <w:p w14:paraId="6E0F4812" w14:textId="77777777" w:rsidR="00D72051" w:rsidRPr="00D72051" w:rsidRDefault="00D72051" w:rsidP="008F4A3B">
            <w:pPr>
              <w:pStyle w:val="Tabletext0"/>
              <w:framePr w:hSpace="180" w:wrap="around" w:vAnchor="text" w:hAnchor="text" w:y="1"/>
              <w:spacing w:before="20" w:after="20"/>
              <w:ind w:left="57"/>
            </w:pPr>
            <w:r w:rsidRPr="00D72051">
              <w:t>Digital</w:t>
            </w:r>
          </w:p>
        </w:tc>
        <w:tc>
          <w:tcPr>
            <w:tcW w:w="3402" w:type="dxa"/>
          </w:tcPr>
          <w:p w14:paraId="5B4CDD5D" w14:textId="77777777" w:rsidR="00D72051" w:rsidRPr="001B0114" w:rsidRDefault="00D72051" w:rsidP="008F4A3B">
            <w:pPr>
              <w:pStyle w:val="Tabletext0"/>
              <w:framePr w:hSpace="180" w:wrap="around" w:vAnchor="text" w:hAnchor="text" w:y="1"/>
              <w:spacing w:before="20" w:after="20"/>
              <w:ind w:left="57"/>
              <w:rPr>
                <w:lang w:val="en-US"/>
              </w:rPr>
            </w:pPr>
            <w:r w:rsidRPr="001B0114">
              <w:rPr>
                <w:lang w:val="en-US"/>
              </w:rPr>
              <w:t>As defined in</w:t>
            </w:r>
            <w:r w:rsidR="008F4A3B">
              <w:rPr>
                <w:lang w:val="en-US"/>
              </w:rPr>
              <w:t xml:space="preserve"> </w:t>
            </w:r>
            <w:r w:rsidRPr="001B0114">
              <w:rPr>
                <w:lang w:val="en-US"/>
              </w:rPr>
              <w:t xml:space="preserve">Recommendation </w:t>
            </w:r>
            <w:r w:rsidR="008F4A3B">
              <w:rPr>
                <w:lang w:val="en-US"/>
              </w:rPr>
              <w:br/>
            </w:r>
            <w:r w:rsidRPr="001B0114">
              <w:rPr>
                <w:lang w:val="en-US"/>
              </w:rPr>
              <w:t>ITU-R BO.1293-2 </w:t>
            </w:r>
            <w:r w:rsidRPr="00BA2419">
              <w:rPr>
                <w:vertAlign w:val="superscript"/>
                <w:lang w:val="en-US"/>
              </w:rPr>
              <w:t>2</w:t>
            </w:r>
          </w:p>
        </w:tc>
      </w:tr>
      <w:tr w:rsidR="00D72051" w:rsidRPr="00C52342" w14:paraId="3286D35E" w14:textId="77777777" w:rsidTr="00D72051">
        <w:trPr>
          <w:gridAfter w:val="1"/>
          <w:wAfter w:w="8" w:type="dxa"/>
        </w:trPr>
        <w:tc>
          <w:tcPr>
            <w:tcW w:w="2835" w:type="dxa"/>
            <w:tcBorders>
              <w:bottom w:val="single" w:sz="6" w:space="0" w:color="auto"/>
            </w:tcBorders>
          </w:tcPr>
          <w:p w14:paraId="4012CBF8" w14:textId="77777777" w:rsidR="00D72051" w:rsidRPr="008F4A3B" w:rsidRDefault="00D72051" w:rsidP="008F4A3B">
            <w:pPr>
              <w:pStyle w:val="Tabletext0"/>
              <w:framePr w:hSpace="180" w:wrap="around" w:vAnchor="text" w:hAnchor="text" w:y="1"/>
              <w:spacing w:before="20" w:after="20"/>
              <w:ind w:left="57"/>
              <w:rPr>
                <w:lang w:val="en-US"/>
              </w:rPr>
            </w:pPr>
            <w:r w:rsidRPr="008F4A3B">
              <w:rPr>
                <w:lang w:val="en-US"/>
              </w:rPr>
              <w:t xml:space="preserve">Digital </w:t>
            </w:r>
          </w:p>
        </w:tc>
        <w:tc>
          <w:tcPr>
            <w:tcW w:w="2835" w:type="dxa"/>
            <w:tcBorders>
              <w:bottom w:val="single" w:sz="6" w:space="0" w:color="auto"/>
            </w:tcBorders>
          </w:tcPr>
          <w:p w14:paraId="2C27BC31" w14:textId="77777777" w:rsidR="00D72051" w:rsidRPr="008F4A3B" w:rsidRDefault="00D72051" w:rsidP="008F4A3B">
            <w:pPr>
              <w:pStyle w:val="Tabletext0"/>
              <w:framePr w:hSpace="180" w:wrap="around" w:vAnchor="text" w:hAnchor="text" w:y="1"/>
              <w:spacing w:before="20" w:after="20"/>
              <w:ind w:left="57"/>
              <w:rPr>
                <w:lang w:val="en-US"/>
              </w:rPr>
            </w:pPr>
            <w:r w:rsidRPr="008F4A3B">
              <w:rPr>
                <w:lang w:val="en-US"/>
              </w:rPr>
              <w:t>Digital</w:t>
            </w:r>
          </w:p>
        </w:tc>
        <w:tc>
          <w:tcPr>
            <w:tcW w:w="3402" w:type="dxa"/>
            <w:tcBorders>
              <w:bottom w:val="single" w:sz="6" w:space="0" w:color="auto"/>
            </w:tcBorders>
          </w:tcPr>
          <w:p w14:paraId="0B6B6824" w14:textId="77777777" w:rsidR="00D72051" w:rsidRPr="001B0114" w:rsidRDefault="00D72051" w:rsidP="008F4A3B">
            <w:pPr>
              <w:pStyle w:val="Tabletext0"/>
              <w:framePr w:hSpace="180" w:wrap="around" w:vAnchor="text" w:hAnchor="text" w:y="1"/>
              <w:spacing w:before="20" w:after="20"/>
              <w:ind w:left="57"/>
              <w:rPr>
                <w:lang w:val="en-US"/>
              </w:rPr>
            </w:pPr>
            <w:r w:rsidRPr="001B0114">
              <w:rPr>
                <w:lang w:val="en-US"/>
              </w:rPr>
              <w:t>As defined in</w:t>
            </w:r>
            <w:r w:rsidR="008F4A3B">
              <w:rPr>
                <w:lang w:val="en-US"/>
              </w:rPr>
              <w:t xml:space="preserve"> </w:t>
            </w:r>
            <w:r w:rsidRPr="001B0114">
              <w:rPr>
                <w:lang w:val="en-US"/>
              </w:rPr>
              <w:t xml:space="preserve">Recommendation </w:t>
            </w:r>
            <w:r w:rsidR="008F4A3B">
              <w:rPr>
                <w:lang w:val="en-US"/>
              </w:rPr>
              <w:br/>
            </w:r>
            <w:r w:rsidRPr="001B0114">
              <w:rPr>
                <w:lang w:val="en-US"/>
              </w:rPr>
              <w:t>ITU-R BO.1293-2 </w:t>
            </w:r>
            <w:r w:rsidRPr="00BA2419">
              <w:rPr>
                <w:vertAlign w:val="superscript"/>
                <w:lang w:val="en-US"/>
              </w:rPr>
              <w:t>2</w:t>
            </w:r>
          </w:p>
        </w:tc>
      </w:tr>
      <w:tr w:rsidR="00D72051" w:rsidRPr="00C52342" w14:paraId="2AD16AC3" w14:textId="77777777" w:rsidTr="00D72051">
        <w:tc>
          <w:tcPr>
            <w:tcW w:w="9072" w:type="dxa"/>
            <w:gridSpan w:val="4"/>
            <w:tcBorders>
              <w:left w:val="nil"/>
              <w:bottom w:val="nil"/>
              <w:right w:val="nil"/>
            </w:tcBorders>
          </w:tcPr>
          <w:p w14:paraId="79679004" w14:textId="77777777" w:rsidR="00D72051" w:rsidRPr="00C52342" w:rsidRDefault="00D72051" w:rsidP="008F4A3B">
            <w:pPr>
              <w:pStyle w:val="TableLegend"/>
              <w:framePr w:hSpace="180" w:wrap="around" w:vAnchor="text" w:hAnchor="text" w:y="1"/>
              <w:spacing w:before="40"/>
            </w:pPr>
            <w:r w:rsidRPr="0041080B">
              <w:rPr>
                <w:sz w:val="22"/>
                <w:szCs w:val="22"/>
                <w:vertAlign w:val="superscript"/>
              </w:rPr>
              <w:t>1</w:t>
            </w:r>
            <w:r w:rsidRPr="00C52342">
              <w:tab/>
              <w:t xml:space="preserve">The </w:t>
            </w:r>
            <w:r>
              <w:t>s</w:t>
            </w:r>
            <w:r w:rsidRPr="00C52342">
              <w:t xml:space="preserve">tandard analogue assignments mentioned in the Table 1 above are those assignments in </w:t>
            </w:r>
            <w:r>
              <w:t xml:space="preserve">the </w:t>
            </w:r>
            <w:r w:rsidRPr="00C52342">
              <w:t xml:space="preserve">Region 2 Plan with 24 MHz bandwidth, 14.58 MHz channel spacing and the assigned frequencies as </w:t>
            </w:r>
            <w:r w:rsidRPr="00D72051">
              <w:t>specified</w:t>
            </w:r>
            <w:r w:rsidRPr="00C52342">
              <w:t xml:space="preserve"> in Article 9 of Appendix </w:t>
            </w:r>
            <w:r w:rsidRPr="00D72051">
              <w:rPr>
                <w:b/>
                <w:bCs/>
              </w:rPr>
              <w:t>30A</w:t>
            </w:r>
            <w:r w:rsidRPr="00C52342">
              <w:t>.</w:t>
            </w:r>
          </w:p>
          <w:p w14:paraId="150CE59D" w14:textId="77777777" w:rsidR="00D72051" w:rsidRPr="00C52342" w:rsidRDefault="00D72051" w:rsidP="008F4A3B">
            <w:pPr>
              <w:pStyle w:val="TableLegend"/>
              <w:framePr w:hSpace="180" w:wrap="around" w:vAnchor="text" w:hAnchor="text" w:y="1"/>
              <w:spacing w:before="40"/>
            </w:pPr>
            <w:r w:rsidRPr="0041080B">
              <w:rPr>
                <w:sz w:val="22"/>
                <w:szCs w:val="22"/>
                <w:vertAlign w:val="superscript"/>
              </w:rPr>
              <w:t>2</w:t>
            </w:r>
            <w:r w:rsidRPr="00C52342">
              <w:tab/>
              <w:t xml:space="preserve">Recommendation ITU-R BO.1293-2 (Annexes 1 and 2) is applied which is referred to in § 3.4 of Annex 5 to Appendix </w:t>
            </w:r>
            <w:r w:rsidRPr="00D72051">
              <w:rPr>
                <w:b/>
                <w:bCs/>
              </w:rPr>
              <w:t>30</w:t>
            </w:r>
            <w:r w:rsidRPr="00C52342">
              <w:t xml:space="preserve"> and § 3.3 of Annex 3 to Appendix </w:t>
            </w:r>
            <w:r w:rsidRPr="00D72051">
              <w:rPr>
                <w:b/>
                <w:bCs/>
              </w:rPr>
              <w:t>30A</w:t>
            </w:r>
            <w:r w:rsidRPr="00D72051">
              <w:t>.</w:t>
            </w:r>
            <w:r w:rsidRPr="00C52342">
              <w:t xml:space="preserve"> </w:t>
            </w:r>
          </w:p>
        </w:tc>
      </w:tr>
    </w:tbl>
    <w:p w14:paraId="3EF9938E" w14:textId="77777777" w:rsidR="002150F8" w:rsidRPr="008E5ED7" w:rsidRDefault="002150F8" w:rsidP="00552405">
      <w:pPr>
        <w:pStyle w:val="TableFin"/>
      </w:pPr>
    </w:p>
    <w:p w14:paraId="079E8AD4" w14:textId="77777777" w:rsidR="002C5C48" w:rsidRDefault="002C5C48">
      <w:pPr>
        <w:tabs>
          <w:tab w:val="clear" w:pos="1134"/>
          <w:tab w:val="clear" w:pos="1871"/>
          <w:tab w:val="clear" w:pos="2268"/>
        </w:tabs>
        <w:overflowPunct/>
        <w:autoSpaceDE/>
        <w:autoSpaceDN/>
        <w:adjustRightInd/>
        <w:spacing w:before="0"/>
        <w:jc w:val="left"/>
        <w:textAlignment w:val="auto"/>
        <w:rPr>
          <w:b/>
        </w:rPr>
      </w:pPr>
      <w:r>
        <w:br w:type="page"/>
      </w:r>
    </w:p>
    <w:p w14:paraId="68408B21" w14:textId="77777777" w:rsidR="002150F8" w:rsidRPr="008E5ED7" w:rsidRDefault="002150F8">
      <w:pPr>
        <w:pStyle w:val="Heading9"/>
      </w:pPr>
      <w:r w:rsidRPr="008E5ED7">
        <w:lastRenderedPageBreak/>
        <w:t>3</w:t>
      </w:r>
    </w:p>
    <w:p w14:paraId="0F265FF6" w14:textId="77777777" w:rsidR="002150F8" w:rsidRPr="008E5ED7" w:rsidRDefault="002150F8" w:rsidP="005A1D51">
      <w:pPr>
        <w:pStyle w:val="Headingb"/>
        <w:spacing w:before="240"/>
      </w:pPr>
      <w:r w:rsidRPr="008E5ED7">
        <w:t>Power-control</w:t>
      </w:r>
    </w:p>
    <w:p w14:paraId="4E3C1438" w14:textId="77777777" w:rsidR="006C297C" w:rsidRPr="006C297C" w:rsidRDefault="006C297C" w:rsidP="006C297C">
      <w:r w:rsidRPr="006C297C">
        <w:t xml:space="preserve">Paragraph 3.11 of Annex 3 to Appendix </w:t>
      </w:r>
      <w:r w:rsidRPr="006C297C">
        <w:rPr>
          <w:b/>
          <w:bCs/>
        </w:rPr>
        <w:t>30A</w:t>
      </w:r>
      <w:r w:rsidRPr="006C297C">
        <w:t xml:space="preserve"> describes the method, propagation model and procedures for determination of the power control value of an assignment in the Plan of Regions 1 and 3. WRC-15 clarified that the use of power control should be extended to assignments in the Regions 1 and 3 List. Therefore, the Board decided that, whenever an assignment is included in the Regions 1 and 3 feeder-link List with a request to use power control with a power control value included in the Part B filing submitted in accordance with § 4.1.12 of Article 4 of Appendix </w:t>
      </w:r>
      <w:r w:rsidRPr="006C297C">
        <w:rPr>
          <w:b/>
          <w:bCs/>
        </w:rPr>
        <w:t>30A</w:t>
      </w:r>
      <w:r w:rsidRPr="006C297C">
        <w:t>, the Bureau shall apply the procedure described below in respect of the request.</w:t>
      </w:r>
    </w:p>
    <w:p w14:paraId="71E0767E" w14:textId="77777777" w:rsidR="006C297C" w:rsidRPr="006C297C" w:rsidRDefault="007C5018" w:rsidP="006C297C">
      <w:r>
        <w:t>1</w:t>
      </w:r>
      <w:r w:rsidR="006C297C" w:rsidRPr="006C297C">
        <w:tab/>
        <w:t xml:space="preserve">The Bureau shall apply the method and procedures contained in § 3.11 of Annex 3 to Appendix </w:t>
      </w:r>
      <w:r w:rsidR="006C297C" w:rsidRPr="006C297C">
        <w:rPr>
          <w:b/>
          <w:bCs/>
        </w:rPr>
        <w:t>30A</w:t>
      </w:r>
      <w:r w:rsidR="006C297C" w:rsidRPr="006C297C">
        <w:t xml:space="preserve"> to calculate the power control value for the relevant assignment at the time of that assignment entering into the List. At the same time, the Bureau shall identify any other administrations whose feeder-link Equivalent Protection Margin is reduced due to the use of power control by the subject assignment.  </w:t>
      </w:r>
    </w:p>
    <w:p w14:paraId="4B2EAAEC" w14:textId="77777777" w:rsidR="006C297C" w:rsidRPr="006C297C" w:rsidRDefault="007C5018" w:rsidP="006C297C">
      <w:r>
        <w:t>2</w:t>
      </w:r>
      <w:r w:rsidR="006C297C" w:rsidRPr="006C297C">
        <w:tab/>
        <w:t xml:space="preserve">The Bureau shall consult the notifying administration of the subject assignment as to which value of power control should be used if the submitted value is less than the calculated one. </w:t>
      </w:r>
    </w:p>
    <w:p w14:paraId="585FEFFB" w14:textId="77777777" w:rsidR="006C297C" w:rsidRPr="006C297C" w:rsidRDefault="007C5018" w:rsidP="006C297C">
      <w:r>
        <w:t>3</w:t>
      </w:r>
      <w:r w:rsidR="006C297C" w:rsidRPr="006C297C">
        <w:tab/>
        <w:t xml:space="preserve">The Bureau shall then include the final value of power control for the subject assignment in a Part B Special Section published in accordance with § 4.1.15 of Article 4 of Appendix </w:t>
      </w:r>
      <w:r w:rsidR="006C297C" w:rsidRPr="006C297C">
        <w:rPr>
          <w:b/>
          <w:bCs/>
        </w:rPr>
        <w:t>30A</w:t>
      </w:r>
      <w:r w:rsidR="006C297C" w:rsidRPr="006C297C">
        <w:t>.</w:t>
      </w:r>
    </w:p>
    <w:p w14:paraId="73865EA0" w14:textId="77777777" w:rsidR="002150F8" w:rsidRPr="008E5ED7" w:rsidRDefault="007C5018" w:rsidP="007C5018">
      <w:r>
        <w:t>4</w:t>
      </w:r>
      <w:r w:rsidR="006C297C" w:rsidRPr="006C297C">
        <w:tab/>
        <w:t>When the above-mentioned Part B Special Section is published, the Bureau shall inform the other administrations identified under 1 above of the reduction of their feeder-link Equivalent Protection Margin.</w:t>
      </w:r>
    </w:p>
    <w:p w14:paraId="04E9164A" w14:textId="77777777" w:rsidR="00A83D2F" w:rsidRPr="00A83D2F" w:rsidRDefault="00A83D2F" w:rsidP="006C297C">
      <w:pPr>
        <w:rPr>
          <w:bCs/>
        </w:rPr>
      </w:pPr>
      <w:r w:rsidRPr="00A83D2F">
        <w:rPr>
          <w:b/>
        </w:rPr>
        <w:t>Note</w:t>
      </w:r>
      <w:r w:rsidRPr="007C5018">
        <w:rPr>
          <w:bCs/>
        </w:rPr>
        <w:t>:</w:t>
      </w:r>
      <w:r w:rsidRPr="00A83D2F">
        <w:rPr>
          <w:bCs/>
        </w:rPr>
        <w:t xml:space="preserve"> WRC-15 took the decision related to the RoP on </w:t>
      </w:r>
      <w:r w:rsidRPr="006C297C">
        <w:t>Annex</w:t>
      </w:r>
      <w:r w:rsidRPr="00A83D2F">
        <w:rPr>
          <w:bCs/>
        </w:rPr>
        <w:t xml:space="preserve"> 3 of Appendix </w:t>
      </w:r>
      <w:r w:rsidRPr="00A83D2F">
        <w:rPr>
          <w:b/>
        </w:rPr>
        <w:t>30A</w:t>
      </w:r>
      <w:r w:rsidRPr="00A83D2F">
        <w:rPr>
          <w:bCs/>
        </w:rPr>
        <w:t xml:space="preserve"> during the 8</w:t>
      </w:r>
      <w:r w:rsidRPr="00A83D2F">
        <w:rPr>
          <w:bCs/>
          <w:vertAlign w:val="superscript"/>
        </w:rPr>
        <w:t>th</w:t>
      </w:r>
      <w:r w:rsidRPr="00A83D2F">
        <w:rPr>
          <w:bCs/>
        </w:rPr>
        <w:t xml:space="preserve"> Plenary, Par. 1.39 to 1.42 of Doc. CMR15/505, approval of Doc. CMR15/416 in relation to Section 3.2.6.2 of Doc. 4 (Add2) (Rev1), as follows:</w:t>
      </w:r>
    </w:p>
    <w:p w14:paraId="7D08D997" w14:textId="77777777" w:rsidR="00A83D2F" w:rsidRPr="006C297C" w:rsidRDefault="00A83D2F" w:rsidP="007C5018">
      <w:pPr>
        <w:rPr>
          <w:spacing w:val="-4"/>
          <w:sz w:val="16"/>
          <w:szCs w:val="16"/>
        </w:rPr>
      </w:pPr>
      <w:r w:rsidRPr="006C297C">
        <w:rPr>
          <w:i/>
          <w:iCs/>
          <w:spacing w:val="-4"/>
        </w:rPr>
        <w:t>“WRC-15 clarified that the use of power control should be extend</w:t>
      </w:r>
      <w:r w:rsidR="007C5018">
        <w:rPr>
          <w:i/>
          <w:iCs/>
          <w:spacing w:val="-4"/>
        </w:rPr>
        <w:t>ed to assignments in the Region </w:t>
      </w:r>
      <w:r w:rsidRPr="006C297C">
        <w:rPr>
          <w:i/>
          <w:iCs/>
          <w:spacing w:val="-4"/>
        </w:rPr>
        <w:t>1 and 3 List and the corresponding RoP should be modified accordingly.”</w:t>
      </w:r>
    </w:p>
    <w:p w14:paraId="06CC8A73" w14:textId="77777777" w:rsidR="003754D1" w:rsidRDefault="002150F8" w:rsidP="005A1D51">
      <w:pPr>
        <w:spacing w:before="120"/>
        <w:jc w:val="center"/>
      </w:pPr>
      <w:r w:rsidRPr="008E5ED7">
        <w:t>____________________</w:t>
      </w:r>
    </w:p>
    <w:p w14:paraId="6FE80021" w14:textId="77777777" w:rsidR="00154FD9" w:rsidRDefault="00154FD9" w:rsidP="003754D1">
      <w:pPr>
        <w:jc w:val="center"/>
      </w:pPr>
    </w:p>
    <w:p w14:paraId="1381EF44" w14:textId="77777777" w:rsidR="002C5C48" w:rsidRDefault="002C5C48" w:rsidP="003754D1">
      <w:pPr>
        <w:jc w:val="center"/>
      </w:pPr>
    </w:p>
    <w:p w14:paraId="7AC4B993" w14:textId="77777777" w:rsidR="002C5C48" w:rsidRDefault="002C5C48" w:rsidP="003754D1">
      <w:pPr>
        <w:jc w:val="center"/>
      </w:pPr>
    </w:p>
    <w:p w14:paraId="68102D3E" w14:textId="77777777" w:rsidR="002C5C48" w:rsidRDefault="002C5C48" w:rsidP="003754D1">
      <w:pPr>
        <w:jc w:val="center"/>
      </w:pPr>
    </w:p>
    <w:p w14:paraId="40A0DF5D" w14:textId="4ACF2BD1" w:rsidR="00154FD9" w:rsidRPr="008E5ED7" w:rsidRDefault="00154FD9" w:rsidP="003754D1">
      <w:pPr>
        <w:jc w:val="center"/>
        <w:sectPr w:rsidR="00154FD9" w:rsidRPr="008E5ED7">
          <w:headerReference w:type="even" r:id="rId14"/>
          <w:headerReference w:type="default" r:id="rId15"/>
          <w:footnotePr>
            <w:pos w:val="beneathText"/>
          </w:footnotePr>
          <w:pgSz w:w="11907" w:h="16840" w:code="9"/>
          <w:pgMar w:top="1701" w:right="851" w:bottom="1134" w:left="1985" w:header="720" w:footer="482" w:gutter="0"/>
          <w:cols w:space="720"/>
          <w:vAlign w:val="both"/>
        </w:sectPr>
      </w:pPr>
    </w:p>
    <w:p w14:paraId="76A5D34A" w14:textId="19F44386" w:rsidR="002150F8" w:rsidRPr="008E5ED7" w:rsidRDefault="002150F8" w:rsidP="002E5617"/>
    <w:sectPr w:rsidR="002150F8" w:rsidRPr="008E5ED7" w:rsidSect="008E5ED7">
      <w:headerReference w:type="first" r:id="rId16"/>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B97814" w14:textId="77777777" w:rsidR="00FF6ECB" w:rsidRDefault="00FF6ECB">
      <w:r>
        <w:separator/>
      </w:r>
    </w:p>
  </w:endnote>
  <w:endnote w:type="continuationSeparator" w:id="0">
    <w:p w14:paraId="7ECF217B" w14:textId="77777777" w:rsidR="00FF6ECB" w:rsidRDefault="00FF6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A7BC49" w14:textId="77777777" w:rsidR="00FF6ECB" w:rsidRDefault="00FF6ECB">
      <w:r>
        <w:rPr>
          <w:b/>
        </w:rPr>
        <w:t>_______________</w:t>
      </w:r>
    </w:p>
  </w:footnote>
  <w:footnote w:type="continuationSeparator" w:id="0">
    <w:p w14:paraId="7CB1FCA3" w14:textId="77777777" w:rsidR="00FF6ECB" w:rsidRDefault="00FF6ECB">
      <w:r>
        <w:continuationSeparator/>
      </w:r>
    </w:p>
  </w:footnote>
  <w:footnote w:id="1">
    <w:p w14:paraId="40D07315" w14:textId="77777777" w:rsidR="008E5ED7" w:rsidRDefault="008E5ED7">
      <w:pPr>
        <w:pStyle w:val="FootnoteText"/>
      </w:pPr>
      <w:r>
        <w:rPr>
          <w:rStyle w:val="FootnoteReference"/>
        </w:rPr>
        <w:t>1</w:t>
      </w:r>
      <w:r>
        <w:t xml:space="preserve"> </w:t>
      </w:r>
      <w:r>
        <w:tab/>
        <w:t xml:space="preserve">In the absence of a clear indication of the precise frequency of each carrier within the assigned frequency band, the Bureau uses in its analysis the assigned frequency band (i.e. data item C.3 </w:t>
      </w:r>
      <w:r>
        <w:rPr>
          <w:i/>
          <w:iCs/>
        </w:rPr>
        <w:t>a)</w:t>
      </w:r>
      <w:r>
        <w:t xml:space="preserve"> of Annex 2A of Appendix </w:t>
      </w:r>
      <w:r>
        <w:rPr>
          <w:rStyle w:val="Appref"/>
          <w:b/>
          <w:bCs/>
          <w:color w:val="000000"/>
        </w:rPr>
        <w:t>4</w:t>
      </w:r>
      <w:r>
        <w:t xml:space="preserve">) instead of the necessary bandwidth (i.e. data item C.7 </w:t>
      </w:r>
      <w:r>
        <w:rPr>
          <w:i/>
          <w:iCs/>
        </w:rPr>
        <w:t>a)</w:t>
      </w:r>
      <w:r>
        <w:t xml:space="preserve"> of Annex 2A of Appendix </w:t>
      </w:r>
      <w:r>
        <w:rPr>
          <w:rStyle w:val="Appref"/>
          <w:b/>
          <w:bCs/>
          <w:color w:val="000000"/>
        </w:rPr>
        <w:t>4</w:t>
      </w:r>
      <w:r>
        <w:t>).</w:t>
      </w:r>
    </w:p>
  </w:footnote>
  <w:footnote w:id="2">
    <w:p w14:paraId="17DBC5CC" w14:textId="77777777" w:rsidR="008E5ED7" w:rsidRDefault="008E5ED7">
      <w:pPr>
        <w:pStyle w:val="FootnoteText"/>
      </w:pPr>
      <w:r>
        <w:rPr>
          <w:rStyle w:val="FootnoteReference"/>
        </w:rPr>
        <w:t>2</w:t>
      </w:r>
      <w:r>
        <w:t xml:space="preserve"> </w:t>
      </w:r>
      <w:r>
        <w:tab/>
        <w:t xml:space="preserve">In the absence of a clear indication of the precise frequency of each carrier within the assigned frequency band, the Bureau uses in its analysis the assigned frequency band (i.e. data item C.3 </w:t>
      </w:r>
      <w:r>
        <w:rPr>
          <w:i/>
          <w:iCs/>
        </w:rPr>
        <w:t>a)</w:t>
      </w:r>
      <w:r>
        <w:t xml:space="preserve"> of Annex 2A of Appendix </w:t>
      </w:r>
      <w:r>
        <w:rPr>
          <w:rStyle w:val="Appref"/>
          <w:b/>
          <w:bCs/>
          <w:color w:val="000000"/>
        </w:rPr>
        <w:t>4</w:t>
      </w:r>
      <w:r>
        <w:t xml:space="preserve">) instead of the necessary bandwidth (i.e. data item C.7 </w:t>
      </w:r>
      <w:r>
        <w:rPr>
          <w:i/>
          <w:iCs/>
        </w:rPr>
        <w:t>a)</w:t>
      </w:r>
      <w:r>
        <w:t xml:space="preserve"> of Annex 2A of Appendix </w:t>
      </w:r>
      <w:r>
        <w:rPr>
          <w:rStyle w:val="Appref"/>
          <w:b/>
          <w:bCs/>
          <w:color w:val="000000"/>
        </w:rPr>
        <w:t>4</w:t>
      </w:r>
      <w:r>
        <w:t xml:space="preserve">). </w:t>
      </w:r>
    </w:p>
  </w:footnote>
  <w:footnote w:id="3">
    <w:p w14:paraId="653FDC6D" w14:textId="77777777" w:rsidR="008E5ED7" w:rsidRDefault="008E5ED7">
      <w:pPr>
        <w:pStyle w:val="FootnoteText"/>
      </w:pPr>
      <w:r>
        <w:rPr>
          <w:rStyle w:val="FootnoteReference"/>
        </w:rPr>
        <w:t>3</w:t>
      </w:r>
      <w:r>
        <w:t xml:space="preserve"> </w:t>
      </w:r>
      <w:r>
        <w:tab/>
        <w:t>Anytime the “Plan” is referred to, this means the current version of the Plan as updated on the date of the Bureau's examination in the case of the Region 2 Plan, and, in the case of the Regions 1 and 3 Plan(s), the current version of the Plan(s) as may be updated pursuant to the possible application of § 4.1.26 or 4.1.27 of Article 4 of Appendix </w:t>
      </w:r>
      <w:r>
        <w:rPr>
          <w:rStyle w:val="Appref"/>
          <w:b/>
          <w:bCs/>
          <w:color w:val="000000"/>
        </w:rPr>
        <w:t>30A</w:t>
      </w:r>
      <w:r>
        <w:t>.</w:t>
      </w:r>
    </w:p>
  </w:footnote>
  <w:footnote w:id="4">
    <w:p w14:paraId="5DF84013" w14:textId="77777777" w:rsidR="002C5179" w:rsidRPr="009314A3" w:rsidRDefault="002C5179" w:rsidP="002C5179">
      <w:pPr>
        <w:pStyle w:val="FootnoteText"/>
        <w:tabs>
          <w:tab w:val="clear" w:pos="1418"/>
          <w:tab w:val="left" w:pos="2410"/>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w:t>
      </w:r>
      <w:r>
        <w:rPr>
          <w:lang w:val="en-US"/>
        </w:rPr>
        <w:tab/>
      </w:r>
      <w:r w:rsidRPr="009314A3">
        <w:rPr>
          <w:lang w:val="en-US"/>
        </w:rPr>
        <w:t xml:space="preserve">This Resolution was </w:t>
      </w:r>
      <w:r>
        <w:rPr>
          <w:lang w:val="en-US"/>
        </w:rPr>
        <w:t>suppressed</w:t>
      </w:r>
      <w:r w:rsidRPr="009314A3">
        <w:rPr>
          <w:lang w:val="en-US"/>
        </w:rPr>
        <w:t xml:space="preserve"> by WRC-</w:t>
      </w:r>
      <w:r>
        <w:rPr>
          <w:lang w:val="en-US"/>
        </w:rPr>
        <w:t>03.</w:t>
      </w:r>
    </w:p>
  </w:footnote>
  <w:footnote w:id="5">
    <w:p w14:paraId="17BF0A1F" w14:textId="77777777" w:rsidR="008E5ED7" w:rsidRDefault="008E5ED7">
      <w:pPr>
        <w:pStyle w:val="FootnoteText"/>
      </w:pPr>
      <w:r>
        <w:rPr>
          <w:rStyle w:val="FootnoteReference"/>
        </w:rPr>
        <w:t>4</w:t>
      </w:r>
      <w:r>
        <w:t xml:space="preserve"> </w:t>
      </w:r>
      <w:r>
        <w:tab/>
        <w:t>As appearing in the appropriate Plan or List, according to the case.</w:t>
      </w:r>
    </w:p>
  </w:footnote>
  <w:footnote w:id="6">
    <w:p w14:paraId="16F40C59" w14:textId="77777777" w:rsidR="002C5179" w:rsidRPr="009314A3" w:rsidRDefault="002C5179" w:rsidP="004C5F41">
      <w:pPr>
        <w:pStyle w:val="FootnoteText"/>
        <w:tabs>
          <w:tab w:val="clear" w:pos="1418"/>
          <w:tab w:val="left" w:pos="2410"/>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w:t>
      </w:r>
      <w:r>
        <w:rPr>
          <w:lang w:val="en-US"/>
        </w:rPr>
        <w:tab/>
      </w:r>
      <w:r w:rsidRPr="009314A3">
        <w:rPr>
          <w:lang w:val="en-US"/>
        </w:rPr>
        <w:t xml:space="preserve">This Resolution was </w:t>
      </w:r>
      <w:r>
        <w:rPr>
          <w:lang w:val="en-US"/>
        </w:rPr>
        <w:t>revised</w:t>
      </w:r>
      <w:r w:rsidRPr="009314A3">
        <w:rPr>
          <w:lang w:val="en-US"/>
        </w:rPr>
        <w:t xml:space="preserve"> by WRC-</w:t>
      </w:r>
      <w:r>
        <w:rPr>
          <w:lang w:val="en-US"/>
        </w:rPr>
        <w:t>12</w:t>
      </w:r>
      <w:r w:rsidR="009C7F87">
        <w:rPr>
          <w:lang w:val="en-US"/>
        </w:rPr>
        <w:t xml:space="preserve"> and WRC-15</w:t>
      </w:r>
      <w:r>
        <w:rPr>
          <w:lang w:val="en-US"/>
        </w:rPr>
        <w:t>.</w:t>
      </w:r>
    </w:p>
  </w:footnote>
  <w:footnote w:id="7">
    <w:p w14:paraId="2B8A77F1" w14:textId="77777777" w:rsidR="008E5ED7" w:rsidRDefault="008E5ED7" w:rsidP="007D1AF1">
      <w:pPr>
        <w:pStyle w:val="FootnoteText"/>
      </w:pPr>
      <w:r>
        <w:rPr>
          <w:rStyle w:val="FootnoteReference"/>
        </w:rPr>
        <w:t>5</w:t>
      </w:r>
      <w:r>
        <w:t xml:space="preserve"> </w:t>
      </w:r>
      <w:r>
        <w:tab/>
        <w:t>In the case of a wanted assignment in the Plan, the test-points referred to in this paragraph are those defined in that Plan. In the case of a wanted assignment in the List or for which the procedure of Article 4 of Appendices </w:t>
      </w:r>
      <w:r>
        <w:rPr>
          <w:rStyle w:val="Appref"/>
          <w:b/>
          <w:bCs/>
          <w:color w:val="000000"/>
        </w:rPr>
        <w:t>30/30A</w:t>
      </w:r>
      <w:r>
        <w:t xml:space="preserve"> has already been initiated, the test-points referred to in this paragraph are those provided under former Annex 2 to Appendices </w:t>
      </w:r>
      <w:r>
        <w:rPr>
          <w:rStyle w:val="Appref"/>
          <w:b/>
          <w:bCs/>
          <w:color w:val="000000"/>
        </w:rPr>
        <w:t>30/30A</w:t>
      </w:r>
      <w:r>
        <w:t xml:space="preserve"> or under Appendix </w:t>
      </w:r>
      <w:r>
        <w:rPr>
          <w:rStyle w:val="Appref"/>
          <w:b/>
          <w:bCs/>
          <w:color w:val="000000"/>
        </w:rPr>
        <w:t>4</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C0D0E" w14:paraId="1D97E930" w14:textId="77777777">
      <w:trPr>
        <w:cantSplit/>
      </w:trPr>
      <w:tc>
        <w:tcPr>
          <w:tcW w:w="1701" w:type="dxa"/>
          <w:tcBorders>
            <w:top w:val="single" w:sz="6" w:space="0" w:color="auto"/>
            <w:left w:val="single" w:sz="6" w:space="0" w:color="auto"/>
            <w:bottom w:val="single" w:sz="6" w:space="0" w:color="auto"/>
            <w:right w:val="single" w:sz="6" w:space="0" w:color="auto"/>
          </w:tcBorders>
        </w:tcPr>
        <w:p w14:paraId="3A8CD98E" w14:textId="348C2911" w:rsidR="005C0D0E" w:rsidRDefault="005C0D0E">
          <w:pPr>
            <w:pStyle w:val="HeaderRegProc"/>
          </w:pPr>
          <w:r>
            <w:t>Part A</w:t>
          </w:r>
          <w:r>
            <w:fldChar w:fldCharType="begin"/>
          </w:r>
          <w:r>
            <w:instrText>styleref href</w:instrText>
          </w:r>
          <w:r>
            <w:fldChar w:fldCharType="separate"/>
          </w:r>
          <w:r w:rsidR="00863923">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4882F287" w14:textId="2C071283" w:rsidR="005C0D0E" w:rsidRDefault="00863923">
          <w:pPr>
            <w:pStyle w:val="HeaderRegProc"/>
            <w:rPr>
              <w:lang w:val="fr-FR"/>
            </w:rPr>
          </w:pPr>
          <w:r>
            <w:fldChar w:fldCharType="begin"/>
          </w:r>
          <w:r>
            <w:instrText xml:space="preserve"> DOCPROPERTY "Header1" \* MERGEFORMAT </w:instrText>
          </w:r>
          <w:r>
            <w:fldChar w:fldCharType="separate"/>
          </w:r>
          <w:r>
            <w:t>AP</w:t>
          </w:r>
          <w:r>
            <w:fldChar w:fldCharType="end"/>
          </w:r>
          <w:r w:rsidR="005C0D0E">
            <w:fldChar w:fldCharType="begin"/>
          </w:r>
          <w:r w:rsidR="005C0D0E">
            <w:instrText>styleref href2</w:instrText>
          </w:r>
          <w:r w:rsidR="005C0D0E">
            <w:fldChar w:fldCharType="separate"/>
          </w:r>
          <w:r>
            <w:rPr>
              <w:noProof/>
            </w:rPr>
            <w:t>30A</w:t>
          </w:r>
          <w:r w:rsidR="005C0D0E">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29F0BFE" w14:textId="77777777" w:rsidR="005C0D0E" w:rsidRDefault="005C0D0E">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E54063">
            <w:rPr>
              <w:rStyle w:val="PageNumber"/>
              <w:noProof/>
            </w:rPr>
            <w:t>10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A9BFF25" w14:textId="77777777" w:rsidR="005C0D0E" w:rsidRDefault="005C0D0E" w:rsidP="005C0D0E">
          <w:pPr>
            <w:pStyle w:val="HeaderRegProc"/>
            <w:rPr>
              <w:lang w:val="fr-CH"/>
            </w:rPr>
          </w:pPr>
          <w:r>
            <w:rPr>
              <w:lang w:val="fr-CH"/>
            </w:rPr>
            <w:t>rev.</w:t>
          </w:r>
          <w:r w:rsidR="007C5018">
            <w:t>-</w:t>
          </w:r>
        </w:p>
      </w:tc>
    </w:tr>
  </w:tbl>
  <w:p w14:paraId="67D9997F" w14:textId="77777777" w:rsidR="005C0D0E" w:rsidRDefault="005C0D0E">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C297C" w14:paraId="2F8DC060"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B3FA0DD" w14:textId="6F3E9DBB" w:rsidR="006C297C" w:rsidRDefault="006C297C">
          <w:pPr>
            <w:pStyle w:val="HeaderRegProc"/>
          </w:pPr>
          <w:r>
            <w:t>Part A</w:t>
          </w:r>
          <w:r>
            <w:fldChar w:fldCharType="begin"/>
          </w:r>
          <w:r>
            <w:instrText>styleref href</w:instrText>
          </w:r>
          <w:r>
            <w:fldChar w:fldCharType="separate"/>
          </w:r>
          <w:r w:rsidR="00863923">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30AE759" w14:textId="429F5E1A" w:rsidR="006C297C" w:rsidRDefault="000E7EED">
          <w:pPr>
            <w:pStyle w:val="HeaderRegProc"/>
            <w:rPr>
              <w:lang w:val="fr-FR"/>
            </w:rPr>
          </w:pPr>
          <w:fldSimple w:instr=" DOCPROPERTY &quot;Header1&quot; \* MERGEFORMAT ">
            <w:r w:rsidR="00863923">
              <w:t>AP</w:t>
            </w:r>
          </w:fldSimple>
          <w:r w:rsidR="006C297C">
            <w:fldChar w:fldCharType="begin"/>
          </w:r>
          <w:r w:rsidR="006C297C">
            <w:instrText>styleref href2</w:instrText>
          </w:r>
          <w:r w:rsidR="006C297C">
            <w:fldChar w:fldCharType="separate"/>
          </w:r>
          <w:r w:rsidR="00863923">
            <w:rPr>
              <w:noProof/>
            </w:rPr>
            <w:t>30A</w:t>
          </w:r>
          <w:r w:rsidR="006C297C">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745A097C" w14:textId="77777777" w:rsidR="006C297C" w:rsidRDefault="006C297C">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E54063">
            <w:rPr>
              <w:rStyle w:val="PageNumber"/>
              <w:noProof/>
            </w:rPr>
            <w:t>11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D2AD72D" w14:textId="1C57F290" w:rsidR="006C297C" w:rsidRDefault="006C297C" w:rsidP="007C5018">
          <w:pPr>
            <w:pStyle w:val="HeaderRegProc"/>
            <w:rPr>
              <w:lang w:val="fr-CH"/>
            </w:rPr>
          </w:pPr>
          <w:r>
            <w:rPr>
              <w:lang w:val="fr-CH"/>
            </w:rPr>
            <w:t>rev.</w:t>
          </w:r>
          <w:r w:rsidR="00B42744">
            <w:rPr>
              <w:lang w:val="fr-CH"/>
            </w:rPr>
            <w:t xml:space="preserve"> </w:t>
          </w:r>
          <w:r w:rsidR="00664725">
            <w:rPr>
              <w:lang w:val="fr-CH"/>
            </w:rPr>
            <w:t>6</w:t>
          </w:r>
        </w:p>
      </w:tc>
    </w:tr>
  </w:tbl>
  <w:p w14:paraId="6C19F358" w14:textId="77777777" w:rsidR="006C297C" w:rsidRDefault="006C29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64725" w14:paraId="1366E3D8" w14:textId="77777777">
      <w:trPr>
        <w:cantSplit/>
      </w:trPr>
      <w:tc>
        <w:tcPr>
          <w:tcW w:w="1701" w:type="dxa"/>
          <w:tcBorders>
            <w:top w:val="single" w:sz="6" w:space="0" w:color="auto"/>
            <w:left w:val="single" w:sz="6" w:space="0" w:color="auto"/>
            <w:bottom w:val="single" w:sz="6" w:space="0" w:color="auto"/>
            <w:right w:val="single" w:sz="6" w:space="0" w:color="auto"/>
          </w:tcBorders>
        </w:tcPr>
        <w:p w14:paraId="7CEF076A" w14:textId="69C682FB" w:rsidR="00664725" w:rsidRDefault="00664725">
          <w:pPr>
            <w:pStyle w:val="HeaderRegProc"/>
          </w:pPr>
          <w:r>
            <w:t>Part A</w:t>
          </w:r>
          <w:r>
            <w:fldChar w:fldCharType="begin"/>
          </w:r>
          <w:r>
            <w:instrText>styleref href</w:instrText>
          </w:r>
          <w:r>
            <w:fldChar w:fldCharType="separate"/>
          </w:r>
          <w:r w:rsidR="00863923">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78FC634B" w14:textId="140277EC" w:rsidR="00664725" w:rsidRDefault="00863923">
          <w:pPr>
            <w:pStyle w:val="HeaderRegProc"/>
            <w:rPr>
              <w:lang w:val="fr-FR"/>
            </w:rPr>
          </w:pPr>
          <w:r>
            <w:fldChar w:fldCharType="begin"/>
          </w:r>
          <w:r>
            <w:instrText xml:space="preserve"> DOCPROPERTY "Header1" \* MERGEFORMAT </w:instrText>
          </w:r>
          <w:r>
            <w:fldChar w:fldCharType="separate"/>
          </w:r>
          <w:r>
            <w:t>AP</w:t>
          </w:r>
          <w:r>
            <w:fldChar w:fldCharType="end"/>
          </w:r>
          <w:r w:rsidR="00664725">
            <w:fldChar w:fldCharType="begin"/>
          </w:r>
          <w:r w:rsidR="00664725">
            <w:instrText>styleref href2</w:instrText>
          </w:r>
          <w:r w:rsidR="00664725">
            <w:fldChar w:fldCharType="separate"/>
          </w:r>
          <w:r>
            <w:rPr>
              <w:noProof/>
            </w:rPr>
            <w:t>30A</w:t>
          </w:r>
          <w:r w:rsidR="00664725">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57A22C5" w14:textId="77777777" w:rsidR="00664725" w:rsidRDefault="00664725">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994900C" w14:textId="77777777" w:rsidR="00664725" w:rsidRDefault="00664725" w:rsidP="005C0D0E">
          <w:pPr>
            <w:pStyle w:val="HeaderRegProc"/>
            <w:rPr>
              <w:lang w:val="fr-CH"/>
            </w:rPr>
          </w:pPr>
          <w:r>
            <w:rPr>
              <w:lang w:val="fr-CH"/>
            </w:rPr>
            <w:t>rev.</w:t>
          </w:r>
          <w:r>
            <w:t>-</w:t>
          </w:r>
        </w:p>
      </w:tc>
    </w:tr>
  </w:tbl>
  <w:p w14:paraId="6D3F93E2" w14:textId="77777777" w:rsidR="00664725" w:rsidRDefault="00664725">
    <w:pPr>
      <w:rPr>
        <w:lang w:val="fr-C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64725" w14:paraId="11EA862F"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942DC2E" w14:textId="614F2279" w:rsidR="00664725" w:rsidRDefault="00664725">
          <w:pPr>
            <w:pStyle w:val="HeaderRegProc"/>
          </w:pPr>
          <w:r>
            <w:t>Part A</w:t>
          </w:r>
          <w:r>
            <w:fldChar w:fldCharType="begin"/>
          </w:r>
          <w:r>
            <w:instrText>styleref href</w:instrText>
          </w:r>
          <w:r>
            <w:fldChar w:fldCharType="separate"/>
          </w:r>
          <w:r w:rsidR="00863923">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7505A3CE" w14:textId="43261F89" w:rsidR="00664725" w:rsidRDefault="00863923">
          <w:pPr>
            <w:pStyle w:val="HeaderRegProc"/>
            <w:rPr>
              <w:lang w:val="fr-FR"/>
            </w:rPr>
          </w:pPr>
          <w:r>
            <w:fldChar w:fldCharType="begin"/>
          </w:r>
          <w:r>
            <w:instrText xml:space="preserve"> DOCPROPERTY "Header1" \* MERGEFORMAT </w:instrText>
          </w:r>
          <w:r>
            <w:fldChar w:fldCharType="separate"/>
          </w:r>
          <w:r>
            <w:t>AP</w:t>
          </w:r>
          <w:r>
            <w:fldChar w:fldCharType="end"/>
          </w:r>
          <w:r w:rsidR="00664725">
            <w:fldChar w:fldCharType="begin"/>
          </w:r>
          <w:r w:rsidR="00664725">
            <w:instrText>styleref href2</w:instrText>
          </w:r>
          <w:r w:rsidR="00664725">
            <w:fldChar w:fldCharType="separate"/>
          </w:r>
          <w:r>
            <w:rPr>
              <w:noProof/>
            </w:rPr>
            <w:t>30A</w:t>
          </w:r>
          <w:r w:rsidR="00664725">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746A0088" w14:textId="77777777" w:rsidR="00664725" w:rsidRDefault="00664725">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1A3546C" w14:textId="77777777" w:rsidR="00664725" w:rsidRDefault="00664725" w:rsidP="007C5018">
          <w:pPr>
            <w:pStyle w:val="HeaderRegProc"/>
            <w:rPr>
              <w:lang w:val="fr-CH"/>
            </w:rPr>
          </w:pPr>
          <w:r>
            <w:rPr>
              <w:lang w:val="fr-CH"/>
            </w:rPr>
            <w:t>rev.-</w:t>
          </w:r>
        </w:p>
      </w:tc>
    </w:tr>
  </w:tbl>
  <w:p w14:paraId="6D2A6F78" w14:textId="77777777" w:rsidR="00664725" w:rsidRDefault="0066472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B4C25" w14:paraId="6443812E" w14:textId="77777777">
      <w:trPr>
        <w:cantSplit/>
      </w:trPr>
      <w:tc>
        <w:tcPr>
          <w:tcW w:w="1701" w:type="dxa"/>
          <w:tcBorders>
            <w:top w:val="single" w:sz="6" w:space="0" w:color="auto"/>
            <w:left w:val="single" w:sz="6" w:space="0" w:color="auto"/>
            <w:bottom w:val="single" w:sz="6" w:space="0" w:color="auto"/>
            <w:right w:val="single" w:sz="6" w:space="0" w:color="auto"/>
          </w:tcBorders>
        </w:tcPr>
        <w:p w14:paraId="2CF65F4D" w14:textId="5D5369FC" w:rsidR="00CB4C25" w:rsidRDefault="00CB4C25">
          <w:pPr>
            <w:pStyle w:val="HeaderRegProc"/>
          </w:pPr>
          <w:r>
            <w:t>Part A</w:t>
          </w:r>
          <w:r>
            <w:fldChar w:fldCharType="begin"/>
          </w:r>
          <w:r>
            <w:instrText>styleref href</w:instrText>
          </w:r>
          <w:r>
            <w:fldChar w:fldCharType="separate"/>
          </w:r>
          <w:r w:rsidR="00863923">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2B2D9B4" w14:textId="35D71336" w:rsidR="00CB4C25" w:rsidRDefault="00863923">
          <w:pPr>
            <w:pStyle w:val="HeaderRegProc"/>
            <w:rPr>
              <w:lang w:val="fr-FR"/>
            </w:rPr>
          </w:pPr>
          <w:r>
            <w:fldChar w:fldCharType="begin"/>
          </w:r>
          <w:r>
            <w:instrText xml:space="preserve"> DOCPROPERTY "Header1" \* MERGEFORMAT </w:instrText>
          </w:r>
          <w:r>
            <w:fldChar w:fldCharType="separate"/>
          </w:r>
          <w:r>
            <w:t>AP</w:t>
          </w:r>
          <w:r>
            <w:fldChar w:fldCharType="end"/>
          </w:r>
          <w:r w:rsidR="00CB4C25">
            <w:fldChar w:fldCharType="begin"/>
          </w:r>
          <w:r w:rsidR="00CB4C25">
            <w:instrText>styleref href2</w:instrText>
          </w:r>
          <w:r w:rsidR="00CB4C25">
            <w:fldChar w:fldCharType="separate"/>
          </w:r>
          <w:r>
            <w:rPr>
              <w:noProof/>
            </w:rPr>
            <w:t>30A</w:t>
          </w:r>
          <w:r w:rsidR="00CB4C25">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25681DE" w14:textId="77777777" w:rsidR="00CB4C25" w:rsidRDefault="00CB4C25">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E54063">
            <w:rPr>
              <w:rStyle w:val="PageNumber"/>
              <w:noProof/>
            </w:rPr>
            <w:t>12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BC0F352" w14:textId="77777777" w:rsidR="00CB4C25" w:rsidRDefault="00CB4C25" w:rsidP="00CB4C25">
          <w:pPr>
            <w:pStyle w:val="HeaderRegProc"/>
            <w:rPr>
              <w:lang w:val="fr-CH"/>
            </w:rPr>
          </w:pPr>
          <w:r>
            <w:rPr>
              <w:lang w:val="fr-CH"/>
            </w:rPr>
            <w:t>rev.</w:t>
          </w:r>
          <w:r>
            <w:t xml:space="preserve"> 2</w:t>
          </w:r>
        </w:p>
      </w:tc>
    </w:tr>
  </w:tbl>
  <w:p w14:paraId="0CBFAD3D" w14:textId="77777777" w:rsidR="00CB4C25" w:rsidRDefault="00CB4C25">
    <w:pPr>
      <w:rPr>
        <w:lang w:val="fr-C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B4C25" w14:paraId="3C4DED78"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63965C7" w14:textId="4614D854" w:rsidR="00CB4C25" w:rsidRDefault="00CB4C25">
          <w:pPr>
            <w:pStyle w:val="HeaderRegProc"/>
          </w:pPr>
          <w:r>
            <w:t>Part A</w:t>
          </w:r>
          <w:r>
            <w:fldChar w:fldCharType="begin"/>
          </w:r>
          <w:r>
            <w:instrText>styleref href</w:instrText>
          </w:r>
          <w:r>
            <w:fldChar w:fldCharType="separate"/>
          </w:r>
          <w:r w:rsidR="00863923">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3025D36" w14:textId="49F37212" w:rsidR="00CB4C25" w:rsidRDefault="00863923">
          <w:pPr>
            <w:pStyle w:val="HeaderRegProc"/>
            <w:rPr>
              <w:lang w:val="fr-FR"/>
            </w:rPr>
          </w:pPr>
          <w:r>
            <w:fldChar w:fldCharType="begin"/>
          </w:r>
          <w:r>
            <w:instrText xml:space="preserve"> DOCPROPERTY "Header1" \* MERGEFORMAT </w:instrText>
          </w:r>
          <w:r>
            <w:fldChar w:fldCharType="separate"/>
          </w:r>
          <w:r>
            <w:t>AP</w:t>
          </w:r>
          <w:r>
            <w:fldChar w:fldCharType="end"/>
          </w:r>
          <w:r w:rsidR="00CB4C25">
            <w:fldChar w:fldCharType="begin"/>
          </w:r>
          <w:r w:rsidR="00CB4C25">
            <w:instrText>styleref href2</w:instrText>
          </w:r>
          <w:r w:rsidR="00CB4C25">
            <w:fldChar w:fldCharType="separate"/>
          </w:r>
          <w:r>
            <w:rPr>
              <w:noProof/>
            </w:rPr>
            <w:t>30A</w:t>
          </w:r>
          <w:r w:rsidR="00CB4C25">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CBE92E5" w14:textId="77777777" w:rsidR="00CB4C25" w:rsidRDefault="00CB4C25">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E54063">
            <w:rPr>
              <w:rStyle w:val="PageNumber"/>
              <w:noProof/>
            </w:rPr>
            <w:t>13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6163076" w14:textId="77777777" w:rsidR="00CB4C25" w:rsidRDefault="00CB4C25" w:rsidP="00CB4C25">
          <w:pPr>
            <w:pStyle w:val="HeaderRegProc"/>
            <w:rPr>
              <w:lang w:val="fr-CH"/>
            </w:rPr>
          </w:pPr>
          <w:r>
            <w:rPr>
              <w:lang w:val="fr-CH"/>
            </w:rPr>
            <w:t>rev. 2</w:t>
          </w:r>
        </w:p>
      </w:tc>
    </w:tr>
  </w:tbl>
  <w:p w14:paraId="149BDCD4" w14:textId="77777777" w:rsidR="00CB4C25" w:rsidRDefault="00CB4C2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B4C25" w14:paraId="26AC86AE" w14:textId="77777777">
      <w:trPr>
        <w:cantSplit/>
      </w:trPr>
      <w:tc>
        <w:tcPr>
          <w:tcW w:w="1701" w:type="dxa"/>
          <w:tcBorders>
            <w:top w:val="single" w:sz="6" w:space="0" w:color="auto"/>
            <w:left w:val="single" w:sz="6" w:space="0" w:color="auto"/>
            <w:bottom w:val="single" w:sz="6" w:space="0" w:color="auto"/>
            <w:right w:val="single" w:sz="6" w:space="0" w:color="auto"/>
          </w:tcBorders>
        </w:tcPr>
        <w:p w14:paraId="787880B8" w14:textId="23254933" w:rsidR="00CB4C25" w:rsidRDefault="00CB4C25">
          <w:pPr>
            <w:pStyle w:val="HeaderRegProc"/>
          </w:pPr>
          <w:r>
            <w:t>Part A</w:t>
          </w:r>
          <w:r>
            <w:fldChar w:fldCharType="begin"/>
          </w:r>
          <w:r>
            <w:instrText>styleref href</w:instrText>
          </w:r>
          <w:r>
            <w:fldChar w:fldCharType="separate"/>
          </w:r>
          <w:r w:rsidR="00863923">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41EEFC1E" w14:textId="0D69F881" w:rsidR="00CB4C25" w:rsidRDefault="00863923">
          <w:pPr>
            <w:pStyle w:val="HeaderRegProc"/>
            <w:rPr>
              <w:lang w:val="fr-FR"/>
            </w:rPr>
          </w:pPr>
          <w:r>
            <w:fldChar w:fldCharType="begin"/>
          </w:r>
          <w:r>
            <w:instrText xml:space="preserve"> DOCPROPERTY "Header1" \* MERGEFORMAT </w:instrText>
          </w:r>
          <w:r>
            <w:fldChar w:fldCharType="separate"/>
          </w:r>
          <w:r>
            <w:t>AP</w:t>
          </w:r>
          <w:r>
            <w:fldChar w:fldCharType="end"/>
          </w:r>
          <w:r w:rsidR="00CB4C25">
            <w:fldChar w:fldCharType="begin"/>
          </w:r>
          <w:r w:rsidR="00CB4C25">
            <w:instrText>styleref href2</w:instrText>
          </w:r>
          <w:r w:rsidR="00CB4C25">
            <w:fldChar w:fldCharType="separate"/>
          </w:r>
          <w:r>
            <w:rPr>
              <w:noProof/>
            </w:rPr>
            <w:t>30A</w:t>
          </w:r>
          <w:r w:rsidR="00CB4C25">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84AECAF" w14:textId="77777777" w:rsidR="00CB4C25" w:rsidRDefault="00CB4C25">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E54063">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D66AAA0" w14:textId="77777777" w:rsidR="00CB4C25" w:rsidRDefault="00CB4C25" w:rsidP="005C0D0E">
          <w:pPr>
            <w:pStyle w:val="HeaderRegProc"/>
            <w:rPr>
              <w:lang w:val="fr-CH"/>
            </w:rPr>
          </w:pPr>
          <w:r>
            <w:rPr>
              <w:lang w:val="fr-CH"/>
            </w:rPr>
            <w:t>rev.</w:t>
          </w:r>
          <w:r>
            <w:t>-</w:t>
          </w:r>
        </w:p>
      </w:tc>
    </w:tr>
  </w:tbl>
  <w:p w14:paraId="43B790C9" w14:textId="77777777" w:rsidR="00CB4C25" w:rsidRDefault="00CB4C25">
    <w:pPr>
      <w:rPr>
        <w:lang w:val="fr-C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B4C25" w14:paraId="70A8513E"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A7A380F" w14:textId="02A30202" w:rsidR="00CB4C25" w:rsidRDefault="00CB4C25">
          <w:pPr>
            <w:pStyle w:val="HeaderRegProc"/>
          </w:pPr>
          <w:r>
            <w:t>Part A</w:t>
          </w:r>
          <w:r>
            <w:fldChar w:fldCharType="begin"/>
          </w:r>
          <w:r>
            <w:instrText>styleref href</w:instrText>
          </w:r>
          <w:r>
            <w:fldChar w:fldCharType="separate"/>
          </w:r>
          <w:r w:rsidR="00863923">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DC57F13" w14:textId="42D18AC2" w:rsidR="00CB4C25" w:rsidRDefault="00863923">
          <w:pPr>
            <w:pStyle w:val="HeaderRegProc"/>
            <w:rPr>
              <w:lang w:val="fr-FR"/>
            </w:rPr>
          </w:pPr>
          <w:r>
            <w:fldChar w:fldCharType="begin"/>
          </w:r>
          <w:r>
            <w:instrText xml:space="preserve"> DOCPROPERTY "Header1" \* MERGEFORMAT </w:instrText>
          </w:r>
          <w:r>
            <w:fldChar w:fldCharType="separate"/>
          </w:r>
          <w:r>
            <w:t>AP</w:t>
          </w:r>
          <w:r>
            <w:fldChar w:fldCharType="end"/>
          </w:r>
          <w:r w:rsidR="00CB4C25">
            <w:fldChar w:fldCharType="begin"/>
          </w:r>
          <w:r w:rsidR="00CB4C25">
            <w:instrText>styleref href2</w:instrText>
          </w:r>
          <w:r w:rsidR="00CB4C25">
            <w:fldChar w:fldCharType="separate"/>
          </w:r>
          <w:r>
            <w:rPr>
              <w:noProof/>
            </w:rPr>
            <w:t>30A</w:t>
          </w:r>
          <w:r w:rsidR="00CB4C25">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5CA8DDD5" w14:textId="77777777" w:rsidR="00CB4C25" w:rsidRDefault="00CB4C25">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E54063">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5531DBA" w14:textId="77777777" w:rsidR="00CB4C25" w:rsidRDefault="00CB4C25" w:rsidP="007C5018">
          <w:pPr>
            <w:pStyle w:val="HeaderRegProc"/>
            <w:rPr>
              <w:lang w:val="fr-CH"/>
            </w:rPr>
          </w:pPr>
          <w:r>
            <w:rPr>
              <w:lang w:val="fr-CH"/>
            </w:rPr>
            <w:t>rev.-</w:t>
          </w:r>
        </w:p>
      </w:tc>
    </w:tr>
  </w:tbl>
  <w:p w14:paraId="0441AE37" w14:textId="77777777" w:rsidR="00CB4C25" w:rsidRDefault="00CB4C25">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997CD" w14:textId="77777777" w:rsidR="008E5ED7" w:rsidRDefault="008E5E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F2062A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605E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AF32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19013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A24DB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85615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D6C0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FE92F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3ACC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764A932"/>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1"/>
  <w:printFractionalCharacterWidth/>
  <w:mirrorMargins/>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61"/>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52405"/>
    <w:rsid w:val="000629B0"/>
    <w:rsid w:val="000757BF"/>
    <w:rsid w:val="000E7EED"/>
    <w:rsid w:val="00154FD9"/>
    <w:rsid w:val="001665A5"/>
    <w:rsid w:val="001B0114"/>
    <w:rsid w:val="001C5CAA"/>
    <w:rsid w:val="002002C7"/>
    <w:rsid w:val="00202C23"/>
    <w:rsid w:val="002150F8"/>
    <w:rsid w:val="00225CAD"/>
    <w:rsid w:val="002417C1"/>
    <w:rsid w:val="002A5B3E"/>
    <w:rsid w:val="002C5179"/>
    <w:rsid w:val="002C5C48"/>
    <w:rsid w:val="002C7F4E"/>
    <w:rsid w:val="002E5617"/>
    <w:rsid w:val="003010BE"/>
    <w:rsid w:val="00312ABF"/>
    <w:rsid w:val="00333F47"/>
    <w:rsid w:val="003754D1"/>
    <w:rsid w:val="0041080B"/>
    <w:rsid w:val="00413A39"/>
    <w:rsid w:val="00447573"/>
    <w:rsid w:val="00452E91"/>
    <w:rsid w:val="00483C8F"/>
    <w:rsid w:val="004C5F41"/>
    <w:rsid w:val="005004AA"/>
    <w:rsid w:val="00552405"/>
    <w:rsid w:val="00587D88"/>
    <w:rsid w:val="005A1D51"/>
    <w:rsid w:val="005C0D0E"/>
    <w:rsid w:val="005D60D8"/>
    <w:rsid w:val="005D654D"/>
    <w:rsid w:val="005F0B1E"/>
    <w:rsid w:val="005F5BEC"/>
    <w:rsid w:val="0063387C"/>
    <w:rsid w:val="00650CA3"/>
    <w:rsid w:val="0065661F"/>
    <w:rsid w:val="00664725"/>
    <w:rsid w:val="00695ECC"/>
    <w:rsid w:val="00696A07"/>
    <w:rsid w:val="006C297C"/>
    <w:rsid w:val="006C381B"/>
    <w:rsid w:val="006D6F97"/>
    <w:rsid w:val="00742BFD"/>
    <w:rsid w:val="0079463E"/>
    <w:rsid w:val="007C5018"/>
    <w:rsid w:val="007D1AF1"/>
    <w:rsid w:val="007F63CA"/>
    <w:rsid w:val="00825A33"/>
    <w:rsid w:val="0084000E"/>
    <w:rsid w:val="00863923"/>
    <w:rsid w:val="008806A1"/>
    <w:rsid w:val="008D5D69"/>
    <w:rsid w:val="008E08D1"/>
    <w:rsid w:val="008E5ED7"/>
    <w:rsid w:val="008F4A3B"/>
    <w:rsid w:val="00906B96"/>
    <w:rsid w:val="00992CBF"/>
    <w:rsid w:val="009A575F"/>
    <w:rsid w:val="009C7F87"/>
    <w:rsid w:val="00A37191"/>
    <w:rsid w:val="00A6155C"/>
    <w:rsid w:val="00A83D2F"/>
    <w:rsid w:val="00AD1A4A"/>
    <w:rsid w:val="00AE076A"/>
    <w:rsid w:val="00AE395E"/>
    <w:rsid w:val="00B42744"/>
    <w:rsid w:val="00B64B45"/>
    <w:rsid w:val="00B82B4C"/>
    <w:rsid w:val="00BA2419"/>
    <w:rsid w:val="00BD08EB"/>
    <w:rsid w:val="00C47582"/>
    <w:rsid w:val="00C742A0"/>
    <w:rsid w:val="00C96159"/>
    <w:rsid w:val="00CB4C25"/>
    <w:rsid w:val="00D27881"/>
    <w:rsid w:val="00D33730"/>
    <w:rsid w:val="00D416CC"/>
    <w:rsid w:val="00D43743"/>
    <w:rsid w:val="00D7199F"/>
    <w:rsid w:val="00D72051"/>
    <w:rsid w:val="00DC225F"/>
    <w:rsid w:val="00E54063"/>
    <w:rsid w:val="00E65E90"/>
    <w:rsid w:val="00E9061A"/>
    <w:rsid w:val="00E97FCA"/>
    <w:rsid w:val="00EB7CD6"/>
    <w:rsid w:val="00F0479F"/>
    <w:rsid w:val="00F21AA6"/>
    <w:rsid w:val="00F52123"/>
    <w:rsid w:val="00F72B45"/>
    <w:rsid w:val="00F97F1E"/>
    <w:rsid w:val="00FA065E"/>
    <w:rsid w:val="00FA3AFD"/>
    <w:rsid w:val="00FA6239"/>
    <w:rsid w:val="00FF6E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B2BC1CB"/>
  <w15:docId w15:val="{E2947313-FAE7-464F-A317-35248A583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D2F"/>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F72B45"/>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F72B45"/>
    <w:pPr>
      <w:spacing w:before="480"/>
      <w:outlineLvl w:val="1"/>
    </w:pPr>
    <w:rPr>
      <w:sz w:val="26"/>
    </w:rPr>
  </w:style>
  <w:style w:type="paragraph" w:styleId="Heading3">
    <w:name w:val="heading 3"/>
    <w:basedOn w:val="Heading1"/>
    <w:next w:val="Normal"/>
    <w:qFormat/>
    <w:rsid w:val="00F72B45"/>
    <w:pPr>
      <w:spacing w:before="360"/>
      <w:outlineLvl w:val="2"/>
    </w:pPr>
    <w:rPr>
      <w:sz w:val="24"/>
    </w:rPr>
  </w:style>
  <w:style w:type="paragraph" w:styleId="Heading4">
    <w:name w:val="heading 4"/>
    <w:basedOn w:val="Heading3"/>
    <w:next w:val="Normal"/>
    <w:qFormat/>
    <w:rsid w:val="00F72B45"/>
    <w:pPr>
      <w:outlineLvl w:val="3"/>
    </w:pPr>
  </w:style>
  <w:style w:type="paragraph" w:styleId="Heading5">
    <w:name w:val="heading 5"/>
    <w:basedOn w:val="Heading3"/>
    <w:next w:val="Normal"/>
    <w:qFormat/>
    <w:rsid w:val="00F72B45"/>
    <w:pPr>
      <w:outlineLvl w:val="4"/>
    </w:pPr>
  </w:style>
  <w:style w:type="paragraph" w:styleId="Heading6">
    <w:name w:val="heading 6"/>
    <w:basedOn w:val="Heading3"/>
    <w:next w:val="Normal"/>
    <w:qFormat/>
    <w:rsid w:val="00F72B45"/>
    <w:pPr>
      <w:outlineLvl w:val="5"/>
    </w:pPr>
  </w:style>
  <w:style w:type="paragraph" w:styleId="Heading7">
    <w:name w:val="heading 7"/>
    <w:basedOn w:val="Heading3"/>
    <w:next w:val="Normal"/>
    <w:qFormat/>
    <w:rsid w:val="00F72B45"/>
    <w:pPr>
      <w:outlineLvl w:val="6"/>
    </w:pPr>
  </w:style>
  <w:style w:type="paragraph" w:styleId="Heading8">
    <w:name w:val="heading 8"/>
    <w:basedOn w:val="Heading3"/>
    <w:next w:val="Normal"/>
    <w:qFormat/>
    <w:rsid w:val="00F72B45"/>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F72B45"/>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F72B45"/>
    <w:rPr>
      <w:vertAlign w:val="superscript"/>
    </w:rPr>
  </w:style>
  <w:style w:type="paragraph" w:styleId="TOC8">
    <w:name w:val="toc 8"/>
    <w:basedOn w:val="Normal"/>
    <w:next w:val="Normal"/>
    <w:semiHidden/>
    <w:rsid w:val="00F72B45"/>
    <w:pPr>
      <w:tabs>
        <w:tab w:val="left" w:pos="7711"/>
        <w:tab w:val="right" w:leader="dot" w:pos="9725"/>
      </w:tabs>
      <w:ind w:left="6350"/>
    </w:pPr>
  </w:style>
  <w:style w:type="paragraph" w:styleId="TOC7">
    <w:name w:val="toc 7"/>
    <w:basedOn w:val="Normal"/>
    <w:next w:val="Normal"/>
    <w:semiHidden/>
    <w:rsid w:val="00F72B45"/>
    <w:pPr>
      <w:tabs>
        <w:tab w:val="left" w:pos="6350"/>
        <w:tab w:val="right" w:leader="dot" w:pos="9725"/>
      </w:tabs>
      <w:ind w:left="5103"/>
    </w:pPr>
  </w:style>
  <w:style w:type="paragraph" w:styleId="TOC6">
    <w:name w:val="toc 6"/>
    <w:basedOn w:val="TOC4"/>
    <w:next w:val="Normal"/>
    <w:semiHidden/>
    <w:rsid w:val="00F72B45"/>
    <w:pPr>
      <w:ind w:left="3913"/>
    </w:pPr>
  </w:style>
  <w:style w:type="paragraph" w:styleId="TOC4">
    <w:name w:val="toc 4"/>
    <w:basedOn w:val="TOC3"/>
    <w:next w:val="Normal"/>
    <w:semiHidden/>
    <w:rsid w:val="00F72B45"/>
    <w:pPr>
      <w:tabs>
        <w:tab w:val="clear" w:pos="2268"/>
      </w:tabs>
      <w:spacing w:before="80"/>
      <w:ind w:left="3119" w:hanging="851"/>
    </w:pPr>
  </w:style>
  <w:style w:type="paragraph" w:styleId="TOC3">
    <w:name w:val="toc 3"/>
    <w:basedOn w:val="TOC2"/>
    <w:next w:val="Normal"/>
    <w:semiHidden/>
    <w:rsid w:val="00F72B45"/>
    <w:pPr>
      <w:tabs>
        <w:tab w:val="clear" w:pos="1985"/>
        <w:tab w:val="left" w:pos="2268"/>
      </w:tabs>
      <w:ind w:left="2268" w:hanging="2268"/>
    </w:pPr>
  </w:style>
  <w:style w:type="paragraph" w:styleId="TOC2">
    <w:name w:val="toc 2"/>
    <w:basedOn w:val="TOC1"/>
    <w:next w:val="Normal"/>
    <w:semiHidden/>
    <w:rsid w:val="00F72B45"/>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F72B45"/>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F72B45"/>
    <w:pPr>
      <w:tabs>
        <w:tab w:val="clear" w:pos="2268"/>
        <w:tab w:val="left" w:pos="3062"/>
      </w:tabs>
      <w:ind w:left="3062" w:hanging="3062"/>
    </w:pPr>
  </w:style>
  <w:style w:type="paragraph" w:styleId="Index1">
    <w:name w:val="index 1"/>
    <w:basedOn w:val="Normal"/>
    <w:next w:val="Normal"/>
    <w:semiHidden/>
    <w:rsid w:val="00F72B45"/>
  </w:style>
  <w:style w:type="paragraph" w:styleId="Footer">
    <w:name w:val="footer"/>
    <w:basedOn w:val="Normal"/>
    <w:rsid w:val="00F72B45"/>
    <w:pPr>
      <w:tabs>
        <w:tab w:val="left" w:pos="567"/>
        <w:tab w:val="center" w:pos="3742"/>
        <w:tab w:val="right" w:pos="6974"/>
      </w:tabs>
    </w:pPr>
  </w:style>
  <w:style w:type="paragraph" w:styleId="Header">
    <w:name w:val="header"/>
    <w:basedOn w:val="Normal"/>
    <w:rsid w:val="00F72B45"/>
    <w:pPr>
      <w:tabs>
        <w:tab w:val="clear" w:pos="1134"/>
        <w:tab w:val="clear" w:pos="1871"/>
        <w:tab w:val="clear" w:pos="2268"/>
        <w:tab w:val="center" w:pos="4320"/>
        <w:tab w:val="right" w:pos="8640"/>
      </w:tabs>
    </w:pPr>
  </w:style>
  <w:style w:type="character" w:styleId="FootnoteReference">
    <w:name w:val="footnote reference"/>
    <w:basedOn w:val="DefaultParagraphFont"/>
    <w:rsid w:val="00F72B45"/>
    <w:rPr>
      <w:position w:val="6"/>
      <w:sz w:val="16"/>
    </w:rPr>
  </w:style>
  <w:style w:type="paragraph" w:styleId="FootnoteText">
    <w:name w:val="footnote text"/>
    <w:basedOn w:val="Normal"/>
    <w:link w:val="FootnoteTextChar"/>
    <w:semiHidden/>
    <w:rsid w:val="00F72B45"/>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F72B45"/>
    <w:pPr>
      <w:spacing w:before="120"/>
      <w:ind w:left="1134"/>
    </w:pPr>
  </w:style>
  <w:style w:type="paragraph" w:customStyle="1" w:styleId="TableLegend">
    <w:name w:val="Table_Legend"/>
    <w:basedOn w:val="TableText"/>
    <w:next w:val="Normal"/>
    <w:rsid w:val="00F72B45"/>
    <w:pPr>
      <w:keepNext/>
      <w:tabs>
        <w:tab w:val="left" w:pos="284"/>
        <w:tab w:val="left" w:pos="567"/>
        <w:tab w:val="left" w:pos="851"/>
        <w:tab w:val="left" w:pos="1134"/>
      </w:tabs>
      <w:spacing w:before="120" w:after="0"/>
    </w:pPr>
  </w:style>
  <w:style w:type="paragraph" w:customStyle="1" w:styleId="TableText">
    <w:name w:val="Table_Text"/>
    <w:basedOn w:val="Normal"/>
    <w:rsid w:val="00F72B45"/>
    <w:pPr>
      <w:tabs>
        <w:tab w:val="clear" w:pos="1134"/>
        <w:tab w:val="clear" w:pos="1871"/>
        <w:tab w:val="clear" w:pos="2268"/>
      </w:tabs>
      <w:spacing w:before="40" w:after="40"/>
    </w:pPr>
    <w:rPr>
      <w:sz w:val="20"/>
    </w:rPr>
  </w:style>
  <w:style w:type="paragraph" w:customStyle="1" w:styleId="TableTitle">
    <w:name w:val="Table_Title"/>
    <w:basedOn w:val="Table"/>
    <w:next w:val="TableText"/>
    <w:rsid w:val="00F72B45"/>
    <w:pPr>
      <w:spacing w:before="0"/>
    </w:pPr>
    <w:rPr>
      <w:b/>
    </w:rPr>
  </w:style>
  <w:style w:type="paragraph" w:customStyle="1" w:styleId="Table">
    <w:name w:val="Table_#"/>
    <w:basedOn w:val="Normal"/>
    <w:next w:val="TableTitle"/>
    <w:rsid w:val="00F72B45"/>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F72B45"/>
    <w:pPr>
      <w:tabs>
        <w:tab w:val="clear" w:pos="2268"/>
        <w:tab w:val="left" w:pos="2608"/>
        <w:tab w:val="left" w:pos="3345"/>
      </w:tabs>
      <w:spacing w:before="120"/>
      <w:ind w:left="454" w:hanging="454"/>
    </w:pPr>
  </w:style>
  <w:style w:type="paragraph" w:customStyle="1" w:styleId="enumlev2">
    <w:name w:val="enumlev2"/>
    <w:basedOn w:val="enumlev1"/>
    <w:rsid w:val="00F72B45"/>
    <w:pPr>
      <w:tabs>
        <w:tab w:val="left" w:pos="907"/>
      </w:tabs>
      <w:ind w:left="908"/>
    </w:pPr>
  </w:style>
  <w:style w:type="paragraph" w:customStyle="1" w:styleId="enumlev3">
    <w:name w:val="enumlev3"/>
    <w:basedOn w:val="enumlev2"/>
    <w:rsid w:val="00F72B45"/>
    <w:pPr>
      <w:tabs>
        <w:tab w:val="clear" w:pos="1134"/>
        <w:tab w:val="clear" w:pos="1871"/>
        <w:tab w:val="clear" w:pos="2608"/>
        <w:tab w:val="left" w:pos="1361"/>
      </w:tabs>
      <w:ind w:left="1361"/>
    </w:pPr>
  </w:style>
  <w:style w:type="paragraph" w:customStyle="1" w:styleId="Figure">
    <w:name w:val="Figure"/>
    <w:basedOn w:val="Normal"/>
    <w:rsid w:val="00F72B45"/>
    <w:pPr>
      <w:keepNext/>
      <w:keepLines/>
      <w:spacing w:before="240"/>
      <w:jc w:val="center"/>
    </w:pPr>
  </w:style>
  <w:style w:type="paragraph" w:customStyle="1" w:styleId="FigureLegend">
    <w:name w:val="Figure_Legend"/>
    <w:basedOn w:val="TableLegend"/>
    <w:next w:val="Figure0"/>
    <w:rsid w:val="00F72B45"/>
  </w:style>
  <w:style w:type="paragraph" w:customStyle="1" w:styleId="Figure0">
    <w:name w:val="Figure_#"/>
    <w:basedOn w:val="Table"/>
    <w:next w:val="FigureTitle"/>
    <w:rsid w:val="00F72B45"/>
  </w:style>
  <w:style w:type="paragraph" w:customStyle="1" w:styleId="FigureTitle">
    <w:name w:val="Figure_Title"/>
    <w:basedOn w:val="TableTitle"/>
    <w:next w:val="Normal"/>
    <w:rsid w:val="00F72B45"/>
    <w:pPr>
      <w:spacing w:after="720"/>
    </w:pPr>
  </w:style>
  <w:style w:type="paragraph" w:customStyle="1" w:styleId="Annex">
    <w:name w:val="Annex_#"/>
    <w:basedOn w:val="Art"/>
    <w:next w:val="AnnexRef"/>
    <w:rsid w:val="00F72B45"/>
  </w:style>
  <w:style w:type="paragraph" w:customStyle="1" w:styleId="Art">
    <w:name w:val="Art_#"/>
    <w:basedOn w:val="Normal"/>
    <w:next w:val="Arttitle"/>
    <w:rsid w:val="00F72B45"/>
    <w:pPr>
      <w:keepNext/>
      <w:keepLines/>
      <w:spacing w:before="720"/>
      <w:jc w:val="center"/>
    </w:pPr>
    <w:rPr>
      <w:sz w:val="28"/>
    </w:rPr>
  </w:style>
  <w:style w:type="paragraph" w:customStyle="1" w:styleId="Arttitle">
    <w:name w:val="Art_title"/>
    <w:next w:val="Normalaftertitle"/>
    <w:rsid w:val="00F72B45"/>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F72B45"/>
    <w:pPr>
      <w:spacing w:before="360"/>
    </w:pPr>
  </w:style>
  <w:style w:type="paragraph" w:customStyle="1" w:styleId="AnnexRef">
    <w:name w:val="Annex_Ref"/>
    <w:basedOn w:val="Normal"/>
    <w:rsid w:val="00F72B45"/>
    <w:pPr>
      <w:jc w:val="center"/>
    </w:pPr>
  </w:style>
  <w:style w:type="paragraph" w:customStyle="1" w:styleId="AnnexTitle">
    <w:name w:val="Annex_Title"/>
    <w:basedOn w:val="Arttitle"/>
    <w:next w:val="Normal"/>
    <w:rsid w:val="00F72B45"/>
    <w:pPr>
      <w:spacing w:after="0"/>
    </w:pPr>
  </w:style>
  <w:style w:type="paragraph" w:customStyle="1" w:styleId="Appendix">
    <w:name w:val="Appendix_#"/>
    <w:basedOn w:val="Art"/>
    <w:next w:val="AppendixTitle"/>
    <w:rsid w:val="00F72B45"/>
  </w:style>
  <w:style w:type="paragraph" w:customStyle="1" w:styleId="AppendixTitle">
    <w:name w:val="Appendix_Title"/>
    <w:basedOn w:val="Arttitle"/>
    <w:next w:val="Normal"/>
    <w:rsid w:val="00F72B45"/>
  </w:style>
  <w:style w:type="paragraph" w:customStyle="1" w:styleId="headfoot">
    <w:name w:val="head_foot"/>
    <w:basedOn w:val="Normal"/>
    <w:next w:val="Normalaftertitle"/>
    <w:rsid w:val="00F72B45"/>
    <w:pPr>
      <w:spacing w:before="0"/>
    </w:pPr>
    <w:rPr>
      <w:color w:val="0000FF"/>
      <w:sz w:val="20"/>
    </w:rPr>
  </w:style>
  <w:style w:type="paragraph" w:customStyle="1" w:styleId="AppendixRef">
    <w:name w:val="Appendix_Ref"/>
    <w:basedOn w:val="AnnexRef"/>
    <w:next w:val="AppendixTitle"/>
    <w:rsid w:val="00F72B45"/>
  </w:style>
  <w:style w:type="paragraph" w:customStyle="1" w:styleId="RefTitle">
    <w:name w:val="Ref_Title"/>
    <w:basedOn w:val="Normal"/>
    <w:next w:val="RefText"/>
    <w:rsid w:val="00F72B45"/>
    <w:pPr>
      <w:spacing w:before="480"/>
      <w:jc w:val="left"/>
    </w:pPr>
    <w:rPr>
      <w:b/>
    </w:rPr>
  </w:style>
  <w:style w:type="paragraph" w:customStyle="1" w:styleId="RefText">
    <w:name w:val="Ref_Text"/>
    <w:basedOn w:val="Normal"/>
    <w:rsid w:val="00F72B45"/>
  </w:style>
  <w:style w:type="paragraph" w:customStyle="1" w:styleId="listitem">
    <w:name w:val="listitem"/>
    <w:basedOn w:val="Normal"/>
    <w:rsid w:val="00F72B45"/>
    <w:pPr>
      <w:keepLines/>
      <w:spacing w:before="0"/>
      <w:jc w:val="left"/>
    </w:pPr>
  </w:style>
  <w:style w:type="paragraph" w:customStyle="1" w:styleId="TableRef">
    <w:name w:val="Table_Ref"/>
    <w:basedOn w:val="Normal"/>
    <w:next w:val="TableTitle"/>
    <w:rsid w:val="00F72B45"/>
    <w:pPr>
      <w:keepNext/>
      <w:spacing w:before="567"/>
      <w:jc w:val="center"/>
    </w:pPr>
    <w:rPr>
      <w:sz w:val="18"/>
    </w:rPr>
  </w:style>
  <w:style w:type="paragraph" w:customStyle="1" w:styleId="Signcountry">
    <w:name w:val="Sign_country"/>
    <w:basedOn w:val="Normal"/>
    <w:next w:val="SignPart"/>
    <w:rsid w:val="00F72B45"/>
    <w:pPr>
      <w:keepNext/>
      <w:keepLines/>
      <w:spacing w:before="240" w:after="57"/>
      <w:jc w:val="left"/>
    </w:pPr>
    <w:rPr>
      <w:b/>
    </w:rPr>
  </w:style>
  <w:style w:type="paragraph" w:customStyle="1" w:styleId="SignPart">
    <w:name w:val="Sign_Part"/>
    <w:basedOn w:val="Signcountry"/>
    <w:rsid w:val="00F72B45"/>
    <w:pPr>
      <w:keepNext w:val="0"/>
      <w:keepLines w:val="0"/>
      <w:spacing w:before="0"/>
      <w:ind w:left="284"/>
    </w:pPr>
    <w:rPr>
      <w:b w:val="0"/>
      <w:smallCaps/>
    </w:rPr>
  </w:style>
  <w:style w:type="paragraph" w:customStyle="1" w:styleId="Chap">
    <w:name w:val="Chap_#"/>
    <w:basedOn w:val="Art"/>
    <w:next w:val="Chaptitle"/>
    <w:rsid w:val="00F72B45"/>
    <w:pPr>
      <w:spacing w:before="1200"/>
    </w:pPr>
    <w:rPr>
      <w:sz w:val="32"/>
    </w:rPr>
  </w:style>
  <w:style w:type="paragraph" w:customStyle="1" w:styleId="Chaptitle">
    <w:name w:val="Chap_title"/>
    <w:basedOn w:val="Arttitle"/>
    <w:next w:val="Art"/>
    <w:rsid w:val="00F72B45"/>
    <w:rPr>
      <w:sz w:val="32"/>
    </w:rPr>
  </w:style>
  <w:style w:type="paragraph" w:customStyle="1" w:styleId="Protfin">
    <w:name w:val="Prot_fin"/>
    <w:basedOn w:val="Normal"/>
    <w:next w:val="Normalaftertitle"/>
    <w:rsid w:val="00F72B45"/>
    <w:pPr>
      <w:pageBreakBefore/>
      <w:spacing w:before="720" w:after="240"/>
      <w:jc w:val="center"/>
    </w:pPr>
    <w:rPr>
      <w:b/>
    </w:rPr>
  </w:style>
  <w:style w:type="paragraph" w:customStyle="1" w:styleId="Prot">
    <w:name w:val="Prot_#"/>
    <w:basedOn w:val="Normal"/>
    <w:next w:val="Protlang"/>
    <w:rsid w:val="00F72B45"/>
    <w:pPr>
      <w:keepNext/>
      <w:spacing w:before="240"/>
      <w:jc w:val="center"/>
    </w:pPr>
  </w:style>
  <w:style w:type="paragraph" w:customStyle="1" w:styleId="Protlang">
    <w:name w:val="Prot_lang"/>
    <w:basedOn w:val="Prot"/>
    <w:next w:val="Protpays"/>
    <w:rsid w:val="00F72B45"/>
    <w:pPr>
      <w:keepLines/>
      <w:framePr w:hSpace="181" w:vSpace="181" w:wrap="auto" w:hAnchor="text" w:xAlign="right"/>
      <w:spacing w:before="0"/>
      <w:jc w:val="right"/>
    </w:pPr>
    <w:rPr>
      <w:i/>
      <w:sz w:val="18"/>
    </w:rPr>
  </w:style>
  <w:style w:type="paragraph" w:customStyle="1" w:styleId="Protpays">
    <w:name w:val="Prot_pays"/>
    <w:basedOn w:val="Protlang"/>
    <w:next w:val="headfoot"/>
    <w:rsid w:val="00F72B45"/>
    <w:pPr>
      <w:framePr w:wrap="auto"/>
      <w:spacing w:before="113" w:line="199" w:lineRule="exact"/>
      <w:jc w:val="left"/>
    </w:pPr>
  </w:style>
  <w:style w:type="paragraph" w:customStyle="1" w:styleId="Prottexte">
    <w:name w:val="Prot_texte"/>
    <w:basedOn w:val="Protlang"/>
    <w:rsid w:val="00F72B45"/>
    <w:pPr>
      <w:keepNext w:val="0"/>
      <w:keepLines w:val="0"/>
      <w:framePr w:wrap="auto"/>
      <w:spacing w:before="113" w:line="199" w:lineRule="exact"/>
      <w:jc w:val="both"/>
    </w:pPr>
    <w:rPr>
      <w:i w:val="0"/>
    </w:rPr>
  </w:style>
  <w:style w:type="paragraph" w:customStyle="1" w:styleId="Protcall">
    <w:name w:val="Prot_call"/>
    <w:basedOn w:val="Prottexte"/>
    <w:next w:val="Prottexte"/>
    <w:rsid w:val="00F72B45"/>
    <w:pPr>
      <w:keepNext/>
      <w:keepLines/>
      <w:framePr w:wrap="auto" w:xAlign="left"/>
      <w:spacing w:before="170"/>
      <w:ind w:left="794"/>
      <w:jc w:val="left"/>
    </w:pPr>
    <w:rPr>
      <w:i/>
    </w:rPr>
  </w:style>
  <w:style w:type="paragraph" w:customStyle="1" w:styleId="Res">
    <w:name w:val="Res_#"/>
    <w:basedOn w:val="Art"/>
    <w:next w:val="Restitle"/>
    <w:rsid w:val="00F72B45"/>
  </w:style>
  <w:style w:type="paragraph" w:customStyle="1" w:styleId="Restitle">
    <w:name w:val="Res_title"/>
    <w:basedOn w:val="Arttitle"/>
    <w:next w:val="headfoot"/>
    <w:rsid w:val="00F72B45"/>
    <w:pPr>
      <w:spacing w:after="120"/>
    </w:pPr>
  </w:style>
  <w:style w:type="paragraph" w:customStyle="1" w:styleId="Rec">
    <w:name w:val="Rec_#"/>
    <w:basedOn w:val="Res"/>
    <w:next w:val="Rectitle"/>
    <w:rsid w:val="00F72B45"/>
  </w:style>
  <w:style w:type="paragraph" w:customStyle="1" w:styleId="Rectitle">
    <w:name w:val="Rec_title"/>
    <w:basedOn w:val="Restitle"/>
    <w:next w:val="headfoot"/>
    <w:rsid w:val="00F72B45"/>
  </w:style>
  <w:style w:type="paragraph" w:customStyle="1" w:styleId="Equation">
    <w:name w:val="Equation"/>
    <w:basedOn w:val="Normal"/>
    <w:rsid w:val="00F72B45"/>
    <w:pPr>
      <w:tabs>
        <w:tab w:val="clear" w:pos="1871"/>
        <w:tab w:val="clear" w:pos="2268"/>
        <w:tab w:val="center" w:pos="4678"/>
        <w:tab w:val="right" w:pos="9356"/>
      </w:tabs>
      <w:jc w:val="left"/>
    </w:pPr>
  </w:style>
  <w:style w:type="paragraph" w:customStyle="1" w:styleId="Note">
    <w:name w:val="Note"/>
    <w:basedOn w:val="Normal"/>
    <w:rsid w:val="00F72B45"/>
    <w:pPr>
      <w:tabs>
        <w:tab w:val="left" w:pos="284"/>
      </w:tabs>
      <w:spacing w:before="160"/>
    </w:pPr>
    <w:rPr>
      <w:sz w:val="20"/>
    </w:rPr>
  </w:style>
  <w:style w:type="paragraph" w:customStyle="1" w:styleId="Signcountry0">
    <w:name w:val="Sign country"/>
    <w:basedOn w:val="Normal"/>
    <w:next w:val="Signpart0"/>
    <w:rsid w:val="00F72B45"/>
    <w:pPr>
      <w:keepNext/>
      <w:keepLines/>
      <w:spacing w:before="240" w:after="57"/>
      <w:jc w:val="left"/>
    </w:pPr>
    <w:rPr>
      <w:b/>
    </w:rPr>
  </w:style>
  <w:style w:type="paragraph" w:customStyle="1" w:styleId="Signpart0">
    <w:name w:val="Sign part"/>
    <w:basedOn w:val="Signcountry0"/>
    <w:rsid w:val="00F72B45"/>
    <w:pPr>
      <w:keepNext w:val="0"/>
      <w:keepLines w:val="0"/>
      <w:spacing w:before="0"/>
      <w:ind w:left="284"/>
    </w:pPr>
    <w:rPr>
      <w:b w:val="0"/>
      <w:smallCaps/>
    </w:rPr>
  </w:style>
  <w:style w:type="paragraph" w:customStyle="1" w:styleId="Section1">
    <w:name w:val="Section_1"/>
    <w:basedOn w:val="Normal"/>
    <w:rsid w:val="00F72B45"/>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F72B45"/>
    <w:pPr>
      <w:pageBreakBefore/>
      <w:spacing w:before="720" w:after="240"/>
      <w:jc w:val="center"/>
    </w:pPr>
    <w:rPr>
      <w:b/>
    </w:rPr>
  </w:style>
  <w:style w:type="paragraph" w:customStyle="1" w:styleId="Prot0">
    <w:name w:val="Prot #"/>
    <w:basedOn w:val="Normal"/>
    <w:next w:val="Protlang0"/>
    <w:rsid w:val="00F72B45"/>
    <w:pPr>
      <w:keepNext/>
      <w:spacing w:before="240"/>
      <w:jc w:val="center"/>
    </w:pPr>
  </w:style>
  <w:style w:type="paragraph" w:customStyle="1" w:styleId="Protlang0">
    <w:name w:val="Prot lang"/>
    <w:basedOn w:val="Prot0"/>
    <w:next w:val="Protpays0"/>
    <w:rsid w:val="00F72B45"/>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F72B45"/>
    <w:pPr>
      <w:framePr w:wrap="auto"/>
      <w:spacing w:before="113" w:line="199" w:lineRule="exact"/>
      <w:jc w:val="left"/>
    </w:pPr>
  </w:style>
  <w:style w:type="paragraph" w:customStyle="1" w:styleId="Prottexte0">
    <w:name w:val="Prot texte"/>
    <w:basedOn w:val="Protlang0"/>
    <w:rsid w:val="00F72B45"/>
    <w:pPr>
      <w:keepNext w:val="0"/>
      <w:keepLines w:val="0"/>
      <w:framePr w:wrap="auto"/>
      <w:spacing w:before="113" w:line="199" w:lineRule="exact"/>
      <w:jc w:val="both"/>
    </w:pPr>
    <w:rPr>
      <w:i w:val="0"/>
    </w:rPr>
  </w:style>
  <w:style w:type="paragraph" w:customStyle="1" w:styleId="Protcall0">
    <w:name w:val="Prot call"/>
    <w:basedOn w:val="Prottexte0"/>
    <w:next w:val="Prottexte0"/>
    <w:rsid w:val="00F72B45"/>
    <w:pPr>
      <w:keepNext/>
      <w:keepLines/>
      <w:framePr w:wrap="auto" w:xAlign="left"/>
      <w:spacing w:before="170"/>
      <w:ind w:left="794"/>
      <w:jc w:val="left"/>
    </w:pPr>
    <w:rPr>
      <w:i/>
    </w:rPr>
  </w:style>
  <w:style w:type="character" w:styleId="PageNumber">
    <w:name w:val="page number"/>
    <w:basedOn w:val="DefaultParagraphFont"/>
    <w:rsid w:val="00F72B45"/>
  </w:style>
  <w:style w:type="paragraph" w:customStyle="1" w:styleId="TableFin">
    <w:name w:val="Table_Fin"/>
    <w:basedOn w:val="Normal"/>
    <w:rsid w:val="00F72B45"/>
    <w:pPr>
      <w:tabs>
        <w:tab w:val="clear" w:pos="1134"/>
      </w:tabs>
      <w:spacing w:before="0"/>
    </w:pPr>
    <w:rPr>
      <w:sz w:val="12"/>
    </w:rPr>
  </w:style>
  <w:style w:type="paragraph" w:customStyle="1" w:styleId="MEP">
    <w:name w:val="MEP"/>
    <w:basedOn w:val="Normal"/>
    <w:rsid w:val="00F72B45"/>
  </w:style>
  <w:style w:type="paragraph" w:customStyle="1" w:styleId="head">
    <w:name w:val="head"/>
    <w:basedOn w:val="headfoot"/>
    <w:rsid w:val="00F72B45"/>
  </w:style>
  <w:style w:type="paragraph" w:customStyle="1" w:styleId="foot">
    <w:name w:val="foot"/>
    <w:basedOn w:val="headfoot"/>
    <w:rsid w:val="00F72B45"/>
  </w:style>
  <w:style w:type="character" w:customStyle="1" w:styleId="href">
    <w:name w:val="href"/>
    <w:basedOn w:val="DefaultParagraphFont"/>
    <w:rsid w:val="00F72B45"/>
  </w:style>
  <w:style w:type="paragraph" w:customStyle="1" w:styleId="Section2">
    <w:name w:val="Section_2"/>
    <w:basedOn w:val="Section1"/>
    <w:rsid w:val="00F72B45"/>
    <w:pPr>
      <w:jc w:val="left"/>
    </w:pPr>
    <w:rPr>
      <w:b w:val="0"/>
      <w:i/>
    </w:rPr>
  </w:style>
  <w:style w:type="paragraph" w:customStyle="1" w:styleId="Section3">
    <w:name w:val="Section_3"/>
    <w:basedOn w:val="Section1"/>
    <w:rsid w:val="00F72B45"/>
    <w:rPr>
      <w:b w:val="0"/>
    </w:rPr>
  </w:style>
  <w:style w:type="paragraph" w:customStyle="1" w:styleId="EquationLegend">
    <w:name w:val="Equation_Legend"/>
    <w:basedOn w:val="NormalIndent"/>
    <w:rsid w:val="00F72B45"/>
  </w:style>
  <w:style w:type="paragraph" w:customStyle="1" w:styleId="Call">
    <w:name w:val="Call"/>
    <w:basedOn w:val="Normal"/>
    <w:next w:val="Normal"/>
    <w:rsid w:val="00F72B45"/>
    <w:pPr>
      <w:tabs>
        <w:tab w:val="clear" w:pos="1871"/>
        <w:tab w:val="clear" w:pos="2268"/>
      </w:tabs>
      <w:spacing w:before="360"/>
      <w:ind w:left="1134"/>
    </w:pPr>
    <w:rPr>
      <w:i/>
    </w:rPr>
  </w:style>
  <w:style w:type="paragraph" w:customStyle="1" w:styleId="Headingb">
    <w:name w:val="Heading b"/>
    <w:basedOn w:val="Heading3"/>
    <w:rsid w:val="00F72B45"/>
    <w:pPr>
      <w:spacing w:before="400"/>
      <w:ind w:left="0" w:firstLine="0"/>
      <w:outlineLvl w:val="9"/>
    </w:pPr>
  </w:style>
  <w:style w:type="paragraph" w:customStyle="1" w:styleId="TableHead">
    <w:name w:val="Table_Head"/>
    <w:basedOn w:val="TableText"/>
    <w:next w:val="TableText"/>
    <w:rsid w:val="00F72B45"/>
    <w:pPr>
      <w:spacing w:before="80" w:after="80"/>
      <w:jc w:val="center"/>
    </w:pPr>
    <w:rPr>
      <w:b/>
    </w:rPr>
  </w:style>
  <w:style w:type="paragraph" w:customStyle="1" w:styleId="Line">
    <w:name w:val="Line"/>
    <w:basedOn w:val="Normal"/>
    <w:next w:val="Normal"/>
    <w:rsid w:val="00F72B45"/>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F72B45"/>
    <w:rPr>
      <w:b w:val="0"/>
      <w:i/>
    </w:rPr>
  </w:style>
  <w:style w:type="paragraph" w:styleId="TableofFigures">
    <w:name w:val="table of figures"/>
    <w:basedOn w:val="Normal"/>
    <w:next w:val="Normal"/>
    <w:semiHidden/>
    <w:rsid w:val="00F72B45"/>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F72B45"/>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F72B45"/>
    <w:rPr>
      <w:sz w:val="16"/>
    </w:rPr>
  </w:style>
  <w:style w:type="paragraph" w:styleId="CommentText">
    <w:name w:val="annotation text"/>
    <w:basedOn w:val="Normal"/>
    <w:link w:val="CommentTextChar"/>
    <w:semiHidden/>
    <w:rsid w:val="00F72B45"/>
    <w:rPr>
      <w:sz w:val="20"/>
      <w:lang w:val="fr-FR"/>
    </w:rPr>
  </w:style>
  <w:style w:type="paragraph" w:customStyle="1" w:styleId="Tabletext0">
    <w:name w:val="Table_text"/>
    <w:basedOn w:val="Normal"/>
    <w:rsid w:val="00F72B45"/>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F72B45"/>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F72B45"/>
    <w:pPr>
      <w:keepNext/>
      <w:spacing w:before="80" w:after="80"/>
      <w:jc w:val="center"/>
    </w:pPr>
    <w:rPr>
      <w:b/>
    </w:rPr>
  </w:style>
  <w:style w:type="character" w:customStyle="1" w:styleId="Artrefdef">
    <w:name w:val="Art_ref_def"/>
    <w:basedOn w:val="DefaultParagraphFont"/>
    <w:rsid w:val="00F72B45"/>
  </w:style>
  <w:style w:type="character" w:customStyle="1" w:styleId="Apprefdef">
    <w:name w:val="App_ref_def"/>
    <w:basedOn w:val="DefaultParagraphFont"/>
    <w:rsid w:val="00F72B45"/>
  </w:style>
  <w:style w:type="character" w:customStyle="1" w:styleId="Resrefdef">
    <w:name w:val="Res_ref_def"/>
    <w:basedOn w:val="DefaultParagraphFont"/>
    <w:rsid w:val="00F72B45"/>
  </w:style>
  <w:style w:type="paragraph" w:customStyle="1" w:styleId="HeaderRegProc">
    <w:name w:val="Header_RegProc"/>
    <w:basedOn w:val="Normal"/>
    <w:rsid w:val="00F72B45"/>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F72B45"/>
    <w:pPr>
      <w:tabs>
        <w:tab w:val="clear" w:pos="907"/>
        <w:tab w:val="left" w:pos="1814"/>
      </w:tabs>
      <w:spacing w:before="80"/>
      <w:ind w:left="1815"/>
    </w:pPr>
    <w:rPr>
      <w:lang w:val="fr-CH"/>
    </w:rPr>
  </w:style>
  <w:style w:type="character" w:customStyle="1" w:styleId="href2">
    <w:name w:val="href2"/>
    <w:basedOn w:val="href"/>
    <w:rsid w:val="00F72B45"/>
  </w:style>
  <w:style w:type="character" w:customStyle="1" w:styleId="Style1">
    <w:name w:val="Style1"/>
    <w:basedOn w:val="DefaultParagraphFont"/>
    <w:rsid w:val="00F72B45"/>
  </w:style>
  <w:style w:type="character" w:customStyle="1" w:styleId="Appdef">
    <w:name w:val="App_def"/>
    <w:basedOn w:val="DefaultParagraphFont"/>
    <w:rsid w:val="00F72B45"/>
    <w:rPr>
      <w:b/>
      <w:color w:val="FFCC00"/>
    </w:rPr>
  </w:style>
  <w:style w:type="character" w:customStyle="1" w:styleId="Appref">
    <w:name w:val="App_ref"/>
    <w:basedOn w:val="DefaultParagraphFont"/>
    <w:rsid w:val="00F72B45"/>
    <w:rPr>
      <w:color w:val="3366FF"/>
    </w:rPr>
  </w:style>
  <w:style w:type="character" w:customStyle="1" w:styleId="Artdef">
    <w:name w:val="Art_def"/>
    <w:basedOn w:val="DefaultParagraphFont"/>
    <w:rsid w:val="00F72B45"/>
    <w:rPr>
      <w:b/>
      <w:color w:val="FFCC00"/>
    </w:rPr>
  </w:style>
  <w:style w:type="character" w:customStyle="1" w:styleId="Artref">
    <w:name w:val="Art_ref"/>
    <w:basedOn w:val="DefaultParagraphFont"/>
    <w:rsid w:val="00F72B45"/>
    <w:rPr>
      <w:color w:val="3366FF"/>
    </w:rPr>
  </w:style>
  <w:style w:type="character" w:customStyle="1" w:styleId="Recdef">
    <w:name w:val="Rec_def"/>
    <w:basedOn w:val="DefaultParagraphFont"/>
    <w:rsid w:val="00F72B45"/>
    <w:rPr>
      <w:b/>
      <w:color w:val="FFCC00"/>
    </w:rPr>
  </w:style>
  <w:style w:type="character" w:customStyle="1" w:styleId="Recref">
    <w:name w:val="Rec_ref"/>
    <w:basedOn w:val="DefaultParagraphFont"/>
    <w:rsid w:val="00F72B45"/>
    <w:rPr>
      <w:color w:val="3366FF"/>
    </w:rPr>
  </w:style>
  <w:style w:type="character" w:customStyle="1" w:styleId="Resdef">
    <w:name w:val="Res_def"/>
    <w:basedOn w:val="DefaultParagraphFont"/>
    <w:rsid w:val="00F72B45"/>
    <w:rPr>
      <w:b/>
      <w:color w:val="FFCC00"/>
    </w:rPr>
  </w:style>
  <w:style w:type="character" w:customStyle="1" w:styleId="Resref">
    <w:name w:val="Res_ref"/>
    <w:basedOn w:val="DefaultParagraphFont"/>
    <w:rsid w:val="00F72B45"/>
    <w:rPr>
      <w:color w:val="3366FF"/>
    </w:rPr>
  </w:style>
  <w:style w:type="character" w:customStyle="1" w:styleId="Tableref0">
    <w:name w:val="Table_ref"/>
    <w:basedOn w:val="DefaultParagraphFont"/>
    <w:rsid w:val="00F72B45"/>
    <w:rPr>
      <w:color w:val="3366FF"/>
    </w:rPr>
  </w:style>
  <w:style w:type="character" w:customStyle="1" w:styleId="Appref0">
    <w:name w:val="App#_ref"/>
    <w:basedOn w:val="DefaultParagraphFont"/>
    <w:rsid w:val="00F72B45"/>
  </w:style>
  <w:style w:type="paragraph" w:customStyle="1" w:styleId="Headingi0">
    <w:name w:val="Heading_i"/>
    <w:basedOn w:val="Headingi"/>
    <w:rsid w:val="00552405"/>
    <w:rPr>
      <w:lang w:val="en-US"/>
    </w:rPr>
  </w:style>
  <w:style w:type="character" w:customStyle="1" w:styleId="FootnoteTextChar">
    <w:name w:val="Footnote Text Char"/>
    <w:basedOn w:val="DefaultParagraphFont"/>
    <w:link w:val="FootnoteText"/>
    <w:semiHidden/>
    <w:rsid w:val="002C5179"/>
    <w:rPr>
      <w:lang w:val="en-GB" w:eastAsia="en-US"/>
    </w:rPr>
  </w:style>
  <w:style w:type="character" w:customStyle="1" w:styleId="CommentTextChar">
    <w:name w:val="Comment Text Char"/>
    <w:basedOn w:val="DefaultParagraphFont"/>
    <w:link w:val="CommentText"/>
    <w:semiHidden/>
    <w:rsid w:val="00A83D2F"/>
    <w:rPr>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534F26-BFAE-4D23-9D96-57404FE59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225</TotalTime>
  <Pages>18</Pages>
  <Words>5080</Words>
  <Characters>28957</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33970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AP30A</dc:subject>
  <dc:creator>Composition des Publications</dc:creator>
  <cp:keywords>FOLIOS:  1  -  16</cp:keywords>
  <dc:description>Edition 2009:  10.02.2009/dN_x000d_
Corr.:  24.02.2009/DD  (dict. ok)_x000d_
Corr. ULT:  27.02.2009/DD</dc:description>
  <cp:lastModifiedBy>Al-Yammouni, Hala</cp:lastModifiedBy>
  <cp:revision>95</cp:revision>
  <cp:lastPrinted>2020-07-23T15:55:00Z</cp:lastPrinted>
  <dcterms:created xsi:type="dcterms:W3CDTF">2012-08-08T06:51:00Z</dcterms:created>
  <dcterms:modified xsi:type="dcterms:W3CDTF">2020-07-23T15:55:00Z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